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57E" w:rsidRPr="0052657E" w:rsidRDefault="0052657E" w:rsidP="0052657E">
      <w:pPr>
        <w:spacing w:before="100" w:beforeAutospacing="1" w:after="0" w:line="240" w:lineRule="auto"/>
        <w:jc w:val="center"/>
        <w:rPr>
          <w:rFonts w:ascii="Times New Roman" w:eastAsia="Times New Roman" w:hAnsi="Times New Roman" w:cs="Times New Roman"/>
          <w:sz w:val="24"/>
          <w:szCs w:val="24"/>
          <w:lang w:eastAsia="en-AU"/>
        </w:rPr>
      </w:pPr>
      <w:r w:rsidRPr="0052657E">
        <w:rPr>
          <w:rFonts w:ascii="Times New Roman" w:eastAsia="Times New Roman" w:hAnsi="Times New Roman" w:cs="Times New Roman"/>
          <w:b/>
          <w:bCs/>
          <w:sz w:val="24"/>
          <w:szCs w:val="24"/>
          <w:u w:val="single"/>
          <w:lang w:eastAsia="en-AU"/>
        </w:rPr>
        <w:t>EXPLANATORY STATEMENT</w:t>
      </w:r>
    </w:p>
    <w:p w:rsidR="0052657E" w:rsidRPr="0052657E" w:rsidRDefault="0052657E" w:rsidP="0052657E">
      <w:pPr>
        <w:spacing w:before="100" w:beforeAutospacing="1" w:after="0" w:line="240" w:lineRule="auto"/>
        <w:jc w:val="center"/>
        <w:rPr>
          <w:rFonts w:ascii="Times New Roman" w:eastAsia="Times New Roman" w:hAnsi="Times New Roman" w:cs="Times New Roman"/>
          <w:sz w:val="24"/>
          <w:szCs w:val="24"/>
          <w:lang w:eastAsia="en-AU"/>
        </w:rPr>
      </w:pPr>
      <w:r w:rsidRPr="0052657E">
        <w:rPr>
          <w:rFonts w:ascii="Times New Roman" w:eastAsia="Times New Roman" w:hAnsi="Times New Roman" w:cs="Times New Roman"/>
          <w:b/>
          <w:bCs/>
          <w:sz w:val="24"/>
          <w:szCs w:val="24"/>
          <w:lang w:eastAsia="en-AU"/>
        </w:rPr>
        <w:t> </w:t>
      </w:r>
      <w:r w:rsidRPr="0052657E">
        <w:rPr>
          <w:rFonts w:ascii="Times New Roman" w:eastAsia="Times New Roman" w:hAnsi="Times New Roman" w:cs="Times New Roman"/>
          <w:b/>
          <w:bCs/>
          <w:sz w:val="24"/>
          <w:szCs w:val="24"/>
          <w:u w:val="single"/>
          <w:lang w:eastAsia="en-AU"/>
        </w:rPr>
        <w:t>Select Legislative Instrument 2011 No.</w:t>
      </w:r>
      <w:r w:rsidR="00C6176D">
        <w:rPr>
          <w:rFonts w:ascii="Times New Roman" w:eastAsia="Times New Roman" w:hAnsi="Times New Roman" w:cs="Times New Roman"/>
          <w:b/>
          <w:bCs/>
          <w:sz w:val="24"/>
          <w:szCs w:val="24"/>
          <w:u w:val="single"/>
          <w:lang w:eastAsia="en-AU"/>
        </w:rPr>
        <w:t xml:space="preserve"> 200</w:t>
      </w:r>
      <w:r w:rsidRPr="0052657E">
        <w:rPr>
          <w:rFonts w:ascii="Times New Roman" w:eastAsia="Times New Roman" w:hAnsi="Times New Roman" w:cs="Times New Roman"/>
          <w:b/>
          <w:bCs/>
          <w:sz w:val="24"/>
          <w:szCs w:val="24"/>
          <w:u w:val="single"/>
          <w:lang w:eastAsia="en-AU"/>
        </w:rPr>
        <w:t xml:space="preserve"> </w:t>
      </w:r>
    </w:p>
    <w:p w:rsidR="0052657E" w:rsidRPr="0052657E" w:rsidRDefault="0052657E" w:rsidP="0052657E">
      <w:pPr>
        <w:spacing w:before="100" w:beforeAutospacing="1" w:after="0" w:line="240" w:lineRule="auto"/>
        <w:jc w:val="center"/>
        <w:rPr>
          <w:rFonts w:ascii="Times New Roman" w:eastAsia="Times New Roman" w:hAnsi="Times New Roman" w:cs="Times New Roman"/>
          <w:sz w:val="24"/>
          <w:szCs w:val="24"/>
          <w:lang w:eastAsia="en-AU"/>
        </w:rPr>
      </w:pPr>
      <w:r w:rsidRPr="0052657E">
        <w:rPr>
          <w:rFonts w:ascii="Times New Roman" w:eastAsia="Times New Roman" w:hAnsi="Times New Roman" w:cs="Times New Roman"/>
          <w:sz w:val="24"/>
          <w:szCs w:val="24"/>
          <w:lang w:eastAsia="en-AU"/>
        </w:rPr>
        <w:t xml:space="preserve">Issued by the authority of the </w:t>
      </w:r>
      <w:r>
        <w:rPr>
          <w:rFonts w:ascii="Times New Roman" w:eastAsia="Times New Roman" w:hAnsi="Times New Roman" w:cs="Times New Roman"/>
          <w:sz w:val="24"/>
          <w:szCs w:val="24"/>
          <w:lang w:eastAsia="en-AU"/>
        </w:rPr>
        <w:t>Parliamentary Secretary for Sustainability and Urban Water</w:t>
      </w:r>
    </w:p>
    <w:p w:rsidR="006F61E4" w:rsidRDefault="006F61E4" w:rsidP="006542D9">
      <w:pPr>
        <w:jc w:val="center"/>
        <w:rPr>
          <w:rFonts w:ascii="Times New Roman" w:eastAsia="Times New Roman" w:hAnsi="Times New Roman" w:cs="Times New Roman"/>
          <w:i/>
          <w:iCs/>
          <w:sz w:val="24"/>
          <w:szCs w:val="24"/>
          <w:lang w:eastAsia="en-AU"/>
        </w:rPr>
      </w:pPr>
    </w:p>
    <w:p w:rsidR="006542D9" w:rsidRDefault="006542D9" w:rsidP="006542D9">
      <w:pPr>
        <w:jc w:val="center"/>
        <w:rPr>
          <w:rFonts w:ascii="Times New Roman" w:eastAsia="Times New Roman" w:hAnsi="Times New Roman" w:cs="Times New Roman"/>
          <w:i/>
          <w:iCs/>
          <w:sz w:val="24"/>
          <w:szCs w:val="24"/>
          <w:lang w:eastAsia="en-AU"/>
        </w:rPr>
      </w:pPr>
      <w:r>
        <w:rPr>
          <w:rFonts w:ascii="Times New Roman" w:eastAsia="Times New Roman" w:hAnsi="Times New Roman" w:cs="Times New Roman"/>
          <w:i/>
          <w:iCs/>
          <w:sz w:val="24"/>
          <w:szCs w:val="24"/>
          <w:lang w:eastAsia="en-AU"/>
        </w:rPr>
        <w:t>Product Stewardship Act 2011</w:t>
      </w:r>
    </w:p>
    <w:p w:rsidR="00E14033" w:rsidRDefault="0052657E" w:rsidP="00E14033">
      <w:pPr>
        <w:jc w:val="center"/>
        <w:rPr>
          <w:rFonts w:ascii="Times New Roman" w:eastAsia="Times New Roman" w:hAnsi="Times New Roman" w:cs="Times New Roman"/>
          <w:i/>
          <w:iCs/>
          <w:sz w:val="24"/>
          <w:szCs w:val="24"/>
          <w:lang w:eastAsia="en-AU"/>
        </w:rPr>
      </w:pPr>
      <w:r>
        <w:rPr>
          <w:rFonts w:ascii="Times New Roman" w:eastAsia="Times New Roman" w:hAnsi="Times New Roman" w:cs="Times New Roman"/>
          <w:i/>
          <w:iCs/>
          <w:sz w:val="24"/>
          <w:szCs w:val="24"/>
          <w:lang w:eastAsia="en-AU"/>
        </w:rPr>
        <w:t>Product Stewardship (Televisions and Computers) Regulations 2011</w:t>
      </w:r>
      <w:r w:rsidRPr="0052657E">
        <w:rPr>
          <w:rFonts w:ascii="Times New Roman" w:eastAsia="Times New Roman" w:hAnsi="Times New Roman" w:cs="Times New Roman"/>
          <w:i/>
          <w:iCs/>
          <w:sz w:val="24"/>
          <w:szCs w:val="24"/>
          <w:lang w:eastAsia="en-AU"/>
        </w:rPr>
        <w:t> </w:t>
      </w:r>
    </w:p>
    <w:p w:rsidR="009C5AAC" w:rsidRPr="009C5AAC" w:rsidRDefault="009C5AAC" w:rsidP="00E14033">
      <w:pPr>
        <w:spacing w:after="0" w:line="240" w:lineRule="auto"/>
        <w:rPr>
          <w:rFonts w:ascii="Times New Roman" w:eastAsia="Times New Roman" w:hAnsi="Times New Roman" w:cs="Times New Roman"/>
          <w:sz w:val="24"/>
          <w:szCs w:val="24"/>
          <w:lang w:eastAsia="en-AU"/>
        </w:rPr>
      </w:pPr>
      <w:r w:rsidRPr="009C5AAC">
        <w:rPr>
          <w:rFonts w:ascii="Times New Roman" w:hAnsi="Times New Roman" w:cs="Times New Roman"/>
          <w:sz w:val="24"/>
          <w:szCs w:val="24"/>
        </w:rPr>
        <w:t xml:space="preserve">The </w:t>
      </w:r>
      <w:r w:rsidRPr="009C5AAC">
        <w:rPr>
          <w:rFonts w:ascii="Times New Roman" w:hAnsi="Times New Roman" w:cs="Times New Roman"/>
          <w:i/>
          <w:sz w:val="24"/>
          <w:szCs w:val="24"/>
        </w:rPr>
        <w:t>Product Stewardship Act 2011</w:t>
      </w:r>
      <w:r w:rsidRPr="009C5AAC">
        <w:rPr>
          <w:rFonts w:ascii="Times New Roman" w:hAnsi="Times New Roman" w:cs="Times New Roman"/>
          <w:sz w:val="24"/>
          <w:szCs w:val="24"/>
        </w:rPr>
        <w:t xml:space="preserve"> (the Act) provides a framework for mandatory, co-regulatory and voluntary product stewardship. The objects of the Act are drawn from the aims of the </w:t>
      </w:r>
      <w:r w:rsidRPr="009C5AAC">
        <w:rPr>
          <w:rFonts w:ascii="Times New Roman" w:hAnsi="Times New Roman" w:cs="Times New Roman"/>
          <w:i/>
          <w:sz w:val="24"/>
          <w:szCs w:val="24"/>
        </w:rPr>
        <w:t xml:space="preserve">National Waste Policy: Less Waste, </w:t>
      </w:r>
      <w:r w:rsidR="008A0049">
        <w:rPr>
          <w:rFonts w:ascii="Times New Roman" w:hAnsi="Times New Roman" w:cs="Times New Roman"/>
          <w:i/>
          <w:sz w:val="24"/>
          <w:szCs w:val="24"/>
        </w:rPr>
        <w:t>M</w:t>
      </w:r>
      <w:r w:rsidRPr="009C5AAC">
        <w:rPr>
          <w:rFonts w:ascii="Times New Roman" w:hAnsi="Times New Roman" w:cs="Times New Roman"/>
          <w:i/>
          <w:sz w:val="24"/>
          <w:szCs w:val="24"/>
        </w:rPr>
        <w:t xml:space="preserve">ore </w:t>
      </w:r>
      <w:r w:rsidR="008A0049">
        <w:rPr>
          <w:rFonts w:ascii="Times New Roman" w:hAnsi="Times New Roman" w:cs="Times New Roman"/>
          <w:i/>
          <w:sz w:val="24"/>
          <w:szCs w:val="24"/>
        </w:rPr>
        <w:t>R</w:t>
      </w:r>
      <w:r w:rsidRPr="009C5AAC">
        <w:rPr>
          <w:rFonts w:ascii="Times New Roman" w:hAnsi="Times New Roman" w:cs="Times New Roman"/>
          <w:i/>
          <w:sz w:val="24"/>
          <w:szCs w:val="24"/>
        </w:rPr>
        <w:t>esources</w:t>
      </w:r>
      <w:r w:rsidRPr="009C5AAC">
        <w:rPr>
          <w:rFonts w:ascii="Times New Roman" w:hAnsi="Times New Roman" w:cs="Times New Roman"/>
          <w:sz w:val="24"/>
          <w:szCs w:val="24"/>
        </w:rPr>
        <w:t xml:space="preserve"> and seek to address the environmental, health and safety impacts of a product or material across its full lifecycle, from manufacture to disposal.</w:t>
      </w:r>
    </w:p>
    <w:p w:rsidR="009C5AAC" w:rsidRDefault="009C5AAC" w:rsidP="00E14033">
      <w:pPr>
        <w:spacing w:after="0" w:line="240" w:lineRule="auto"/>
        <w:rPr>
          <w:rFonts w:ascii="Times New Roman" w:eastAsia="Times New Roman" w:hAnsi="Times New Roman" w:cs="Times New Roman"/>
          <w:sz w:val="24"/>
          <w:szCs w:val="24"/>
          <w:lang w:eastAsia="en-AU"/>
        </w:rPr>
      </w:pPr>
    </w:p>
    <w:p w:rsidR="00B65B36" w:rsidRDefault="0052657E" w:rsidP="00E14033">
      <w:pPr>
        <w:spacing w:after="0" w:line="240" w:lineRule="auto"/>
        <w:rPr>
          <w:rFonts w:ascii="Times New Roman" w:eastAsia="Times New Roman" w:hAnsi="Times New Roman" w:cs="Times New Roman"/>
          <w:sz w:val="24"/>
          <w:szCs w:val="24"/>
          <w:lang w:eastAsia="en-AU"/>
        </w:rPr>
      </w:pPr>
      <w:r w:rsidRPr="0052657E">
        <w:rPr>
          <w:rFonts w:ascii="Times New Roman" w:eastAsia="Times New Roman" w:hAnsi="Times New Roman" w:cs="Times New Roman"/>
          <w:sz w:val="24"/>
          <w:szCs w:val="24"/>
          <w:lang w:eastAsia="en-AU"/>
        </w:rPr>
        <w:t xml:space="preserve">Section </w:t>
      </w:r>
      <w:r w:rsidR="00FD0C1D">
        <w:rPr>
          <w:rFonts w:ascii="Times New Roman" w:eastAsia="Times New Roman" w:hAnsi="Times New Roman" w:cs="Times New Roman"/>
          <w:sz w:val="24"/>
          <w:szCs w:val="24"/>
          <w:lang w:eastAsia="en-AU"/>
        </w:rPr>
        <w:t>111</w:t>
      </w:r>
      <w:r w:rsidRPr="0052657E">
        <w:rPr>
          <w:rFonts w:ascii="Times New Roman" w:eastAsia="Times New Roman" w:hAnsi="Times New Roman" w:cs="Times New Roman"/>
          <w:sz w:val="24"/>
          <w:szCs w:val="24"/>
          <w:lang w:eastAsia="en-AU"/>
        </w:rPr>
        <w:t xml:space="preserve"> of the </w:t>
      </w:r>
      <w:r w:rsidR="00382B54" w:rsidRPr="00204A04">
        <w:rPr>
          <w:rFonts w:ascii="Times New Roman" w:eastAsia="Times New Roman" w:hAnsi="Times New Roman" w:cs="Times New Roman"/>
          <w:sz w:val="24"/>
          <w:szCs w:val="24"/>
          <w:lang w:eastAsia="en-AU"/>
        </w:rPr>
        <w:t xml:space="preserve">Act </w:t>
      </w:r>
      <w:r w:rsidRPr="0052657E">
        <w:rPr>
          <w:rFonts w:ascii="Times New Roman" w:eastAsia="Times New Roman" w:hAnsi="Times New Roman" w:cs="Times New Roman"/>
          <w:sz w:val="24"/>
          <w:szCs w:val="24"/>
          <w:lang w:eastAsia="en-AU"/>
        </w:rPr>
        <w:t>provides</w:t>
      </w:r>
      <w:r w:rsidR="00FD0C1D">
        <w:rPr>
          <w:rFonts w:ascii="Times New Roman" w:eastAsia="Times New Roman" w:hAnsi="Times New Roman" w:cs="Times New Roman"/>
          <w:sz w:val="24"/>
          <w:szCs w:val="24"/>
          <w:lang w:eastAsia="en-AU"/>
        </w:rPr>
        <w:t xml:space="preserve"> </w:t>
      </w:r>
      <w:r w:rsidRPr="0052657E">
        <w:rPr>
          <w:rFonts w:ascii="Times New Roman" w:eastAsia="Times New Roman" w:hAnsi="Times New Roman" w:cs="Times New Roman"/>
          <w:sz w:val="24"/>
          <w:szCs w:val="24"/>
          <w:lang w:eastAsia="en-AU"/>
        </w:rPr>
        <w:t>that the Governor-General may make regulations prescribing matters required or permitted by the Act to be prescribed, or necessary or convenient to be prescribed for carrying out or giving effect to the Act.</w:t>
      </w:r>
      <w:r w:rsidR="006E197B">
        <w:rPr>
          <w:rFonts w:ascii="Times New Roman" w:eastAsia="Times New Roman" w:hAnsi="Times New Roman" w:cs="Times New Roman"/>
          <w:sz w:val="24"/>
          <w:szCs w:val="24"/>
          <w:lang w:eastAsia="en-AU"/>
        </w:rPr>
        <w:t xml:space="preserve"> </w:t>
      </w:r>
    </w:p>
    <w:p w:rsidR="0056172E" w:rsidRDefault="0056172E" w:rsidP="00E14033">
      <w:pPr>
        <w:spacing w:after="0" w:line="240" w:lineRule="auto"/>
        <w:rPr>
          <w:rFonts w:ascii="Times New Roman" w:eastAsia="Times New Roman" w:hAnsi="Times New Roman" w:cs="Times New Roman"/>
          <w:sz w:val="24"/>
          <w:szCs w:val="24"/>
          <w:lang w:eastAsia="en-AU"/>
        </w:rPr>
      </w:pPr>
    </w:p>
    <w:p w:rsidR="0056172E" w:rsidRDefault="0056172E" w:rsidP="00E14033">
      <w:pPr>
        <w:spacing w:after="0" w:line="240" w:lineRule="auto"/>
        <w:rPr>
          <w:rFonts w:ascii="Times New Roman" w:eastAsia="Times New Roman" w:hAnsi="Times New Roman" w:cs="Times New Roman"/>
          <w:sz w:val="24"/>
          <w:szCs w:val="24"/>
          <w:lang w:eastAsia="en-AU"/>
        </w:rPr>
      </w:pPr>
      <w:r w:rsidRPr="0052657E">
        <w:rPr>
          <w:rFonts w:ascii="Times New Roman" w:eastAsia="Times New Roman" w:hAnsi="Times New Roman" w:cs="Times New Roman"/>
          <w:sz w:val="24"/>
          <w:szCs w:val="24"/>
          <w:lang w:eastAsia="en-AU"/>
        </w:rPr>
        <w:t xml:space="preserve">Details of the Regulations are outlined in the </w:t>
      </w:r>
      <w:r w:rsidRPr="0052657E">
        <w:rPr>
          <w:rFonts w:ascii="Times New Roman" w:eastAsia="Times New Roman" w:hAnsi="Times New Roman" w:cs="Times New Roman"/>
          <w:sz w:val="24"/>
          <w:szCs w:val="24"/>
          <w:u w:val="single"/>
          <w:lang w:eastAsia="en-AU"/>
        </w:rPr>
        <w:t>Attachment</w:t>
      </w:r>
      <w:r w:rsidRPr="0052657E">
        <w:rPr>
          <w:rFonts w:ascii="Times New Roman" w:eastAsia="Times New Roman" w:hAnsi="Times New Roman" w:cs="Times New Roman"/>
          <w:sz w:val="24"/>
          <w:szCs w:val="24"/>
          <w:lang w:eastAsia="en-AU"/>
        </w:rPr>
        <w:t>.</w:t>
      </w:r>
    </w:p>
    <w:p w:rsidR="00D460AC" w:rsidRDefault="00D460AC" w:rsidP="00E14033">
      <w:pPr>
        <w:spacing w:after="0" w:line="240" w:lineRule="auto"/>
        <w:rPr>
          <w:rFonts w:ascii="Times New Roman" w:eastAsia="Times New Roman" w:hAnsi="Times New Roman" w:cs="Times New Roman"/>
          <w:sz w:val="24"/>
          <w:szCs w:val="24"/>
          <w:lang w:eastAsia="en-AU"/>
        </w:rPr>
      </w:pPr>
    </w:p>
    <w:p w:rsidR="0011391E" w:rsidRPr="0011391E" w:rsidRDefault="0011391E" w:rsidP="0011391E">
      <w:pPr>
        <w:spacing w:after="0" w:line="240" w:lineRule="auto"/>
        <w:rPr>
          <w:rFonts w:ascii="Times New Roman" w:hAnsi="Times New Roman" w:cs="Times New Roman"/>
          <w:b/>
          <w:sz w:val="24"/>
          <w:szCs w:val="24"/>
        </w:rPr>
      </w:pPr>
      <w:r w:rsidRPr="0011391E">
        <w:rPr>
          <w:rFonts w:ascii="Times New Roman" w:hAnsi="Times New Roman" w:cs="Times New Roman"/>
          <w:b/>
          <w:sz w:val="24"/>
          <w:szCs w:val="24"/>
        </w:rPr>
        <w:t>Background</w:t>
      </w:r>
    </w:p>
    <w:p w:rsidR="0011391E" w:rsidRDefault="0011391E" w:rsidP="0011391E">
      <w:pPr>
        <w:spacing w:after="0" w:line="240" w:lineRule="auto"/>
        <w:rPr>
          <w:rFonts w:ascii="Times New Roman" w:hAnsi="Times New Roman" w:cs="Times New Roman"/>
          <w:sz w:val="24"/>
          <w:szCs w:val="24"/>
        </w:rPr>
      </w:pPr>
    </w:p>
    <w:p w:rsidR="0011391E" w:rsidRPr="004350C4" w:rsidRDefault="0011391E" w:rsidP="0011391E">
      <w:pPr>
        <w:spacing w:after="0" w:line="240" w:lineRule="auto"/>
        <w:rPr>
          <w:rFonts w:ascii="Times New Roman" w:hAnsi="Times New Roman" w:cs="Times New Roman"/>
          <w:sz w:val="24"/>
          <w:szCs w:val="24"/>
        </w:rPr>
      </w:pPr>
      <w:r w:rsidRPr="004350C4">
        <w:rPr>
          <w:rFonts w:ascii="Times New Roman" w:hAnsi="Times New Roman" w:cs="Times New Roman"/>
          <w:sz w:val="24"/>
          <w:szCs w:val="24"/>
        </w:rPr>
        <w:t xml:space="preserve">On 5 November 2009 all Australian governments, through the Environment Protection and Heritage Council (EPHC), agreed to a new national policy on waste and resource recovery. The </w:t>
      </w:r>
      <w:r w:rsidRPr="004350C4">
        <w:rPr>
          <w:rFonts w:ascii="Times New Roman" w:hAnsi="Times New Roman" w:cs="Times New Roman"/>
          <w:i/>
          <w:iCs/>
          <w:sz w:val="24"/>
          <w:szCs w:val="24"/>
        </w:rPr>
        <w:t>National Waste Policy: Less Waste, More Resources</w:t>
      </w:r>
      <w:r w:rsidRPr="004350C4">
        <w:rPr>
          <w:rFonts w:ascii="Times New Roman" w:hAnsi="Times New Roman" w:cs="Times New Roman"/>
          <w:sz w:val="24"/>
          <w:szCs w:val="24"/>
        </w:rPr>
        <w:t xml:space="preserve"> sets the strategic agenda for reducing waste and managing waste as a resource to deliver economic, environmental and social benefits to 2020. The policy was endorsed by the Council of Australian Governments in August 2010.</w:t>
      </w:r>
      <w:r w:rsidRPr="004350C4">
        <w:rPr>
          <w:rFonts w:ascii="Times New Roman" w:hAnsi="Times New Roman" w:cs="Times New Roman"/>
          <w:color w:val="000000"/>
          <w:sz w:val="24"/>
          <w:szCs w:val="24"/>
        </w:rPr>
        <w:t xml:space="preserve"> Under Strategy 1 of the National Waste Policy it was agreed that:</w:t>
      </w:r>
    </w:p>
    <w:p w:rsidR="0011391E" w:rsidRDefault="0011391E" w:rsidP="0011391E">
      <w:pPr>
        <w:spacing w:after="0" w:line="240" w:lineRule="auto"/>
        <w:ind w:left="720"/>
        <w:rPr>
          <w:rFonts w:ascii="Times New Roman" w:hAnsi="Times New Roman" w:cs="Times New Roman"/>
          <w:color w:val="000000"/>
          <w:sz w:val="24"/>
          <w:szCs w:val="24"/>
        </w:rPr>
      </w:pPr>
    </w:p>
    <w:p w:rsidR="0011391E" w:rsidRDefault="0011391E" w:rsidP="0011391E">
      <w:pPr>
        <w:spacing w:after="0" w:line="240" w:lineRule="auto"/>
        <w:ind w:left="720"/>
        <w:rPr>
          <w:rFonts w:ascii="Times New Roman" w:hAnsi="Times New Roman" w:cs="Times New Roman"/>
          <w:color w:val="000000"/>
          <w:sz w:val="24"/>
          <w:szCs w:val="24"/>
        </w:rPr>
      </w:pPr>
      <w:r w:rsidRPr="004350C4">
        <w:rPr>
          <w:rFonts w:ascii="Times New Roman" w:hAnsi="Times New Roman" w:cs="Times New Roman"/>
          <w:color w:val="000000"/>
          <w:sz w:val="24"/>
          <w:szCs w:val="24"/>
        </w:rPr>
        <w:t xml:space="preserve">The Australian Government, with the support of state and territory governments, will establish a national framework underpinned by legislation to support voluntary, co-regulatory and regulatory product stewardship and extended producer responsibility schemes to provide for the impacts of a product being responsibly managed during and at end of life. </w:t>
      </w:r>
    </w:p>
    <w:p w:rsidR="0011391E" w:rsidRDefault="0011391E" w:rsidP="0011391E">
      <w:pPr>
        <w:spacing w:after="0" w:line="240" w:lineRule="auto"/>
        <w:ind w:left="720"/>
        <w:rPr>
          <w:rFonts w:ascii="Times New Roman" w:hAnsi="Times New Roman" w:cs="Times New Roman"/>
          <w:color w:val="000000"/>
          <w:sz w:val="24"/>
          <w:szCs w:val="24"/>
        </w:rPr>
      </w:pPr>
    </w:p>
    <w:p w:rsidR="0011391E" w:rsidRPr="004350C4" w:rsidRDefault="0011391E" w:rsidP="0011391E">
      <w:pPr>
        <w:spacing w:after="0" w:line="240" w:lineRule="auto"/>
        <w:rPr>
          <w:rFonts w:ascii="Times New Roman" w:hAnsi="Times New Roman" w:cs="Times New Roman"/>
          <w:sz w:val="24"/>
          <w:szCs w:val="24"/>
        </w:rPr>
      </w:pPr>
      <w:r w:rsidRPr="004350C4">
        <w:rPr>
          <w:rFonts w:ascii="Times New Roman" w:hAnsi="Times New Roman" w:cs="Times New Roman"/>
          <w:color w:val="000000"/>
          <w:sz w:val="24"/>
          <w:szCs w:val="24"/>
        </w:rPr>
        <w:t xml:space="preserve">The EPHC agreed that televisions and computers would be the first products to be regulated under the legislation using a co-regulatory approach. Co-regulatory approaches to product stewardship involve a combination of government regulation and industry action, whereby government sets the outcomes and requirements to be met, while industry has flexibility in determining how those outcomes and requirements are achieved. </w:t>
      </w:r>
      <w:r w:rsidRPr="004350C4">
        <w:rPr>
          <w:rFonts w:ascii="Times New Roman" w:hAnsi="Times New Roman" w:cs="Times New Roman"/>
          <w:sz w:val="24"/>
          <w:szCs w:val="24"/>
        </w:rPr>
        <w:t xml:space="preserve">Following the EPHC’s decision, the then Minister for the Environment, Heritage and the Arts announced that the </w:t>
      </w:r>
      <w:r w:rsidR="009C302F">
        <w:rPr>
          <w:rFonts w:ascii="Times New Roman" w:hAnsi="Times New Roman" w:cs="Times New Roman"/>
          <w:color w:val="000000"/>
          <w:sz w:val="24"/>
          <w:szCs w:val="24"/>
        </w:rPr>
        <w:t xml:space="preserve">National Television and Computer Recycling </w:t>
      </w:r>
      <w:r w:rsidR="009C302F" w:rsidRPr="00D569B8">
        <w:rPr>
          <w:rFonts w:ascii="Times New Roman" w:hAnsi="Times New Roman" w:cs="Times New Roman"/>
          <w:color w:val="000000"/>
          <w:sz w:val="24"/>
          <w:szCs w:val="24"/>
        </w:rPr>
        <w:t xml:space="preserve">Scheme </w:t>
      </w:r>
      <w:r w:rsidR="009C302F">
        <w:rPr>
          <w:rFonts w:ascii="Times New Roman" w:hAnsi="Times New Roman" w:cs="Times New Roman"/>
          <w:color w:val="000000"/>
          <w:sz w:val="24"/>
          <w:szCs w:val="24"/>
        </w:rPr>
        <w:t xml:space="preserve">(the Scheme) </w:t>
      </w:r>
      <w:r w:rsidRPr="004350C4">
        <w:rPr>
          <w:rFonts w:ascii="Times New Roman" w:hAnsi="Times New Roman" w:cs="Times New Roman"/>
          <w:sz w:val="24"/>
          <w:szCs w:val="24"/>
        </w:rPr>
        <w:t>is expected to achieve 80 per cent recycling by 2020</w:t>
      </w:r>
      <w:r w:rsidRPr="004350C4">
        <w:rPr>
          <w:rFonts w:ascii="Times New Roman" w:hAnsi="Times New Roman" w:cs="Times New Roman"/>
          <w:sz w:val="24"/>
          <w:szCs w:val="24"/>
        </w:rPr>
        <w:noBreakHyphen/>
        <w:t>21.</w:t>
      </w:r>
    </w:p>
    <w:p w:rsidR="0011391E" w:rsidRPr="004350C4" w:rsidRDefault="0011391E" w:rsidP="0011391E">
      <w:pPr>
        <w:spacing w:after="0" w:line="240" w:lineRule="auto"/>
        <w:rPr>
          <w:rFonts w:ascii="Times New Roman" w:hAnsi="Times New Roman" w:cs="Times New Roman"/>
          <w:sz w:val="24"/>
          <w:szCs w:val="24"/>
        </w:rPr>
      </w:pPr>
    </w:p>
    <w:p w:rsidR="0011391E" w:rsidRDefault="0011391E" w:rsidP="0011391E">
      <w:pPr>
        <w:spacing w:after="0" w:line="240" w:lineRule="auto"/>
        <w:rPr>
          <w:rFonts w:ascii="Times New Roman" w:hAnsi="Times New Roman" w:cs="Times New Roman"/>
          <w:sz w:val="24"/>
          <w:szCs w:val="24"/>
        </w:rPr>
      </w:pPr>
      <w:r w:rsidRPr="004350C4">
        <w:rPr>
          <w:rFonts w:ascii="Times New Roman" w:hAnsi="Times New Roman" w:cs="Times New Roman"/>
          <w:sz w:val="24"/>
          <w:szCs w:val="24"/>
        </w:rPr>
        <w:t xml:space="preserve">The EPHC’s endorsement for a national collection and recycling scheme for televisions and computers followed extensive consultation and consideration of a Decision </w:t>
      </w:r>
      <w:r w:rsidR="002A424F">
        <w:rPr>
          <w:rFonts w:ascii="Times New Roman" w:hAnsi="Times New Roman" w:cs="Times New Roman"/>
          <w:sz w:val="24"/>
          <w:szCs w:val="24"/>
        </w:rPr>
        <w:t>RIS</w:t>
      </w:r>
      <w:r w:rsidRPr="004350C4">
        <w:rPr>
          <w:rFonts w:ascii="Times New Roman" w:hAnsi="Times New Roman" w:cs="Times New Roman"/>
          <w:sz w:val="24"/>
          <w:szCs w:val="24"/>
        </w:rPr>
        <w:t xml:space="preserve">, which </w:t>
      </w:r>
      <w:r w:rsidRPr="004350C4">
        <w:rPr>
          <w:rFonts w:ascii="Times New Roman" w:hAnsi="Times New Roman" w:cs="Times New Roman"/>
          <w:sz w:val="24"/>
          <w:szCs w:val="24"/>
        </w:rPr>
        <w:lastRenderedPageBreak/>
        <w:t>demonstrated that there was a net community benefit to be achieved from establishing such a scheme.</w:t>
      </w:r>
    </w:p>
    <w:p w:rsidR="0011391E" w:rsidRDefault="0011391E" w:rsidP="0011391E">
      <w:pPr>
        <w:spacing w:after="0" w:line="240" w:lineRule="auto"/>
        <w:rPr>
          <w:rFonts w:ascii="Times New Roman" w:hAnsi="Times New Roman" w:cs="Times New Roman"/>
          <w:sz w:val="24"/>
          <w:szCs w:val="24"/>
        </w:rPr>
      </w:pPr>
    </w:p>
    <w:p w:rsidR="0011391E" w:rsidRPr="00D569B8" w:rsidRDefault="0011391E" w:rsidP="0011391E">
      <w:pPr>
        <w:spacing w:after="0" w:line="240" w:lineRule="auto"/>
        <w:rPr>
          <w:rFonts w:ascii="Times New Roman" w:hAnsi="Times New Roman" w:cs="Times New Roman"/>
          <w:sz w:val="24"/>
          <w:szCs w:val="24"/>
        </w:rPr>
      </w:pPr>
      <w:r w:rsidRPr="00D569B8">
        <w:rPr>
          <w:rFonts w:ascii="Times New Roman" w:hAnsi="Times New Roman" w:cs="Times New Roman"/>
          <w:sz w:val="24"/>
          <w:szCs w:val="24"/>
        </w:rPr>
        <w:t>The</w:t>
      </w:r>
      <w:r>
        <w:rPr>
          <w:rFonts w:ascii="Times New Roman" w:hAnsi="Times New Roman" w:cs="Times New Roman"/>
          <w:sz w:val="24"/>
          <w:szCs w:val="24"/>
        </w:rPr>
        <w:t xml:space="preserve"> Decision</w:t>
      </w:r>
      <w:r w:rsidRPr="00D569B8">
        <w:rPr>
          <w:rFonts w:ascii="Times New Roman" w:hAnsi="Times New Roman" w:cs="Times New Roman"/>
          <w:sz w:val="24"/>
          <w:szCs w:val="24"/>
        </w:rPr>
        <w:t xml:space="preserve"> RIS showed that television and computer waste amounted to approximately 106,000 tonnes (16.8 million units) in 2007-08. Approximately 10 per cent of this was recycled, with the rest being sent to landfill. These waste volumes are increasing and are expected to grow to 181,000 tonnes (44 million units) by 2027-28. </w:t>
      </w:r>
    </w:p>
    <w:p w:rsidR="0011391E" w:rsidRPr="00D569B8" w:rsidRDefault="0011391E" w:rsidP="0011391E">
      <w:pPr>
        <w:spacing w:after="0" w:line="240" w:lineRule="auto"/>
        <w:rPr>
          <w:rFonts w:ascii="Times New Roman" w:hAnsi="Times New Roman" w:cs="Times New Roman"/>
          <w:sz w:val="24"/>
          <w:szCs w:val="24"/>
        </w:rPr>
      </w:pPr>
    </w:p>
    <w:p w:rsidR="0011391E" w:rsidRDefault="0011391E" w:rsidP="0011391E">
      <w:pPr>
        <w:spacing w:after="0" w:line="240" w:lineRule="auto"/>
        <w:rPr>
          <w:rFonts w:ascii="Times New Roman" w:hAnsi="Times New Roman" w:cs="Times New Roman"/>
          <w:sz w:val="24"/>
          <w:szCs w:val="24"/>
        </w:rPr>
      </w:pPr>
      <w:r w:rsidRPr="00D569B8">
        <w:rPr>
          <w:rFonts w:ascii="Times New Roman" w:hAnsi="Times New Roman" w:cs="Times New Roman"/>
          <w:sz w:val="24"/>
          <w:szCs w:val="24"/>
        </w:rPr>
        <w:t xml:space="preserve">The </w:t>
      </w:r>
      <w:r>
        <w:rPr>
          <w:rFonts w:ascii="Times New Roman" w:hAnsi="Times New Roman" w:cs="Times New Roman"/>
          <w:sz w:val="24"/>
          <w:szCs w:val="24"/>
        </w:rPr>
        <w:t xml:space="preserve">Decision </w:t>
      </w:r>
      <w:r w:rsidRPr="00D569B8">
        <w:rPr>
          <w:rFonts w:ascii="Times New Roman" w:hAnsi="Times New Roman" w:cs="Times New Roman"/>
          <w:sz w:val="24"/>
          <w:szCs w:val="24"/>
        </w:rPr>
        <w:t>RIS highlighted a number of problems associated with the current low recycling rate for television and computer products:</w:t>
      </w:r>
    </w:p>
    <w:p w:rsidR="0011391E" w:rsidRPr="00D569B8" w:rsidRDefault="0011391E" w:rsidP="0011391E">
      <w:pPr>
        <w:spacing w:after="0" w:line="240" w:lineRule="auto"/>
        <w:rPr>
          <w:rFonts w:ascii="Times New Roman" w:hAnsi="Times New Roman" w:cs="Times New Roman"/>
          <w:sz w:val="24"/>
          <w:szCs w:val="24"/>
        </w:rPr>
      </w:pPr>
    </w:p>
    <w:p w:rsidR="0011391E" w:rsidRPr="00E14033" w:rsidRDefault="0011391E" w:rsidP="0011391E">
      <w:pPr>
        <w:keepNext/>
        <w:numPr>
          <w:ilvl w:val="0"/>
          <w:numId w:val="33"/>
        </w:numPr>
        <w:spacing w:after="0" w:line="240" w:lineRule="auto"/>
        <w:rPr>
          <w:rFonts w:ascii="Times New Roman" w:hAnsi="Times New Roman" w:cs="Times New Roman"/>
          <w:sz w:val="24"/>
          <w:szCs w:val="24"/>
        </w:rPr>
      </w:pPr>
      <w:r w:rsidRPr="00E14033">
        <w:rPr>
          <w:rFonts w:ascii="Times New Roman" w:hAnsi="Times New Roman" w:cs="Times New Roman"/>
          <w:sz w:val="24"/>
          <w:szCs w:val="24"/>
        </w:rPr>
        <w:t>Failure to conserve non-renewable resources: these products contain embedded non-renewable resources such as glass, plastics and lead that can be recycled, but that are lost when disposed to landfill.</w:t>
      </w:r>
    </w:p>
    <w:p w:rsidR="0011391E" w:rsidRPr="00E14033" w:rsidRDefault="0011391E" w:rsidP="0011391E">
      <w:pPr>
        <w:keepNext/>
        <w:spacing w:after="0" w:line="240" w:lineRule="auto"/>
        <w:ind w:left="360"/>
        <w:rPr>
          <w:rFonts w:ascii="Times New Roman" w:hAnsi="Times New Roman" w:cs="Times New Roman"/>
          <w:sz w:val="24"/>
          <w:szCs w:val="24"/>
        </w:rPr>
      </w:pPr>
    </w:p>
    <w:p w:rsidR="0011391E" w:rsidRPr="00E14033" w:rsidRDefault="0011391E" w:rsidP="0011391E">
      <w:pPr>
        <w:numPr>
          <w:ilvl w:val="0"/>
          <w:numId w:val="33"/>
        </w:numPr>
        <w:spacing w:after="0" w:line="240" w:lineRule="auto"/>
        <w:rPr>
          <w:rFonts w:ascii="Times New Roman" w:hAnsi="Times New Roman" w:cs="Times New Roman"/>
          <w:sz w:val="24"/>
          <w:szCs w:val="24"/>
        </w:rPr>
      </w:pPr>
      <w:r w:rsidRPr="00E14033">
        <w:rPr>
          <w:rFonts w:ascii="Times New Roman" w:hAnsi="Times New Roman" w:cs="Times New Roman"/>
          <w:sz w:val="24"/>
          <w:szCs w:val="24"/>
        </w:rPr>
        <w:t>Failure to take advantage of community willingness to recycle: An independent survey of Australians indicated that respondents would be willing to pay for a guaranteed increase in the recycling rate of non-renewable resources in televisions and computers. This suggests that community expectations are not being met in light of current disposal methods.</w:t>
      </w:r>
    </w:p>
    <w:p w:rsidR="0011391E" w:rsidRPr="00E14033" w:rsidRDefault="0011391E" w:rsidP="0011391E">
      <w:pPr>
        <w:spacing w:after="0" w:line="240" w:lineRule="auto"/>
        <w:ind w:left="360"/>
        <w:rPr>
          <w:rFonts w:ascii="Times New Roman" w:hAnsi="Times New Roman" w:cs="Times New Roman"/>
          <w:sz w:val="24"/>
          <w:szCs w:val="24"/>
        </w:rPr>
      </w:pPr>
    </w:p>
    <w:p w:rsidR="0011391E" w:rsidRPr="00E14033" w:rsidRDefault="0011391E" w:rsidP="0011391E">
      <w:pPr>
        <w:numPr>
          <w:ilvl w:val="0"/>
          <w:numId w:val="33"/>
        </w:numPr>
        <w:spacing w:after="0" w:line="240" w:lineRule="auto"/>
        <w:rPr>
          <w:rFonts w:ascii="Times New Roman" w:hAnsi="Times New Roman" w:cs="Times New Roman"/>
          <w:sz w:val="24"/>
          <w:szCs w:val="24"/>
        </w:rPr>
      </w:pPr>
      <w:r w:rsidRPr="00E14033">
        <w:rPr>
          <w:rFonts w:ascii="Times New Roman" w:hAnsi="Times New Roman" w:cs="Times New Roman"/>
          <w:sz w:val="24"/>
          <w:szCs w:val="24"/>
        </w:rPr>
        <w:t>Free-rider problem: Previous trials of television and computer recycling schemes in Australia have generally been successful because of the program and financial support provided by government, or because they are brand specific. While peak bodies and other key players have expressed interest in establishing recycling schemes, they are unprepared to implement a scheme without full industry participation, that is, to avoid a free-rider problem.</w:t>
      </w:r>
    </w:p>
    <w:p w:rsidR="0011391E" w:rsidRPr="00E14033" w:rsidRDefault="0011391E" w:rsidP="0011391E">
      <w:pPr>
        <w:spacing w:after="0" w:line="240" w:lineRule="auto"/>
        <w:ind w:left="360"/>
        <w:rPr>
          <w:rFonts w:ascii="Times New Roman" w:hAnsi="Times New Roman" w:cs="Times New Roman"/>
          <w:sz w:val="24"/>
          <w:szCs w:val="24"/>
        </w:rPr>
      </w:pPr>
    </w:p>
    <w:p w:rsidR="0011391E" w:rsidRPr="00E14033" w:rsidRDefault="0011391E" w:rsidP="0011391E">
      <w:pPr>
        <w:numPr>
          <w:ilvl w:val="0"/>
          <w:numId w:val="33"/>
        </w:numPr>
        <w:spacing w:after="0" w:line="240" w:lineRule="auto"/>
        <w:rPr>
          <w:rFonts w:ascii="Times New Roman" w:hAnsi="Times New Roman" w:cs="Times New Roman"/>
          <w:sz w:val="24"/>
          <w:szCs w:val="24"/>
        </w:rPr>
      </w:pPr>
      <w:r w:rsidRPr="00E14033">
        <w:rPr>
          <w:rFonts w:ascii="Times New Roman" w:hAnsi="Times New Roman" w:cs="Times New Roman"/>
          <w:sz w:val="24"/>
          <w:szCs w:val="24"/>
        </w:rPr>
        <w:t xml:space="preserve">Costs and risks associated with </w:t>
      </w:r>
      <w:proofErr w:type="spellStart"/>
      <w:r w:rsidRPr="00E14033">
        <w:rPr>
          <w:rFonts w:ascii="Times New Roman" w:hAnsi="Times New Roman" w:cs="Times New Roman"/>
          <w:sz w:val="24"/>
          <w:szCs w:val="24"/>
        </w:rPr>
        <w:t>landfilling</w:t>
      </w:r>
      <w:proofErr w:type="spellEnd"/>
      <w:r w:rsidRPr="00E14033">
        <w:rPr>
          <w:rFonts w:ascii="Times New Roman" w:hAnsi="Times New Roman" w:cs="Times New Roman"/>
          <w:sz w:val="24"/>
          <w:szCs w:val="24"/>
        </w:rPr>
        <w:t xml:space="preserve">: </w:t>
      </w:r>
      <w:proofErr w:type="spellStart"/>
      <w:r w:rsidRPr="00E14033">
        <w:rPr>
          <w:rFonts w:ascii="Times New Roman" w:hAnsi="Times New Roman" w:cs="Times New Roman"/>
          <w:sz w:val="24"/>
          <w:szCs w:val="24"/>
        </w:rPr>
        <w:t>Landfilling</w:t>
      </w:r>
      <w:proofErr w:type="spellEnd"/>
      <w:r w:rsidRPr="00E14033">
        <w:rPr>
          <w:rFonts w:ascii="Times New Roman" w:hAnsi="Times New Roman" w:cs="Times New Roman"/>
          <w:sz w:val="24"/>
          <w:szCs w:val="24"/>
        </w:rPr>
        <w:t xml:space="preserve"> of television and computer products may also present risks and costs because of the hazardous substances they contain. Materials such as lead, bromine, mercury and zinc can be dangerous to humans and the environment. The projected growth in landfill volumes of televisions and computer products will also contribute to the direct costs of operating landfills and the opportunity costs of land.</w:t>
      </w:r>
    </w:p>
    <w:p w:rsidR="0011391E" w:rsidRPr="00E14033" w:rsidRDefault="0011391E" w:rsidP="0011391E">
      <w:pPr>
        <w:spacing w:after="0" w:line="240" w:lineRule="auto"/>
        <w:ind w:left="360"/>
        <w:rPr>
          <w:rFonts w:ascii="Times New Roman" w:hAnsi="Times New Roman" w:cs="Times New Roman"/>
          <w:sz w:val="24"/>
          <w:szCs w:val="24"/>
        </w:rPr>
      </w:pPr>
    </w:p>
    <w:p w:rsidR="0011391E" w:rsidRPr="00D569B8" w:rsidRDefault="0011391E" w:rsidP="0011391E">
      <w:pPr>
        <w:numPr>
          <w:ilvl w:val="0"/>
          <w:numId w:val="33"/>
        </w:numPr>
        <w:spacing w:after="0" w:line="240" w:lineRule="auto"/>
        <w:rPr>
          <w:rFonts w:ascii="Times New Roman" w:hAnsi="Times New Roman" w:cs="Times New Roman"/>
          <w:sz w:val="24"/>
          <w:szCs w:val="24"/>
        </w:rPr>
      </w:pPr>
      <w:r w:rsidRPr="00E14033">
        <w:rPr>
          <w:rFonts w:ascii="Times New Roman" w:hAnsi="Times New Roman" w:cs="Times New Roman"/>
          <w:sz w:val="24"/>
          <w:szCs w:val="24"/>
        </w:rPr>
        <w:t xml:space="preserve">International obligations: As a signatory to the Basel Convention on the Control of the </w:t>
      </w:r>
      <w:proofErr w:type="spellStart"/>
      <w:r w:rsidRPr="00E14033">
        <w:rPr>
          <w:rFonts w:ascii="Times New Roman" w:hAnsi="Times New Roman" w:cs="Times New Roman"/>
          <w:sz w:val="24"/>
          <w:szCs w:val="24"/>
        </w:rPr>
        <w:t>Transboundary</w:t>
      </w:r>
      <w:proofErr w:type="spellEnd"/>
      <w:r w:rsidRPr="00E14033">
        <w:rPr>
          <w:rFonts w:ascii="Times New Roman" w:hAnsi="Times New Roman" w:cs="Times New Roman"/>
          <w:sz w:val="24"/>
          <w:szCs w:val="24"/>
        </w:rPr>
        <w:t xml:space="preserve"> Movement of Hazardous Waste and Their Disposal and </w:t>
      </w:r>
      <w:r w:rsidR="00581ADA">
        <w:rPr>
          <w:rFonts w:ascii="Times New Roman" w:hAnsi="Times New Roman" w:cs="Times New Roman"/>
          <w:sz w:val="24"/>
          <w:szCs w:val="24"/>
        </w:rPr>
        <w:t xml:space="preserve">the </w:t>
      </w:r>
      <w:r w:rsidRPr="00E14033">
        <w:rPr>
          <w:rFonts w:ascii="Times New Roman" w:hAnsi="Times New Roman" w:cs="Times New Roman"/>
          <w:sz w:val="24"/>
          <w:szCs w:val="24"/>
        </w:rPr>
        <w:t>Stockholm</w:t>
      </w:r>
      <w:r w:rsidRPr="00D569B8">
        <w:rPr>
          <w:rFonts w:ascii="Times New Roman" w:hAnsi="Times New Roman" w:cs="Times New Roman"/>
          <w:sz w:val="24"/>
          <w:szCs w:val="24"/>
        </w:rPr>
        <w:t xml:space="preserve"> Convention on Persistent Organic Pollutants, Australia is required, among other things, to ensure that the generation of hazardous and other wastes within Australia is reduced to a minimum and ensure that wastes are disposed of in a manner that protects human health and the environment against any adverse effects of such waste.</w:t>
      </w:r>
    </w:p>
    <w:p w:rsidR="0011391E" w:rsidRDefault="0011391E" w:rsidP="0011391E">
      <w:pPr>
        <w:spacing w:after="0" w:line="240" w:lineRule="auto"/>
        <w:rPr>
          <w:rFonts w:ascii="Times New Roman" w:hAnsi="Times New Roman" w:cs="Times New Roman"/>
          <w:color w:val="000000"/>
          <w:sz w:val="24"/>
          <w:szCs w:val="24"/>
        </w:rPr>
      </w:pPr>
    </w:p>
    <w:p w:rsidR="0011391E" w:rsidRDefault="0011391E" w:rsidP="0011391E">
      <w:pPr>
        <w:spacing w:after="0" w:line="240" w:lineRule="auto"/>
        <w:rPr>
          <w:rFonts w:ascii="Times New Roman" w:hAnsi="Times New Roman" w:cs="Times New Roman"/>
          <w:color w:val="000000"/>
          <w:sz w:val="24"/>
          <w:szCs w:val="24"/>
        </w:rPr>
      </w:pPr>
      <w:r w:rsidRPr="00D569B8">
        <w:rPr>
          <w:rFonts w:ascii="Times New Roman" w:hAnsi="Times New Roman" w:cs="Times New Roman"/>
          <w:color w:val="000000"/>
          <w:sz w:val="24"/>
          <w:szCs w:val="24"/>
        </w:rPr>
        <w:t>In line with the aims of the National Waste Policy and the objects of the Act, the objectives of the Scheme are to:</w:t>
      </w:r>
    </w:p>
    <w:p w:rsidR="0011391E" w:rsidRPr="00D569B8" w:rsidRDefault="0011391E" w:rsidP="0011391E">
      <w:pPr>
        <w:spacing w:after="0" w:line="240" w:lineRule="auto"/>
        <w:rPr>
          <w:rFonts w:ascii="Times New Roman" w:eastAsia="Times New Roman" w:hAnsi="Times New Roman" w:cs="Times New Roman"/>
          <w:sz w:val="24"/>
          <w:szCs w:val="24"/>
          <w:lang w:eastAsia="en-AU"/>
        </w:rPr>
      </w:pPr>
    </w:p>
    <w:p w:rsidR="0011391E" w:rsidRDefault="0011391E" w:rsidP="0011391E">
      <w:pPr>
        <w:numPr>
          <w:ilvl w:val="0"/>
          <w:numId w:val="34"/>
        </w:numPr>
        <w:autoSpaceDE w:val="0"/>
        <w:autoSpaceDN w:val="0"/>
        <w:adjustRightInd w:val="0"/>
        <w:spacing w:after="0" w:line="240" w:lineRule="auto"/>
        <w:ind w:left="360"/>
        <w:rPr>
          <w:rFonts w:ascii="Times New Roman" w:hAnsi="Times New Roman" w:cs="Times New Roman"/>
          <w:color w:val="000000"/>
          <w:sz w:val="24"/>
          <w:szCs w:val="24"/>
        </w:rPr>
      </w:pPr>
      <w:r w:rsidRPr="00D569B8">
        <w:rPr>
          <w:rFonts w:ascii="Times New Roman" w:hAnsi="Times New Roman" w:cs="Times New Roman"/>
          <w:color w:val="000000"/>
          <w:sz w:val="24"/>
          <w:szCs w:val="24"/>
        </w:rPr>
        <w:t>reduce the amount of television and computer waste (particularly hazardous waste materials) for disposal to landfill;</w:t>
      </w:r>
    </w:p>
    <w:p w:rsidR="0011391E" w:rsidRPr="00D569B8" w:rsidRDefault="0011391E" w:rsidP="0011391E">
      <w:pPr>
        <w:autoSpaceDE w:val="0"/>
        <w:autoSpaceDN w:val="0"/>
        <w:adjustRightInd w:val="0"/>
        <w:spacing w:after="0" w:line="240" w:lineRule="auto"/>
        <w:ind w:left="360"/>
        <w:rPr>
          <w:rFonts w:ascii="Times New Roman" w:hAnsi="Times New Roman" w:cs="Times New Roman"/>
          <w:color w:val="000000"/>
          <w:sz w:val="24"/>
          <w:szCs w:val="24"/>
        </w:rPr>
      </w:pPr>
    </w:p>
    <w:p w:rsidR="0011391E" w:rsidRDefault="0011391E" w:rsidP="0011391E">
      <w:pPr>
        <w:numPr>
          <w:ilvl w:val="0"/>
          <w:numId w:val="34"/>
        </w:numPr>
        <w:autoSpaceDE w:val="0"/>
        <w:autoSpaceDN w:val="0"/>
        <w:adjustRightInd w:val="0"/>
        <w:spacing w:after="0" w:line="240" w:lineRule="auto"/>
        <w:ind w:left="360"/>
        <w:rPr>
          <w:rFonts w:ascii="Times New Roman" w:hAnsi="Times New Roman" w:cs="Times New Roman"/>
          <w:color w:val="000000"/>
          <w:sz w:val="24"/>
          <w:szCs w:val="24"/>
        </w:rPr>
      </w:pPr>
      <w:r w:rsidRPr="00D569B8">
        <w:rPr>
          <w:rFonts w:ascii="Times New Roman" w:hAnsi="Times New Roman" w:cs="Times New Roman"/>
          <w:color w:val="000000"/>
          <w:sz w:val="24"/>
          <w:szCs w:val="24"/>
        </w:rPr>
        <w:t>increase recovery of resources from end-of-life television and computer products in a safe, scientific and environmentally sound manner;</w:t>
      </w:r>
    </w:p>
    <w:p w:rsidR="0011391E" w:rsidRPr="00D569B8" w:rsidRDefault="0011391E" w:rsidP="0011391E">
      <w:pPr>
        <w:autoSpaceDE w:val="0"/>
        <w:autoSpaceDN w:val="0"/>
        <w:adjustRightInd w:val="0"/>
        <w:spacing w:after="0" w:line="240" w:lineRule="auto"/>
        <w:ind w:left="360"/>
        <w:rPr>
          <w:rFonts w:ascii="Times New Roman" w:hAnsi="Times New Roman" w:cs="Times New Roman"/>
          <w:color w:val="000000"/>
          <w:sz w:val="24"/>
          <w:szCs w:val="24"/>
        </w:rPr>
      </w:pPr>
    </w:p>
    <w:p w:rsidR="0011391E" w:rsidRDefault="0011391E" w:rsidP="0011391E">
      <w:pPr>
        <w:numPr>
          <w:ilvl w:val="0"/>
          <w:numId w:val="34"/>
        </w:numPr>
        <w:autoSpaceDE w:val="0"/>
        <w:autoSpaceDN w:val="0"/>
        <w:adjustRightInd w:val="0"/>
        <w:spacing w:after="0" w:line="240" w:lineRule="auto"/>
        <w:ind w:left="360"/>
        <w:rPr>
          <w:rFonts w:ascii="Times New Roman" w:hAnsi="Times New Roman" w:cs="Times New Roman"/>
          <w:color w:val="000000"/>
          <w:sz w:val="24"/>
          <w:szCs w:val="24"/>
        </w:rPr>
      </w:pPr>
      <w:r w:rsidRPr="00D569B8">
        <w:rPr>
          <w:rFonts w:ascii="Times New Roman" w:hAnsi="Times New Roman" w:cs="Times New Roman"/>
          <w:color w:val="000000"/>
          <w:sz w:val="24"/>
          <w:szCs w:val="24"/>
        </w:rPr>
        <w:t>ensure national coverage; and</w:t>
      </w:r>
    </w:p>
    <w:p w:rsidR="0011391E" w:rsidRPr="00D569B8" w:rsidRDefault="0011391E" w:rsidP="0011391E">
      <w:pPr>
        <w:autoSpaceDE w:val="0"/>
        <w:autoSpaceDN w:val="0"/>
        <w:adjustRightInd w:val="0"/>
        <w:spacing w:after="0" w:line="240" w:lineRule="auto"/>
        <w:ind w:left="360"/>
        <w:rPr>
          <w:rFonts w:ascii="Times New Roman" w:hAnsi="Times New Roman" w:cs="Times New Roman"/>
          <w:color w:val="000000"/>
          <w:sz w:val="24"/>
          <w:szCs w:val="24"/>
        </w:rPr>
      </w:pPr>
    </w:p>
    <w:p w:rsidR="0011391E" w:rsidRPr="009F5CA6" w:rsidRDefault="0031726A" w:rsidP="0011391E">
      <w:pPr>
        <w:numPr>
          <w:ilvl w:val="0"/>
          <w:numId w:val="34"/>
        </w:num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provide for </w:t>
      </w:r>
      <w:r w:rsidR="0011391E" w:rsidRPr="00D569B8">
        <w:rPr>
          <w:rFonts w:ascii="Times New Roman" w:hAnsi="Times New Roman" w:cs="Times New Roman"/>
          <w:color w:val="000000"/>
          <w:sz w:val="24"/>
          <w:szCs w:val="24"/>
        </w:rPr>
        <w:t>fair and equitable industry participation in the Scheme.</w:t>
      </w:r>
      <w:r w:rsidR="0011391E" w:rsidRPr="009F5CA6">
        <w:rPr>
          <w:rFonts w:ascii="Times New Roman" w:hAnsi="Times New Roman" w:cs="Times New Roman"/>
          <w:color w:val="000000"/>
          <w:sz w:val="24"/>
          <w:szCs w:val="24"/>
        </w:rPr>
        <w:t xml:space="preserve"> </w:t>
      </w:r>
      <w:r w:rsidR="0011391E" w:rsidRPr="009F5CA6">
        <w:rPr>
          <w:rFonts w:ascii="Times New Roman" w:hAnsi="Times New Roman" w:cs="Times New Roman"/>
          <w:sz w:val="24"/>
          <w:szCs w:val="24"/>
        </w:rPr>
        <w:t xml:space="preserve"> </w:t>
      </w:r>
    </w:p>
    <w:p w:rsidR="0011391E" w:rsidRDefault="0011391E" w:rsidP="0011391E">
      <w:pPr>
        <w:spacing w:after="0" w:line="240" w:lineRule="auto"/>
        <w:rPr>
          <w:rFonts w:ascii="Times New Roman" w:hAnsi="Times New Roman" w:cs="Times New Roman"/>
          <w:b/>
          <w:color w:val="000000"/>
          <w:sz w:val="24"/>
          <w:szCs w:val="24"/>
        </w:rPr>
      </w:pPr>
    </w:p>
    <w:p w:rsidR="0011391E" w:rsidRPr="00647E64" w:rsidRDefault="0011391E" w:rsidP="0011391E">
      <w:pPr>
        <w:spacing w:after="0" w:line="240" w:lineRule="auto"/>
        <w:rPr>
          <w:rFonts w:ascii="Times New Roman" w:eastAsia="Times New Roman" w:hAnsi="Times New Roman" w:cs="Times New Roman"/>
          <w:sz w:val="24"/>
          <w:szCs w:val="24"/>
          <w:lang w:eastAsia="en-AU"/>
        </w:rPr>
      </w:pPr>
      <w:r w:rsidRPr="00647E64">
        <w:rPr>
          <w:rFonts w:ascii="Times New Roman" w:eastAsia="Times New Roman" w:hAnsi="Times New Roman" w:cs="Times New Roman"/>
          <w:b/>
          <w:bCs/>
          <w:sz w:val="24"/>
          <w:szCs w:val="24"/>
          <w:lang w:eastAsia="en-AU"/>
        </w:rPr>
        <w:t>Purpose</w:t>
      </w:r>
      <w:r w:rsidR="009C7D40">
        <w:rPr>
          <w:rFonts w:ascii="Times New Roman" w:eastAsia="Times New Roman" w:hAnsi="Times New Roman" w:cs="Times New Roman"/>
          <w:b/>
          <w:bCs/>
          <w:sz w:val="24"/>
          <w:szCs w:val="24"/>
          <w:lang w:eastAsia="en-AU"/>
        </w:rPr>
        <w:t xml:space="preserve"> and effect of the Regulations</w:t>
      </w:r>
    </w:p>
    <w:p w:rsidR="0011391E" w:rsidRPr="00647E64" w:rsidRDefault="0011391E" w:rsidP="0011391E">
      <w:pPr>
        <w:spacing w:after="0" w:line="240" w:lineRule="auto"/>
        <w:rPr>
          <w:rFonts w:ascii="Times New Roman" w:eastAsia="Times New Roman" w:hAnsi="Times New Roman" w:cs="Times New Roman"/>
          <w:sz w:val="24"/>
          <w:szCs w:val="24"/>
          <w:lang w:eastAsia="en-AU"/>
        </w:rPr>
      </w:pPr>
    </w:p>
    <w:p w:rsidR="00B327E7" w:rsidRDefault="00E046D0" w:rsidP="0011391E">
      <w:pPr>
        <w:spacing w:after="0" w:line="240" w:lineRule="auto"/>
        <w:rPr>
          <w:rFonts w:ascii="Times New Roman" w:hAnsi="Times New Roman" w:cs="Times New Roman"/>
          <w:color w:val="000000"/>
          <w:sz w:val="24"/>
          <w:szCs w:val="24"/>
        </w:rPr>
      </w:pPr>
      <w:r w:rsidRPr="009F5CA6">
        <w:rPr>
          <w:rFonts w:ascii="Times New Roman" w:hAnsi="Times New Roman" w:cs="Times New Roman"/>
          <w:sz w:val="24"/>
          <w:szCs w:val="24"/>
        </w:rPr>
        <w:t xml:space="preserve">The </w:t>
      </w:r>
      <w:r>
        <w:rPr>
          <w:rFonts w:ascii="Times New Roman" w:hAnsi="Times New Roman" w:cs="Times New Roman"/>
          <w:sz w:val="24"/>
          <w:szCs w:val="24"/>
        </w:rPr>
        <w:t xml:space="preserve">Regulations give effect to the </w:t>
      </w:r>
      <w:r w:rsidRPr="00D569B8">
        <w:rPr>
          <w:rFonts w:ascii="Times New Roman" w:hAnsi="Times New Roman" w:cs="Times New Roman"/>
          <w:color w:val="000000"/>
          <w:sz w:val="24"/>
          <w:szCs w:val="24"/>
        </w:rPr>
        <w:t xml:space="preserve">Scheme </w:t>
      </w:r>
      <w:r>
        <w:rPr>
          <w:rFonts w:ascii="Times New Roman" w:hAnsi="Times New Roman" w:cs="Times New Roman"/>
          <w:color w:val="000000"/>
          <w:sz w:val="24"/>
          <w:szCs w:val="24"/>
        </w:rPr>
        <w:t>under the co-regulatory provisions of the Act</w:t>
      </w:r>
      <w:r w:rsidR="00B327E7">
        <w:rPr>
          <w:rFonts w:ascii="Times New Roman" w:hAnsi="Times New Roman" w:cs="Times New Roman"/>
          <w:color w:val="000000"/>
          <w:sz w:val="24"/>
          <w:szCs w:val="24"/>
        </w:rPr>
        <w:t>.</w:t>
      </w:r>
    </w:p>
    <w:p w:rsidR="00B327E7" w:rsidRDefault="00B327E7" w:rsidP="0011391E">
      <w:pPr>
        <w:spacing w:after="0" w:line="240" w:lineRule="auto"/>
        <w:rPr>
          <w:rFonts w:ascii="Times New Roman" w:hAnsi="Times New Roman" w:cs="Times New Roman"/>
          <w:color w:val="000000"/>
          <w:sz w:val="24"/>
          <w:szCs w:val="24"/>
        </w:rPr>
      </w:pPr>
    </w:p>
    <w:p w:rsidR="00B327E7" w:rsidRDefault="00B327E7" w:rsidP="001139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combined effect of the Regulations and the Act is to require above-threshold importers and domestic manufacturers of covered products to participate in industry-run efforts to achieve the outcomes in the regulations.</w:t>
      </w:r>
    </w:p>
    <w:p w:rsidR="00B327E7" w:rsidRDefault="00B327E7" w:rsidP="0011391E">
      <w:pPr>
        <w:spacing w:after="0" w:line="240" w:lineRule="auto"/>
        <w:rPr>
          <w:rFonts w:ascii="Times New Roman" w:hAnsi="Times New Roman" w:cs="Times New Roman"/>
          <w:color w:val="000000"/>
          <w:sz w:val="24"/>
          <w:szCs w:val="24"/>
        </w:rPr>
      </w:pPr>
    </w:p>
    <w:p w:rsidR="00E046D0" w:rsidRPr="00B327E7" w:rsidRDefault="00B327E7" w:rsidP="0011391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These outcomes include providing the community with reasonable access to collection services, and meeting annual recycling targets.  By 2021, the Scheme will </w:t>
      </w:r>
      <w:r w:rsidR="00E046D0" w:rsidRPr="009F5CA6">
        <w:rPr>
          <w:rFonts w:ascii="Times New Roman" w:hAnsi="Times New Roman" w:cs="Times New Roman"/>
          <w:sz w:val="24"/>
          <w:szCs w:val="24"/>
        </w:rPr>
        <w:t>increase recycling rate</w:t>
      </w:r>
      <w:r w:rsidR="00E046D0">
        <w:rPr>
          <w:rFonts w:ascii="Times New Roman" w:hAnsi="Times New Roman" w:cs="Times New Roman"/>
          <w:sz w:val="24"/>
          <w:szCs w:val="24"/>
        </w:rPr>
        <w:t>s</w:t>
      </w:r>
      <w:r w:rsidR="00E046D0" w:rsidRPr="009F5CA6">
        <w:rPr>
          <w:rFonts w:ascii="Times New Roman" w:hAnsi="Times New Roman" w:cs="Times New Roman"/>
          <w:sz w:val="24"/>
          <w:szCs w:val="24"/>
        </w:rPr>
        <w:t xml:space="preserve"> </w:t>
      </w:r>
      <w:r w:rsidR="00E046D0" w:rsidRPr="00D569B8">
        <w:rPr>
          <w:rFonts w:ascii="Times New Roman" w:hAnsi="Times New Roman" w:cs="Times New Roman"/>
          <w:color w:val="000000"/>
          <w:sz w:val="24"/>
          <w:szCs w:val="24"/>
        </w:rPr>
        <w:t>to 80 percent of waste televisions, computers and computer products generated in that year (up from 10 per cent in 2007-2008)</w:t>
      </w:r>
      <w:r w:rsidR="00E046D0" w:rsidRPr="009F5CA6">
        <w:rPr>
          <w:rFonts w:ascii="Times New Roman" w:hAnsi="Times New Roman" w:cs="Times New Roman"/>
          <w:sz w:val="24"/>
          <w:szCs w:val="24"/>
        </w:rPr>
        <w:t>.</w:t>
      </w:r>
    </w:p>
    <w:p w:rsidR="00E046D0" w:rsidRDefault="00E046D0" w:rsidP="0011391E">
      <w:pPr>
        <w:spacing w:after="0" w:line="240" w:lineRule="auto"/>
        <w:rPr>
          <w:rFonts w:ascii="Times New Roman" w:hAnsi="Times New Roman" w:cs="Times New Roman"/>
          <w:sz w:val="24"/>
          <w:szCs w:val="24"/>
        </w:rPr>
      </w:pPr>
    </w:p>
    <w:p w:rsidR="006A2BBE" w:rsidRDefault="00524885">
      <w:pPr>
        <w:spacing w:after="0" w:line="240" w:lineRule="auto"/>
        <w:ind w:right="91"/>
        <w:rPr>
          <w:rFonts w:ascii="Times New Roman" w:hAnsi="Times New Roman" w:cs="Times New Roman"/>
          <w:sz w:val="24"/>
          <w:szCs w:val="24"/>
        </w:rPr>
      </w:pPr>
      <w:r w:rsidRPr="00647E64">
        <w:rPr>
          <w:rFonts w:ascii="Times New Roman" w:hAnsi="Times New Roman" w:cs="Times New Roman"/>
          <w:sz w:val="24"/>
          <w:szCs w:val="24"/>
        </w:rPr>
        <w:t xml:space="preserve">The Scheme does not change the existing role of state, territory and local governments and there are no requirements that obligate these governments to take on a direct role </w:t>
      </w:r>
      <w:r w:rsidR="00EF131B">
        <w:rPr>
          <w:rFonts w:ascii="Times New Roman" w:hAnsi="Times New Roman" w:cs="Times New Roman"/>
          <w:sz w:val="24"/>
          <w:szCs w:val="24"/>
        </w:rPr>
        <w:t>in the Scheme.</w:t>
      </w:r>
    </w:p>
    <w:p w:rsidR="00A2486E" w:rsidRDefault="00A2486E">
      <w:pPr>
        <w:spacing w:after="0" w:line="240" w:lineRule="auto"/>
        <w:ind w:right="91"/>
        <w:rPr>
          <w:rFonts w:ascii="Times New Roman" w:hAnsi="Times New Roman" w:cs="Times New Roman"/>
          <w:sz w:val="24"/>
          <w:szCs w:val="24"/>
        </w:rPr>
      </w:pPr>
    </w:p>
    <w:p w:rsidR="0031726A" w:rsidRPr="0031726A" w:rsidRDefault="00233A80" w:rsidP="00E046D0">
      <w:pPr>
        <w:spacing w:after="0" w:line="240" w:lineRule="auto"/>
        <w:rPr>
          <w:rFonts w:ascii="Times New Roman" w:hAnsi="Times New Roman" w:cs="Times New Roman"/>
          <w:b/>
          <w:sz w:val="24"/>
          <w:szCs w:val="24"/>
        </w:rPr>
      </w:pPr>
      <w:r>
        <w:rPr>
          <w:rFonts w:ascii="Times New Roman" w:hAnsi="Times New Roman" w:cs="Times New Roman"/>
          <w:b/>
          <w:sz w:val="24"/>
          <w:szCs w:val="24"/>
        </w:rPr>
        <w:t>Conditions</w:t>
      </w:r>
      <w:r w:rsidR="009C7D40">
        <w:rPr>
          <w:rFonts w:ascii="Times New Roman" w:hAnsi="Times New Roman" w:cs="Times New Roman"/>
          <w:b/>
          <w:sz w:val="24"/>
          <w:szCs w:val="24"/>
        </w:rPr>
        <w:t xml:space="preserve"> for the making of the R</w:t>
      </w:r>
      <w:r w:rsidR="00617E86" w:rsidRPr="00617E86">
        <w:rPr>
          <w:rFonts w:ascii="Times New Roman" w:hAnsi="Times New Roman" w:cs="Times New Roman"/>
          <w:b/>
          <w:sz w:val="24"/>
          <w:szCs w:val="24"/>
        </w:rPr>
        <w:t>egulations</w:t>
      </w:r>
      <w:r w:rsidR="0031726A">
        <w:rPr>
          <w:rFonts w:ascii="Times New Roman" w:hAnsi="Times New Roman" w:cs="Times New Roman"/>
          <w:b/>
          <w:sz w:val="24"/>
          <w:szCs w:val="24"/>
        </w:rPr>
        <w:t xml:space="preserve"> have been met</w:t>
      </w:r>
    </w:p>
    <w:p w:rsidR="0031726A" w:rsidRDefault="0031726A" w:rsidP="00E046D0">
      <w:pPr>
        <w:spacing w:after="0" w:line="240" w:lineRule="auto"/>
        <w:rPr>
          <w:rFonts w:ascii="Times New Roman" w:hAnsi="Times New Roman" w:cs="Times New Roman"/>
          <w:sz w:val="24"/>
          <w:szCs w:val="24"/>
        </w:rPr>
      </w:pPr>
    </w:p>
    <w:p w:rsidR="0031726A" w:rsidRDefault="0031726A" w:rsidP="00E046D0">
      <w:pPr>
        <w:spacing w:after="0" w:line="240" w:lineRule="auto"/>
        <w:rPr>
          <w:rFonts w:ascii="Times New Roman" w:hAnsi="Times New Roman" w:cs="Times New Roman"/>
          <w:sz w:val="24"/>
          <w:szCs w:val="24"/>
        </w:rPr>
      </w:pPr>
      <w:r>
        <w:rPr>
          <w:rFonts w:ascii="Times New Roman" w:hAnsi="Times New Roman" w:cs="Times New Roman"/>
          <w:sz w:val="24"/>
          <w:szCs w:val="24"/>
        </w:rPr>
        <w:t>For the purposes of subsection 19(3) of the Act, the Minister is satisfied that:</w:t>
      </w:r>
    </w:p>
    <w:p w:rsidR="0031726A" w:rsidRDefault="0031726A" w:rsidP="00E046D0">
      <w:pPr>
        <w:spacing w:after="0" w:line="240" w:lineRule="auto"/>
        <w:rPr>
          <w:rFonts w:ascii="Times New Roman" w:hAnsi="Times New Roman" w:cs="Times New Roman"/>
          <w:sz w:val="24"/>
          <w:szCs w:val="24"/>
        </w:rPr>
      </w:pPr>
    </w:p>
    <w:p w:rsidR="00233A80" w:rsidRDefault="0031726A">
      <w:pPr>
        <w:pStyle w:val="ListParagraph"/>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617E86" w:rsidRPr="00617E86">
        <w:rPr>
          <w:rFonts w:ascii="Times New Roman" w:hAnsi="Times New Roman" w:cs="Times New Roman"/>
          <w:sz w:val="24"/>
          <w:szCs w:val="24"/>
        </w:rPr>
        <w:t xml:space="preserve">aking the regulations in relation </w:t>
      </w:r>
      <w:r w:rsidR="009C7D40">
        <w:rPr>
          <w:rFonts w:ascii="Times New Roman" w:hAnsi="Times New Roman" w:cs="Times New Roman"/>
          <w:sz w:val="24"/>
          <w:szCs w:val="24"/>
        </w:rPr>
        <w:t>t</w:t>
      </w:r>
      <w:r w:rsidR="00617E86" w:rsidRPr="00617E86">
        <w:rPr>
          <w:rFonts w:ascii="Times New Roman" w:hAnsi="Times New Roman" w:cs="Times New Roman"/>
          <w:sz w:val="24"/>
          <w:szCs w:val="24"/>
        </w:rPr>
        <w:t>o the classes of products specified will further the objects of the Act;</w:t>
      </w:r>
    </w:p>
    <w:p w:rsidR="0031726A" w:rsidRDefault="0031726A" w:rsidP="00E046D0">
      <w:pPr>
        <w:spacing w:after="0" w:line="240" w:lineRule="auto"/>
        <w:rPr>
          <w:rFonts w:ascii="Times New Roman" w:hAnsi="Times New Roman" w:cs="Times New Roman"/>
          <w:sz w:val="24"/>
          <w:szCs w:val="24"/>
        </w:rPr>
      </w:pPr>
    </w:p>
    <w:p w:rsidR="00233A80" w:rsidRDefault="0031726A">
      <w:pPr>
        <w:pStyle w:val="ListParagraph"/>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17E86" w:rsidRPr="00617E86">
        <w:rPr>
          <w:rFonts w:ascii="Times New Roman" w:hAnsi="Times New Roman" w:cs="Times New Roman"/>
          <w:sz w:val="24"/>
          <w:szCs w:val="24"/>
        </w:rPr>
        <w:t>he product stewardship criteria set out in section 5 are satisfied in relation to the classes of products specified; and</w:t>
      </w:r>
    </w:p>
    <w:p w:rsidR="0031726A" w:rsidRDefault="0031726A" w:rsidP="00E046D0">
      <w:pPr>
        <w:spacing w:after="0" w:line="240" w:lineRule="auto"/>
        <w:rPr>
          <w:rFonts w:ascii="Times New Roman" w:hAnsi="Times New Roman" w:cs="Times New Roman"/>
          <w:sz w:val="24"/>
          <w:szCs w:val="24"/>
        </w:rPr>
      </w:pPr>
    </w:p>
    <w:p w:rsidR="00233A80" w:rsidRDefault="0031726A">
      <w:pPr>
        <w:pStyle w:val="ListParagraph"/>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17E86" w:rsidRPr="00617E86">
        <w:rPr>
          <w:rFonts w:ascii="Times New Roman" w:hAnsi="Times New Roman" w:cs="Times New Roman"/>
          <w:sz w:val="24"/>
          <w:szCs w:val="24"/>
        </w:rPr>
        <w:t>here are special circumstances justifying the making of the regulations without the notification in accordance with subsection 19(3)(c)(</w:t>
      </w:r>
      <w:proofErr w:type="spellStart"/>
      <w:r w:rsidR="00617E86" w:rsidRPr="00617E86">
        <w:rPr>
          <w:rFonts w:ascii="Times New Roman" w:hAnsi="Times New Roman" w:cs="Times New Roman"/>
          <w:sz w:val="24"/>
          <w:szCs w:val="24"/>
        </w:rPr>
        <w:t>i</w:t>
      </w:r>
      <w:proofErr w:type="spellEnd"/>
      <w:r w:rsidR="00617E86" w:rsidRPr="00617E86">
        <w:rPr>
          <w:rFonts w:ascii="Times New Roman" w:hAnsi="Times New Roman" w:cs="Times New Roman"/>
          <w:sz w:val="24"/>
          <w:szCs w:val="24"/>
        </w:rPr>
        <w:t>).</w:t>
      </w:r>
    </w:p>
    <w:p w:rsidR="0031726A" w:rsidRPr="0031726A" w:rsidRDefault="0031726A" w:rsidP="00E046D0">
      <w:pPr>
        <w:spacing w:after="0" w:line="240" w:lineRule="auto"/>
        <w:rPr>
          <w:rFonts w:ascii="Times New Roman" w:hAnsi="Times New Roman" w:cs="Times New Roman"/>
          <w:sz w:val="24"/>
          <w:szCs w:val="24"/>
        </w:rPr>
      </w:pPr>
    </w:p>
    <w:p w:rsidR="00E046D0" w:rsidRPr="00647E64" w:rsidRDefault="00E046D0" w:rsidP="00E046D0">
      <w:pPr>
        <w:spacing w:after="0" w:line="240" w:lineRule="auto"/>
        <w:rPr>
          <w:rFonts w:ascii="Times New Roman" w:hAnsi="Times New Roman" w:cs="Times New Roman"/>
          <w:b/>
          <w:sz w:val="24"/>
          <w:szCs w:val="24"/>
        </w:rPr>
      </w:pPr>
      <w:r w:rsidRPr="00647E64">
        <w:rPr>
          <w:rFonts w:ascii="Times New Roman" w:hAnsi="Times New Roman" w:cs="Times New Roman"/>
          <w:b/>
          <w:sz w:val="24"/>
          <w:szCs w:val="24"/>
        </w:rPr>
        <w:t>Statement setting out special circumstances</w:t>
      </w:r>
      <w:r w:rsidR="00C415EE">
        <w:rPr>
          <w:rFonts w:ascii="Times New Roman" w:hAnsi="Times New Roman" w:cs="Times New Roman"/>
          <w:b/>
          <w:sz w:val="24"/>
          <w:szCs w:val="24"/>
        </w:rPr>
        <w:t xml:space="preserve"> for section 19(3) of the Act</w:t>
      </w:r>
    </w:p>
    <w:p w:rsidR="00E046D0" w:rsidRDefault="00E046D0" w:rsidP="00E046D0">
      <w:pPr>
        <w:spacing w:after="0" w:line="240" w:lineRule="auto"/>
        <w:rPr>
          <w:rFonts w:ascii="Times New Roman" w:hAnsi="Times New Roman" w:cs="Times New Roman"/>
          <w:i/>
          <w:sz w:val="24"/>
          <w:szCs w:val="24"/>
          <w:u w:val="single"/>
        </w:rPr>
      </w:pPr>
    </w:p>
    <w:p w:rsidR="00E046D0" w:rsidRPr="00647E64" w:rsidRDefault="00E046D0" w:rsidP="00E046D0">
      <w:pPr>
        <w:spacing w:after="0" w:line="240" w:lineRule="auto"/>
        <w:rPr>
          <w:rFonts w:ascii="Times New Roman" w:hAnsi="Times New Roman" w:cs="Times New Roman"/>
          <w:sz w:val="24"/>
          <w:szCs w:val="24"/>
        </w:rPr>
      </w:pPr>
      <w:r w:rsidRPr="00647E64">
        <w:rPr>
          <w:rFonts w:ascii="Times New Roman" w:hAnsi="Times New Roman" w:cs="Times New Roman"/>
          <w:sz w:val="24"/>
          <w:szCs w:val="24"/>
        </w:rPr>
        <w:t xml:space="preserve">Before regulations can be made specifying a person (or class of persons) as a liable party in relation to a class of products, </w:t>
      </w:r>
      <w:r w:rsidR="0031726A">
        <w:rPr>
          <w:rFonts w:ascii="Times New Roman" w:hAnsi="Times New Roman" w:cs="Times New Roman"/>
          <w:sz w:val="24"/>
          <w:szCs w:val="24"/>
        </w:rPr>
        <w:t>sub</w:t>
      </w:r>
      <w:r w:rsidRPr="00647E64">
        <w:rPr>
          <w:rFonts w:ascii="Times New Roman" w:hAnsi="Times New Roman" w:cs="Times New Roman"/>
          <w:sz w:val="24"/>
          <w:szCs w:val="24"/>
        </w:rPr>
        <w:t>section 19(3) of the Act provides that the Minister must be satisfied the class of products has been notified in accordance with subsection 19(3A) no later than 12 months beforehand</w:t>
      </w:r>
      <w:r>
        <w:rPr>
          <w:rFonts w:ascii="Times New Roman" w:hAnsi="Times New Roman" w:cs="Times New Roman"/>
          <w:sz w:val="24"/>
          <w:szCs w:val="24"/>
        </w:rPr>
        <w:t>,</w:t>
      </w:r>
      <w:r w:rsidRPr="00647E64">
        <w:rPr>
          <w:rFonts w:ascii="Times New Roman" w:hAnsi="Times New Roman" w:cs="Times New Roman"/>
          <w:sz w:val="24"/>
          <w:szCs w:val="24"/>
        </w:rPr>
        <w:t xml:space="preserve"> or there are special circumstances that justify the making of the proposed Regulations without the notification</w:t>
      </w:r>
      <w:r>
        <w:rPr>
          <w:rFonts w:ascii="Times New Roman" w:hAnsi="Times New Roman" w:cs="Times New Roman"/>
          <w:sz w:val="24"/>
          <w:szCs w:val="24"/>
        </w:rPr>
        <w:t>.</w:t>
      </w:r>
    </w:p>
    <w:p w:rsidR="00E046D0" w:rsidRPr="00647E64" w:rsidRDefault="00E046D0" w:rsidP="00E046D0">
      <w:pPr>
        <w:spacing w:after="0" w:line="240" w:lineRule="auto"/>
        <w:rPr>
          <w:rFonts w:ascii="Times New Roman" w:hAnsi="Times New Roman" w:cs="Times New Roman"/>
          <w:sz w:val="24"/>
          <w:szCs w:val="24"/>
        </w:rPr>
      </w:pPr>
    </w:p>
    <w:p w:rsidR="00E046D0" w:rsidRPr="00647E64" w:rsidRDefault="00E046D0" w:rsidP="00E046D0">
      <w:pPr>
        <w:spacing w:after="0" w:line="240" w:lineRule="auto"/>
        <w:rPr>
          <w:rFonts w:ascii="Times New Roman" w:hAnsi="Times New Roman" w:cs="Times New Roman"/>
          <w:sz w:val="24"/>
          <w:szCs w:val="24"/>
        </w:rPr>
      </w:pPr>
      <w:r w:rsidRPr="00647E64">
        <w:rPr>
          <w:rFonts w:ascii="Times New Roman" w:hAnsi="Times New Roman" w:cs="Times New Roman"/>
          <w:sz w:val="24"/>
          <w:szCs w:val="24"/>
        </w:rPr>
        <w:t>The special circumstances for the making of the proposed Regulations without notification are:</w:t>
      </w:r>
    </w:p>
    <w:p w:rsidR="00E046D0" w:rsidRPr="00647E64" w:rsidRDefault="00E046D0" w:rsidP="00E046D0">
      <w:pPr>
        <w:spacing w:after="0" w:line="240" w:lineRule="auto"/>
        <w:rPr>
          <w:rFonts w:ascii="Times New Roman" w:hAnsi="Times New Roman" w:cs="Times New Roman"/>
          <w:sz w:val="24"/>
          <w:szCs w:val="24"/>
        </w:rPr>
      </w:pPr>
    </w:p>
    <w:p w:rsidR="00E046D0" w:rsidRPr="00647E64" w:rsidRDefault="00E046D0" w:rsidP="00E046D0">
      <w:pPr>
        <w:numPr>
          <w:ilvl w:val="0"/>
          <w:numId w:val="42"/>
        </w:numPr>
        <w:spacing w:after="0" w:line="240" w:lineRule="auto"/>
        <w:rPr>
          <w:rFonts w:ascii="Times New Roman" w:hAnsi="Times New Roman" w:cs="Times New Roman"/>
          <w:sz w:val="24"/>
          <w:szCs w:val="24"/>
        </w:rPr>
      </w:pPr>
      <w:r w:rsidRPr="00647E64">
        <w:rPr>
          <w:rFonts w:ascii="Times New Roman" w:hAnsi="Times New Roman" w:cs="Times New Roman"/>
          <w:sz w:val="24"/>
          <w:szCs w:val="24"/>
        </w:rPr>
        <w:t xml:space="preserve">a Decision </w:t>
      </w:r>
      <w:r>
        <w:rPr>
          <w:rFonts w:ascii="Times New Roman" w:hAnsi="Times New Roman" w:cs="Times New Roman"/>
          <w:sz w:val="24"/>
          <w:szCs w:val="24"/>
        </w:rPr>
        <w:t xml:space="preserve">Regulatory Impact Statement (RIS) </w:t>
      </w:r>
      <w:r w:rsidRPr="00647E64">
        <w:rPr>
          <w:rFonts w:ascii="Times New Roman" w:hAnsi="Times New Roman" w:cs="Times New Roman"/>
          <w:sz w:val="24"/>
          <w:szCs w:val="24"/>
        </w:rPr>
        <w:t>was completed in 2009, consistent with Australian Government policy, which demonstrated that there was a community benefit to be achieved from establishing a product stewardship scheme for televisions and computers;</w:t>
      </w:r>
    </w:p>
    <w:p w:rsidR="00E046D0" w:rsidRPr="00647E64" w:rsidRDefault="00E046D0" w:rsidP="00E046D0">
      <w:pPr>
        <w:spacing w:after="0" w:line="240" w:lineRule="auto"/>
        <w:ind w:left="360"/>
        <w:rPr>
          <w:rFonts w:ascii="Times New Roman" w:hAnsi="Times New Roman" w:cs="Times New Roman"/>
          <w:sz w:val="24"/>
          <w:szCs w:val="24"/>
        </w:rPr>
      </w:pPr>
    </w:p>
    <w:p w:rsidR="00E046D0" w:rsidRPr="00647E64" w:rsidRDefault="00E046D0" w:rsidP="00E046D0">
      <w:pPr>
        <w:numPr>
          <w:ilvl w:val="0"/>
          <w:numId w:val="42"/>
        </w:numPr>
        <w:spacing w:after="0" w:line="240" w:lineRule="auto"/>
        <w:rPr>
          <w:rFonts w:ascii="Times New Roman" w:hAnsi="Times New Roman" w:cs="Times New Roman"/>
          <w:sz w:val="24"/>
          <w:szCs w:val="24"/>
        </w:rPr>
      </w:pPr>
      <w:r w:rsidRPr="00647E64">
        <w:rPr>
          <w:rFonts w:ascii="Times New Roman" w:hAnsi="Times New Roman" w:cs="Times New Roman"/>
          <w:sz w:val="24"/>
          <w:szCs w:val="24"/>
        </w:rPr>
        <w:t xml:space="preserve">the Decision RIS formed the basis of the decision by the Environment Protection and Heritage Council for televisions and computers to be the first products regulated under the Act as part of the agreement to the </w:t>
      </w:r>
      <w:r w:rsidRPr="00647E64">
        <w:rPr>
          <w:rFonts w:ascii="Times New Roman" w:hAnsi="Times New Roman" w:cs="Times New Roman"/>
          <w:i/>
          <w:sz w:val="24"/>
          <w:szCs w:val="24"/>
        </w:rPr>
        <w:t>National Waste Policy: Less Waste, More Resources</w:t>
      </w:r>
      <w:r w:rsidRPr="00647E64">
        <w:rPr>
          <w:rFonts w:ascii="Times New Roman" w:hAnsi="Times New Roman" w:cs="Times New Roman"/>
          <w:sz w:val="24"/>
          <w:szCs w:val="24"/>
        </w:rPr>
        <w:t xml:space="preserve"> in November 2009; </w:t>
      </w:r>
    </w:p>
    <w:p w:rsidR="00E046D0" w:rsidRPr="00647E64" w:rsidRDefault="00E046D0" w:rsidP="00E046D0">
      <w:pPr>
        <w:spacing w:after="0" w:line="240" w:lineRule="auto"/>
        <w:ind w:left="360"/>
        <w:rPr>
          <w:rFonts w:ascii="Times New Roman" w:hAnsi="Times New Roman" w:cs="Times New Roman"/>
          <w:sz w:val="24"/>
          <w:szCs w:val="24"/>
        </w:rPr>
      </w:pPr>
    </w:p>
    <w:p w:rsidR="00E046D0" w:rsidRPr="00647E64" w:rsidRDefault="00E046D0" w:rsidP="00E046D0">
      <w:pPr>
        <w:numPr>
          <w:ilvl w:val="0"/>
          <w:numId w:val="42"/>
        </w:numPr>
        <w:spacing w:after="0" w:line="240" w:lineRule="auto"/>
        <w:rPr>
          <w:rFonts w:ascii="Times New Roman" w:hAnsi="Times New Roman" w:cs="Times New Roman"/>
          <w:sz w:val="24"/>
          <w:szCs w:val="24"/>
        </w:rPr>
      </w:pPr>
      <w:r w:rsidRPr="00647E64">
        <w:rPr>
          <w:rFonts w:ascii="Times New Roman" w:hAnsi="Times New Roman" w:cs="Times New Roman"/>
          <w:sz w:val="24"/>
          <w:szCs w:val="24"/>
        </w:rPr>
        <w:t xml:space="preserve">further comprehensive and national consultation was conducted in the development of the Regulations, consistent with section 17 of the </w:t>
      </w:r>
      <w:r w:rsidRPr="00647E64">
        <w:rPr>
          <w:rFonts w:ascii="Times New Roman" w:hAnsi="Times New Roman" w:cs="Times New Roman"/>
          <w:i/>
          <w:sz w:val="24"/>
          <w:szCs w:val="24"/>
        </w:rPr>
        <w:t>Legislative Instruments Act 2003,</w:t>
      </w:r>
      <w:r w:rsidRPr="00647E64">
        <w:rPr>
          <w:rFonts w:ascii="Times New Roman" w:hAnsi="Times New Roman" w:cs="Times New Roman"/>
          <w:sz w:val="24"/>
          <w:szCs w:val="24"/>
        </w:rPr>
        <w:t>including:</w:t>
      </w:r>
    </w:p>
    <w:p w:rsidR="00E046D0" w:rsidRPr="00647E64" w:rsidRDefault="00E046D0" w:rsidP="00E046D0">
      <w:pPr>
        <w:numPr>
          <w:ilvl w:val="1"/>
          <w:numId w:val="42"/>
        </w:numPr>
        <w:spacing w:after="0" w:line="240" w:lineRule="auto"/>
        <w:ind w:left="709"/>
        <w:rPr>
          <w:rFonts w:ascii="Times New Roman" w:hAnsi="Times New Roman" w:cs="Times New Roman"/>
          <w:sz w:val="24"/>
          <w:szCs w:val="24"/>
        </w:rPr>
      </w:pPr>
      <w:r w:rsidRPr="00647E64">
        <w:rPr>
          <w:rFonts w:ascii="Times New Roman" w:hAnsi="Times New Roman" w:cs="Times New Roman"/>
          <w:sz w:val="24"/>
          <w:szCs w:val="24"/>
        </w:rPr>
        <w:t xml:space="preserve">the </w:t>
      </w:r>
      <w:r w:rsidRPr="00647E64">
        <w:rPr>
          <w:rFonts w:ascii="Times New Roman" w:hAnsi="Times New Roman" w:cs="Times New Roman"/>
          <w:i/>
          <w:iCs/>
          <w:sz w:val="24"/>
          <w:szCs w:val="24"/>
        </w:rPr>
        <w:t>National Television and Computer Product Stewardship Scheme Consultation Paper on the Proposed Regulations</w:t>
      </w:r>
      <w:r w:rsidRPr="00647E64">
        <w:rPr>
          <w:rFonts w:ascii="Times New Roman" w:hAnsi="Times New Roman" w:cs="Times New Roman"/>
          <w:iCs/>
          <w:sz w:val="24"/>
          <w:szCs w:val="24"/>
        </w:rPr>
        <w:t xml:space="preserve">; </w:t>
      </w:r>
    </w:p>
    <w:p w:rsidR="00E046D0" w:rsidRPr="00647E64" w:rsidRDefault="00E046D0" w:rsidP="00E046D0">
      <w:pPr>
        <w:numPr>
          <w:ilvl w:val="1"/>
          <w:numId w:val="42"/>
        </w:numPr>
        <w:spacing w:after="0" w:line="240" w:lineRule="auto"/>
        <w:ind w:left="709"/>
        <w:rPr>
          <w:rFonts w:ascii="Times New Roman" w:hAnsi="Times New Roman" w:cs="Times New Roman"/>
          <w:sz w:val="24"/>
          <w:szCs w:val="24"/>
        </w:rPr>
      </w:pPr>
      <w:r w:rsidRPr="00647E64">
        <w:rPr>
          <w:rFonts w:ascii="Times New Roman" w:hAnsi="Times New Roman" w:cs="Times New Roman"/>
          <w:iCs/>
          <w:sz w:val="24"/>
          <w:szCs w:val="24"/>
        </w:rPr>
        <w:t>the release of an exposure draft of the proposed Regulations</w:t>
      </w:r>
      <w:r w:rsidRPr="00647E64">
        <w:rPr>
          <w:rFonts w:ascii="Times New Roman" w:hAnsi="Times New Roman" w:cs="Times New Roman"/>
          <w:sz w:val="24"/>
          <w:szCs w:val="24"/>
        </w:rPr>
        <w:t xml:space="preserve"> and an accompanying commentary document</w:t>
      </w:r>
      <w:r w:rsidRPr="00647E64">
        <w:rPr>
          <w:rFonts w:ascii="Times New Roman" w:hAnsi="Times New Roman" w:cs="Times New Roman"/>
          <w:iCs/>
          <w:sz w:val="24"/>
          <w:szCs w:val="24"/>
        </w:rPr>
        <w:t>; and</w:t>
      </w:r>
      <w:r w:rsidRPr="00647E64">
        <w:rPr>
          <w:rFonts w:ascii="Times New Roman" w:hAnsi="Times New Roman" w:cs="Times New Roman"/>
          <w:sz w:val="24"/>
          <w:szCs w:val="24"/>
        </w:rPr>
        <w:t xml:space="preserve"> </w:t>
      </w:r>
    </w:p>
    <w:p w:rsidR="00E046D0" w:rsidRPr="00647E64" w:rsidRDefault="00E046D0" w:rsidP="00E046D0">
      <w:pPr>
        <w:numPr>
          <w:ilvl w:val="1"/>
          <w:numId w:val="42"/>
        </w:numPr>
        <w:spacing w:after="0" w:line="240" w:lineRule="auto"/>
        <w:ind w:left="709"/>
        <w:rPr>
          <w:rFonts w:ascii="Times New Roman" w:hAnsi="Times New Roman" w:cs="Times New Roman"/>
          <w:sz w:val="24"/>
          <w:szCs w:val="24"/>
        </w:rPr>
      </w:pPr>
      <w:r w:rsidRPr="00647E64">
        <w:rPr>
          <w:rFonts w:ascii="Times New Roman" w:hAnsi="Times New Roman" w:cs="Times New Roman"/>
          <w:sz w:val="24"/>
          <w:szCs w:val="24"/>
        </w:rPr>
        <w:t xml:space="preserve">stakeholder engagement through the </w:t>
      </w:r>
      <w:r w:rsidRPr="00647E64">
        <w:rPr>
          <w:rFonts w:ascii="Times New Roman" w:hAnsi="Times New Roman" w:cs="Times New Roman"/>
          <w:i/>
          <w:sz w:val="24"/>
          <w:szCs w:val="24"/>
        </w:rPr>
        <w:t>National Television and Computer Product Stewardship Scheme Implementation Working Group</w:t>
      </w:r>
      <w:r w:rsidRPr="00647E64">
        <w:rPr>
          <w:rFonts w:ascii="Times New Roman" w:hAnsi="Times New Roman" w:cs="Times New Roman"/>
          <w:sz w:val="24"/>
          <w:szCs w:val="24"/>
        </w:rPr>
        <w:t xml:space="preserve">, the </w:t>
      </w:r>
      <w:r w:rsidRPr="00647E64">
        <w:rPr>
          <w:rFonts w:ascii="Times New Roman" w:hAnsi="Times New Roman" w:cs="Times New Roman"/>
          <w:i/>
          <w:sz w:val="24"/>
          <w:szCs w:val="24"/>
        </w:rPr>
        <w:t>National Television and Computer Product Stewardship Scheme Stakeholder Reference Group,</w:t>
      </w:r>
      <w:r w:rsidRPr="00647E64">
        <w:rPr>
          <w:rFonts w:ascii="Times New Roman" w:hAnsi="Times New Roman" w:cs="Times New Roman"/>
          <w:sz w:val="24"/>
          <w:szCs w:val="24"/>
        </w:rPr>
        <w:t xml:space="preserve"> and public forums; and</w:t>
      </w:r>
    </w:p>
    <w:p w:rsidR="00E046D0" w:rsidRPr="00647E64" w:rsidRDefault="00E046D0" w:rsidP="00E046D0">
      <w:pPr>
        <w:spacing w:after="0" w:line="240" w:lineRule="auto"/>
        <w:ind w:left="360"/>
        <w:rPr>
          <w:rFonts w:ascii="Times New Roman" w:hAnsi="Times New Roman" w:cs="Times New Roman"/>
          <w:sz w:val="24"/>
          <w:szCs w:val="24"/>
        </w:rPr>
      </w:pPr>
    </w:p>
    <w:p w:rsidR="00E046D0" w:rsidRPr="00647E64" w:rsidRDefault="00E046D0" w:rsidP="00E046D0">
      <w:pPr>
        <w:numPr>
          <w:ilvl w:val="0"/>
          <w:numId w:val="42"/>
        </w:numPr>
        <w:spacing w:after="0" w:line="240" w:lineRule="auto"/>
        <w:rPr>
          <w:rFonts w:ascii="Times New Roman" w:hAnsi="Times New Roman" w:cs="Times New Roman"/>
          <w:sz w:val="24"/>
          <w:szCs w:val="24"/>
        </w:rPr>
      </w:pPr>
      <w:r w:rsidRPr="00647E64">
        <w:rPr>
          <w:rFonts w:ascii="Times New Roman" w:hAnsi="Times New Roman" w:cs="Times New Roman"/>
          <w:sz w:val="24"/>
          <w:szCs w:val="24"/>
        </w:rPr>
        <w:t>the recent commencement of the Act on 8 August 2011 means the requirement for a class of products to be notified 12 months beforehand in accordance with section 19(3)(c)(</w:t>
      </w:r>
      <w:proofErr w:type="spellStart"/>
      <w:r w:rsidRPr="00647E64">
        <w:rPr>
          <w:rFonts w:ascii="Times New Roman" w:hAnsi="Times New Roman" w:cs="Times New Roman"/>
          <w:sz w:val="24"/>
          <w:szCs w:val="24"/>
        </w:rPr>
        <w:t>i</w:t>
      </w:r>
      <w:proofErr w:type="spellEnd"/>
      <w:r w:rsidRPr="00647E64">
        <w:rPr>
          <w:rFonts w:ascii="Times New Roman" w:hAnsi="Times New Roman" w:cs="Times New Roman"/>
          <w:sz w:val="24"/>
          <w:szCs w:val="24"/>
        </w:rPr>
        <w:t xml:space="preserve">) of the Act is impracticable to meet community and industry expectations for the commencement of the Scheme.  </w:t>
      </w:r>
    </w:p>
    <w:p w:rsidR="00E046D0" w:rsidRPr="00647E64" w:rsidRDefault="00E046D0" w:rsidP="00E046D0">
      <w:pPr>
        <w:tabs>
          <w:tab w:val="left" w:pos="6521"/>
        </w:tabs>
        <w:spacing w:after="0" w:line="240" w:lineRule="auto"/>
        <w:ind w:right="91"/>
        <w:rPr>
          <w:rFonts w:ascii="Times New Roman" w:hAnsi="Times New Roman" w:cs="Times New Roman"/>
          <w:sz w:val="24"/>
          <w:szCs w:val="24"/>
        </w:rPr>
      </w:pPr>
    </w:p>
    <w:p w:rsidR="00E046D0" w:rsidRDefault="00E046D0" w:rsidP="00E046D0">
      <w:pPr>
        <w:tabs>
          <w:tab w:val="left" w:pos="6521"/>
        </w:tabs>
        <w:spacing w:after="0" w:line="240" w:lineRule="auto"/>
        <w:ind w:right="91"/>
        <w:rPr>
          <w:rFonts w:ascii="Times New Roman" w:hAnsi="Times New Roman" w:cs="Times New Roman"/>
          <w:sz w:val="24"/>
          <w:szCs w:val="24"/>
        </w:rPr>
      </w:pPr>
      <w:r w:rsidRPr="00647E64">
        <w:rPr>
          <w:rFonts w:ascii="Times New Roman" w:hAnsi="Times New Roman" w:cs="Times New Roman"/>
          <w:sz w:val="24"/>
          <w:szCs w:val="24"/>
        </w:rPr>
        <w:t>The special circumstances are considered to achieve the intent of section 19(3)(c)(</w:t>
      </w:r>
      <w:proofErr w:type="spellStart"/>
      <w:r w:rsidRPr="00647E64">
        <w:rPr>
          <w:rFonts w:ascii="Times New Roman" w:hAnsi="Times New Roman" w:cs="Times New Roman"/>
          <w:sz w:val="24"/>
          <w:szCs w:val="24"/>
        </w:rPr>
        <w:t>i</w:t>
      </w:r>
      <w:proofErr w:type="spellEnd"/>
      <w:r w:rsidRPr="00647E64">
        <w:rPr>
          <w:rFonts w:ascii="Times New Roman" w:hAnsi="Times New Roman" w:cs="Times New Roman"/>
          <w:sz w:val="24"/>
          <w:szCs w:val="24"/>
        </w:rPr>
        <w:t xml:space="preserve">) to provide transparency </w:t>
      </w:r>
      <w:r w:rsidRPr="00647E64">
        <w:rPr>
          <w:rFonts w:ascii="Times New Roman" w:eastAsia="Calibri" w:hAnsi="Times New Roman" w:cs="Times New Roman"/>
          <w:sz w:val="24"/>
          <w:szCs w:val="24"/>
        </w:rPr>
        <w:t xml:space="preserve">for classes of products that are being considered by the Minister for </w:t>
      </w:r>
      <w:r w:rsidRPr="00647E64">
        <w:rPr>
          <w:rFonts w:ascii="Times New Roman" w:hAnsi="Times New Roman" w:cs="Times New Roman"/>
          <w:sz w:val="24"/>
          <w:szCs w:val="24"/>
        </w:rPr>
        <w:t>regulation under the Act.</w:t>
      </w:r>
    </w:p>
    <w:p w:rsidR="00792BCE" w:rsidRPr="00574D71" w:rsidRDefault="0031726A" w:rsidP="00792BCE">
      <w:pPr>
        <w:spacing w:after="0" w:line="240" w:lineRule="auto"/>
        <w:rPr>
          <w:rFonts w:ascii="Times New Roman" w:hAnsi="Times New Roman" w:cs="Times New Roman"/>
          <w:b/>
          <w:sz w:val="24"/>
          <w:szCs w:val="24"/>
        </w:rPr>
      </w:pPr>
      <w:r>
        <w:rPr>
          <w:rFonts w:ascii="Times New Roman" w:hAnsi="Times New Roman" w:cs="Times New Roman"/>
          <w:sz w:val="24"/>
          <w:szCs w:val="24"/>
        </w:rPr>
        <w:br/>
      </w:r>
      <w:r w:rsidR="00792BCE" w:rsidRPr="00574D71">
        <w:rPr>
          <w:rFonts w:ascii="Times New Roman" w:hAnsi="Times New Roman" w:cs="Times New Roman"/>
          <w:b/>
          <w:color w:val="000000"/>
          <w:sz w:val="24"/>
          <w:szCs w:val="24"/>
        </w:rPr>
        <w:t>Documents incorporated by reference</w:t>
      </w:r>
    </w:p>
    <w:p w:rsidR="00792BCE" w:rsidRDefault="00792BCE" w:rsidP="00792BCE">
      <w:pPr>
        <w:spacing w:after="0" w:line="240" w:lineRule="auto"/>
        <w:rPr>
          <w:rFonts w:ascii="Times New Roman" w:eastAsia="Times New Roman" w:hAnsi="Times New Roman" w:cs="Times New Roman"/>
          <w:b/>
          <w:bCs/>
          <w:sz w:val="24"/>
          <w:szCs w:val="24"/>
          <w:lang w:eastAsia="en-AU"/>
        </w:rPr>
      </w:pPr>
    </w:p>
    <w:p w:rsidR="00792BCE" w:rsidRPr="00867491" w:rsidRDefault="00792BCE" w:rsidP="00792BCE">
      <w:pPr>
        <w:spacing w:after="0" w:line="240" w:lineRule="auto"/>
        <w:rPr>
          <w:rFonts w:ascii="Times New Roman" w:hAnsi="Times New Roman" w:cs="Times New Roman"/>
          <w:sz w:val="24"/>
          <w:szCs w:val="24"/>
        </w:rPr>
      </w:pPr>
      <w:r>
        <w:rPr>
          <w:rFonts w:ascii="Times New Roman" w:hAnsi="Times New Roman" w:cs="Times New Roman"/>
          <w:sz w:val="24"/>
          <w:szCs w:val="24"/>
        </w:rPr>
        <w:t>Four</w:t>
      </w:r>
      <w:r w:rsidRPr="00867491">
        <w:rPr>
          <w:rFonts w:ascii="Times New Roman" w:hAnsi="Times New Roman" w:cs="Times New Roman"/>
          <w:sz w:val="24"/>
          <w:szCs w:val="24"/>
        </w:rPr>
        <w:t xml:space="preserve"> documents are</w:t>
      </w:r>
      <w:r w:rsidRPr="00867491">
        <w:rPr>
          <w:rFonts w:ascii="Times New Roman" w:hAnsi="Times New Roman" w:cs="Times New Roman"/>
          <w:b/>
          <w:bCs/>
          <w:sz w:val="24"/>
          <w:szCs w:val="24"/>
        </w:rPr>
        <w:t> </w:t>
      </w:r>
      <w:r w:rsidRPr="00867491">
        <w:rPr>
          <w:rFonts w:ascii="Times New Roman" w:hAnsi="Times New Roman" w:cs="Times New Roman"/>
          <w:bCs/>
          <w:sz w:val="24"/>
          <w:szCs w:val="24"/>
        </w:rPr>
        <w:t>incorporated by reference</w:t>
      </w:r>
      <w:r w:rsidRPr="00867491">
        <w:rPr>
          <w:rFonts w:ascii="Times New Roman" w:hAnsi="Times New Roman" w:cs="Times New Roman"/>
          <w:sz w:val="24"/>
          <w:szCs w:val="24"/>
        </w:rPr>
        <w:t xml:space="preserve"> in the Regulations, as set out below: </w:t>
      </w:r>
    </w:p>
    <w:p w:rsidR="00792BCE" w:rsidRDefault="00792BCE" w:rsidP="00792BCE">
      <w:pPr>
        <w:spacing w:after="0" w:line="240" w:lineRule="auto"/>
      </w:pPr>
    </w:p>
    <w:p w:rsidR="00792BCE" w:rsidRDefault="00792BCE" w:rsidP="00792BCE">
      <w:pPr>
        <w:pStyle w:val="ListParagraph"/>
        <w:numPr>
          <w:ilvl w:val="0"/>
          <w:numId w:val="37"/>
        </w:numPr>
        <w:spacing w:after="0" w:line="240" w:lineRule="auto"/>
        <w:rPr>
          <w:rFonts w:ascii="Times New Roman" w:eastAsia="Times New Roman" w:hAnsi="Times New Roman" w:cs="Times New Roman"/>
          <w:bCs/>
          <w:sz w:val="24"/>
          <w:szCs w:val="24"/>
          <w:lang w:eastAsia="en-AU"/>
        </w:rPr>
      </w:pPr>
      <w:r w:rsidRPr="00867491">
        <w:rPr>
          <w:rFonts w:ascii="Times New Roman" w:eastAsia="Times New Roman" w:hAnsi="Times New Roman" w:cs="Times New Roman"/>
          <w:bCs/>
          <w:sz w:val="24"/>
          <w:szCs w:val="24"/>
          <w:lang w:eastAsia="en-AU"/>
        </w:rPr>
        <w:t xml:space="preserve">the </w:t>
      </w:r>
      <w:r>
        <w:rPr>
          <w:rFonts w:ascii="Times New Roman" w:eastAsia="Times New Roman" w:hAnsi="Times New Roman" w:cs="Times New Roman"/>
          <w:bCs/>
          <w:i/>
          <w:sz w:val="24"/>
          <w:szCs w:val="24"/>
          <w:lang w:eastAsia="en-AU"/>
        </w:rPr>
        <w:t>Statistical Geography Volume 1 – Australian Standard Geographical Classification,</w:t>
      </w:r>
      <w:r>
        <w:rPr>
          <w:rFonts w:ascii="Times New Roman" w:eastAsia="Times New Roman" w:hAnsi="Times New Roman" w:cs="Times New Roman"/>
          <w:bCs/>
          <w:sz w:val="24"/>
          <w:szCs w:val="24"/>
          <w:lang w:eastAsia="en-AU"/>
        </w:rPr>
        <w:t xml:space="preserve"> published by the Australian Bureau of Statistics at </w:t>
      </w:r>
      <w:hyperlink r:id="rId8" w:history="1">
        <w:r w:rsidRPr="009115C4">
          <w:rPr>
            <w:rStyle w:val="Hyperlink"/>
            <w:rFonts w:ascii="Times New Roman" w:eastAsia="Times New Roman" w:hAnsi="Times New Roman"/>
            <w:bCs/>
            <w:sz w:val="24"/>
            <w:szCs w:val="24"/>
            <w:lang w:eastAsia="en-AU"/>
          </w:rPr>
          <w:t>www.abs.gov.au</w:t>
        </w:r>
      </w:hyperlink>
      <w:r>
        <w:rPr>
          <w:rFonts w:ascii="Times New Roman" w:eastAsia="Times New Roman" w:hAnsi="Times New Roman" w:cs="Times New Roman"/>
          <w:bCs/>
          <w:sz w:val="24"/>
          <w:szCs w:val="24"/>
          <w:lang w:eastAsia="en-AU"/>
        </w:rPr>
        <w:t>; and</w:t>
      </w:r>
    </w:p>
    <w:p w:rsidR="00792BCE" w:rsidRDefault="00792BCE" w:rsidP="00792BCE">
      <w:pPr>
        <w:pStyle w:val="ListParagraph"/>
        <w:spacing w:after="0" w:line="240" w:lineRule="auto"/>
        <w:ind w:left="360"/>
        <w:rPr>
          <w:rFonts w:ascii="Times New Roman" w:eastAsia="Times New Roman" w:hAnsi="Times New Roman" w:cs="Times New Roman"/>
          <w:bCs/>
          <w:sz w:val="24"/>
          <w:szCs w:val="24"/>
          <w:lang w:eastAsia="en-AU"/>
        </w:rPr>
      </w:pPr>
    </w:p>
    <w:p w:rsidR="00792BCE" w:rsidRDefault="00792BCE" w:rsidP="00792BCE">
      <w:pPr>
        <w:pStyle w:val="ListParagraph"/>
        <w:numPr>
          <w:ilvl w:val="0"/>
          <w:numId w:val="37"/>
        </w:num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the </w:t>
      </w:r>
      <w:r>
        <w:rPr>
          <w:rFonts w:ascii="Times New Roman" w:eastAsia="Times New Roman" w:hAnsi="Times New Roman" w:cs="Times New Roman"/>
          <w:bCs/>
          <w:i/>
          <w:sz w:val="24"/>
          <w:szCs w:val="24"/>
          <w:lang w:eastAsia="en-AU"/>
        </w:rPr>
        <w:t>2006 Census of Population and Housing</w:t>
      </w:r>
      <w:r>
        <w:rPr>
          <w:rFonts w:ascii="Times New Roman" w:eastAsia="Times New Roman" w:hAnsi="Times New Roman" w:cs="Times New Roman"/>
          <w:bCs/>
          <w:sz w:val="24"/>
          <w:szCs w:val="24"/>
          <w:lang w:eastAsia="en-AU"/>
        </w:rPr>
        <w:t xml:space="preserve">, published by the Australian Bureau of Statistics at </w:t>
      </w:r>
      <w:hyperlink r:id="rId9" w:history="1">
        <w:r w:rsidRPr="009115C4">
          <w:rPr>
            <w:rStyle w:val="Hyperlink"/>
            <w:rFonts w:ascii="Times New Roman" w:eastAsia="Times New Roman" w:hAnsi="Times New Roman"/>
            <w:bCs/>
            <w:sz w:val="24"/>
            <w:szCs w:val="24"/>
            <w:lang w:eastAsia="en-AU"/>
          </w:rPr>
          <w:t>www.abs.gov.au</w:t>
        </w:r>
      </w:hyperlink>
      <w:r>
        <w:rPr>
          <w:rFonts w:ascii="Times New Roman" w:eastAsia="Times New Roman" w:hAnsi="Times New Roman" w:cs="Times New Roman"/>
          <w:bCs/>
          <w:sz w:val="24"/>
          <w:szCs w:val="24"/>
          <w:lang w:eastAsia="en-AU"/>
        </w:rPr>
        <w:t>; and</w:t>
      </w:r>
    </w:p>
    <w:p w:rsidR="00792BCE" w:rsidRPr="00867491" w:rsidRDefault="00792BCE" w:rsidP="00792BCE">
      <w:pPr>
        <w:pStyle w:val="ListParagraph"/>
        <w:spacing w:after="0" w:line="240" w:lineRule="auto"/>
        <w:ind w:left="360"/>
        <w:rPr>
          <w:rFonts w:ascii="Times New Roman" w:eastAsia="Times New Roman" w:hAnsi="Times New Roman" w:cs="Times New Roman"/>
          <w:bCs/>
          <w:sz w:val="24"/>
          <w:szCs w:val="24"/>
          <w:lang w:eastAsia="en-AU"/>
        </w:rPr>
      </w:pPr>
    </w:p>
    <w:p w:rsidR="00792BCE" w:rsidRDefault="00792BCE" w:rsidP="00792BCE">
      <w:pPr>
        <w:pStyle w:val="ListParagraph"/>
        <w:numPr>
          <w:ilvl w:val="0"/>
          <w:numId w:val="37"/>
        </w:num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the </w:t>
      </w:r>
      <w:r>
        <w:rPr>
          <w:rFonts w:ascii="Times New Roman" w:eastAsia="Times New Roman" w:hAnsi="Times New Roman" w:cs="Times New Roman"/>
          <w:bCs/>
          <w:i/>
          <w:sz w:val="24"/>
          <w:szCs w:val="24"/>
          <w:lang w:eastAsia="en-AU"/>
        </w:rPr>
        <w:t>Combined Australian Customs Tariff Nomenclature and Statistical Classification,</w:t>
      </w:r>
      <w:r>
        <w:rPr>
          <w:rFonts w:ascii="Times New Roman" w:eastAsia="Times New Roman" w:hAnsi="Times New Roman" w:cs="Times New Roman"/>
          <w:bCs/>
          <w:sz w:val="24"/>
          <w:szCs w:val="24"/>
          <w:lang w:eastAsia="en-AU"/>
        </w:rPr>
        <w:t xml:space="preserve"> published by the Australian Customs and Border Protection Service at </w:t>
      </w:r>
      <w:hyperlink r:id="rId10" w:history="1">
        <w:r w:rsidRPr="009115C4">
          <w:rPr>
            <w:rStyle w:val="Hyperlink"/>
            <w:rFonts w:ascii="Times New Roman" w:eastAsia="Times New Roman" w:hAnsi="Times New Roman"/>
            <w:bCs/>
            <w:sz w:val="24"/>
            <w:szCs w:val="24"/>
            <w:lang w:eastAsia="en-AU"/>
          </w:rPr>
          <w:t>www.customs.gov.au</w:t>
        </w:r>
      </w:hyperlink>
      <w:r>
        <w:rPr>
          <w:rFonts w:ascii="Times New Roman" w:eastAsia="Times New Roman" w:hAnsi="Times New Roman" w:cs="Times New Roman"/>
          <w:bCs/>
          <w:sz w:val="24"/>
          <w:szCs w:val="24"/>
          <w:lang w:eastAsia="en-AU"/>
        </w:rPr>
        <w:t>; and</w:t>
      </w:r>
    </w:p>
    <w:p w:rsidR="00792BCE" w:rsidRDefault="00792BCE" w:rsidP="00792BCE">
      <w:pPr>
        <w:pStyle w:val="ListParagraph"/>
        <w:spacing w:after="0" w:line="240" w:lineRule="auto"/>
        <w:ind w:left="360"/>
        <w:rPr>
          <w:rFonts w:ascii="Times New Roman" w:eastAsia="Times New Roman" w:hAnsi="Times New Roman" w:cs="Times New Roman"/>
          <w:bCs/>
          <w:sz w:val="24"/>
          <w:szCs w:val="24"/>
          <w:lang w:eastAsia="en-AU"/>
        </w:rPr>
      </w:pPr>
    </w:p>
    <w:p w:rsidR="00792BCE" w:rsidRDefault="00792BCE" w:rsidP="00792BCE">
      <w:pPr>
        <w:pStyle w:val="ListParagraph"/>
        <w:numPr>
          <w:ilvl w:val="0"/>
          <w:numId w:val="37"/>
        </w:num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the </w:t>
      </w:r>
      <w:r>
        <w:rPr>
          <w:rFonts w:ascii="Times New Roman" w:eastAsia="Times New Roman" w:hAnsi="Times New Roman" w:cs="Times New Roman"/>
          <w:bCs/>
          <w:i/>
          <w:sz w:val="24"/>
          <w:szCs w:val="24"/>
          <w:lang w:eastAsia="en-AU"/>
        </w:rPr>
        <w:t>Gazetteer of Australia 2010 release,</w:t>
      </w:r>
      <w:r>
        <w:rPr>
          <w:rFonts w:ascii="Times New Roman" w:eastAsia="Times New Roman" w:hAnsi="Times New Roman" w:cs="Times New Roman"/>
          <w:bCs/>
          <w:sz w:val="24"/>
          <w:szCs w:val="24"/>
          <w:lang w:eastAsia="en-AU"/>
        </w:rPr>
        <w:t xml:space="preserve"> published by </w:t>
      </w:r>
      <w:proofErr w:type="spellStart"/>
      <w:r>
        <w:rPr>
          <w:rFonts w:ascii="Times New Roman" w:eastAsia="Times New Roman" w:hAnsi="Times New Roman" w:cs="Times New Roman"/>
          <w:bCs/>
          <w:sz w:val="24"/>
          <w:szCs w:val="24"/>
          <w:lang w:eastAsia="en-AU"/>
        </w:rPr>
        <w:t>Geoscience</w:t>
      </w:r>
      <w:proofErr w:type="spellEnd"/>
      <w:r>
        <w:rPr>
          <w:rFonts w:ascii="Times New Roman" w:eastAsia="Times New Roman" w:hAnsi="Times New Roman" w:cs="Times New Roman"/>
          <w:bCs/>
          <w:sz w:val="24"/>
          <w:szCs w:val="24"/>
          <w:lang w:eastAsia="en-AU"/>
        </w:rPr>
        <w:t xml:space="preserve"> Australia at </w:t>
      </w:r>
      <w:hyperlink r:id="rId11" w:history="1">
        <w:r w:rsidRPr="009115C4">
          <w:rPr>
            <w:rStyle w:val="Hyperlink"/>
            <w:rFonts w:ascii="Times New Roman" w:eastAsia="Times New Roman" w:hAnsi="Times New Roman"/>
            <w:bCs/>
            <w:sz w:val="24"/>
            <w:szCs w:val="24"/>
            <w:lang w:eastAsia="en-AU"/>
          </w:rPr>
          <w:t>www.ga.gov.au</w:t>
        </w:r>
      </w:hyperlink>
      <w:r>
        <w:rPr>
          <w:rFonts w:ascii="Times New Roman" w:eastAsia="Times New Roman" w:hAnsi="Times New Roman" w:cs="Times New Roman"/>
          <w:bCs/>
          <w:sz w:val="24"/>
          <w:szCs w:val="24"/>
          <w:lang w:eastAsia="en-AU"/>
        </w:rPr>
        <w:t xml:space="preserve">. </w:t>
      </w:r>
    </w:p>
    <w:p w:rsidR="00792BCE" w:rsidRDefault="00792BCE" w:rsidP="002134C9">
      <w:pPr>
        <w:spacing w:after="0" w:line="240" w:lineRule="auto"/>
        <w:rPr>
          <w:rFonts w:ascii="Times New Roman" w:hAnsi="Times New Roman" w:cs="Times New Roman"/>
          <w:sz w:val="24"/>
          <w:szCs w:val="24"/>
        </w:rPr>
      </w:pPr>
    </w:p>
    <w:p w:rsidR="00E32D47" w:rsidRPr="002134C9" w:rsidRDefault="00FD0C1D" w:rsidP="002134C9">
      <w:pPr>
        <w:spacing w:after="0" w:line="240" w:lineRule="auto"/>
        <w:rPr>
          <w:rFonts w:ascii="Times New Roman" w:eastAsia="Times New Roman" w:hAnsi="Times New Roman" w:cs="Times New Roman"/>
          <w:sz w:val="24"/>
          <w:szCs w:val="24"/>
          <w:lang w:eastAsia="en-AU"/>
        </w:rPr>
      </w:pPr>
      <w:r w:rsidRPr="002134C9">
        <w:rPr>
          <w:rFonts w:ascii="Times New Roman" w:eastAsia="Times New Roman" w:hAnsi="Times New Roman" w:cs="Times New Roman"/>
          <w:b/>
          <w:bCs/>
          <w:sz w:val="24"/>
          <w:szCs w:val="24"/>
          <w:lang w:eastAsia="en-AU"/>
        </w:rPr>
        <w:t>Consultation</w:t>
      </w:r>
    </w:p>
    <w:p w:rsidR="00E32D47" w:rsidRPr="002134C9" w:rsidRDefault="00E32D47" w:rsidP="002134C9">
      <w:pPr>
        <w:spacing w:after="0" w:line="240" w:lineRule="auto"/>
        <w:rPr>
          <w:rFonts w:ascii="Times New Roman" w:eastAsia="Times New Roman" w:hAnsi="Times New Roman" w:cs="Times New Roman"/>
          <w:sz w:val="24"/>
          <w:szCs w:val="24"/>
          <w:lang w:eastAsia="en-AU"/>
        </w:rPr>
      </w:pPr>
    </w:p>
    <w:p w:rsidR="002134C9" w:rsidRPr="002134C9" w:rsidRDefault="002134C9" w:rsidP="002134C9">
      <w:pPr>
        <w:spacing w:after="0" w:line="240" w:lineRule="auto"/>
        <w:rPr>
          <w:rFonts w:ascii="Times New Roman" w:hAnsi="Times New Roman" w:cs="Times New Roman"/>
          <w:sz w:val="24"/>
          <w:szCs w:val="24"/>
        </w:rPr>
      </w:pPr>
      <w:r w:rsidRPr="002134C9">
        <w:rPr>
          <w:rFonts w:ascii="Times New Roman" w:hAnsi="Times New Roman" w:cs="Times New Roman"/>
          <w:sz w:val="24"/>
          <w:szCs w:val="24"/>
        </w:rPr>
        <w:t xml:space="preserve">The Regulations have been developed following a comprehensive national consultation process, starting in July 2009 with the </w:t>
      </w:r>
      <w:r w:rsidR="00331834">
        <w:rPr>
          <w:rFonts w:ascii="Times New Roman" w:hAnsi="Times New Roman" w:cs="Times New Roman"/>
          <w:sz w:val="24"/>
          <w:szCs w:val="24"/>
        </w:rPr>
        <w:t>C</w:t>
      </w:r>
      <w:r w:rsidRPr="002134C9">
        <w:rPr>
          <w:rFonts w:ascii="Times New Roman" w:hAnsi="Times New Roman" w:cs="Times New Roman"/>
          <w:sz w:val="24"/>
          <w:szCs w:val="24"/>
        </w:rPr>
        <w:t xml:space="preserve">onsultation </w:t>
      </w:r>
      <w:r w:rsidR="00331834">
        <w:rPr>
          <w:rFonts w:ascii="Times New Roman" w:hAnsi="Times New Roman" w:cs="Times New Roman"/>
          <w:sz w:val="24"/>
          <w:szCs w:val="24"/>
        </w:rPr>
        <w:t>RIS</w:t>
      </w:r>
      <w:r w:rsidRPr="002134C9">
        <w:rPr>
          <w:rFonts w:ascii="Times New Roman" w:hAnsi="Times New Roman" w:cs="Times New Roman"/>
          <w:sz w:val="24"/>
          <w:szCs w:val="24"/>
        </w:rPr>
        <w:t xml:space="preserve"> undertaken by the </w:t>
      </w:r>
      <w:r w:rsidR="00331834">
        <w:rPr>
          <w:rFonts w:ascii="Times New Roman" w:hAnsi="Times New Roman" w:cs="Times New Roman"/>
          <w:sz w:val="24"/>
          <w:szCs w:val="24"/>
        </w:rPr>
        <w:t>EPHC</w:t>
      </w:r>
      <w:r w:rsidRPr="002134C9">
        <w:rPr>
          <w:rFonts w:ascii="Times New Roman" w:hAnsi="Times New Roman" w:cs="Times New Roman"/>
          <w:sz w:val="24"/>
          <w:szCs w:val="24"/>
        </w:rPr>
        <w:t xml:space="preserve">. This consultation process involved public meetings in four capital cities (attended by 163 people) and the opportunity to make written submissions, of which 130 were received. Feedback on the </w:t>
      </w:r>
      <w:r w:rsidR="00331834">
        <w:rPr>
          <w:rFonts w:ascii="Times New Roman" w:hAnsi="Times New Roman" w:cs="Times New Roman"/>
          <w:sz w:val="24"/>
          <w:szCs w:val="24"/>
        </w:rPr>
        <w:t>C</w:t>
      </w:r>
      <w:r w:rsidRPr="002134C9">
        <w:rPr>
          <w:rFonts w:ascii="Times New Roman" w:hAnsi="Times New Roman" w:cs="Times New Roman"/>
          <w:sz w:val="24"/>
          <w:szCs w:val="24"/>
        </w:rPr>
        <w:t xml:space="preserve">onsultation RIS was incorporated into the October 2009 </w:t>
      </w:r>
      <w:r w:rsidR="00331834">
        <w:rPr>
          <w:rFonts w:ascii="Times New Roman" w:hAnsi="Times New Roman" w:cs="Times New Roman"/>
          <w:sz w:val="24"/>
          <w:szCs w:val="24"/>
        </w:rPr>
        <w:t>D</w:t>
      </w:r>
      <w:r w:rsidRPr="002134C9">
        <w:rPr>
          <w:rFonts w:ascii="Times New Roman" w:hAnsi="Times New Roman" w:cs="Times New Roman"/>
          <w:sz w:val="24"/>
          <w:szCs w:val="24"/>
        </w:rPr>
        <w:t xml:space="preserve">ecision RIS, which formed </w:t>
      </w:r>
      <w:r w:rsidRPr="002134C9">
        <w:rPr>
          <w:rFonts w:ascii="Times New Roman" w:hAnsi="Times New Roman" w:cs="Times New Roman"/>
          <w:sz w:val="24"/>
          <w:szCs w:val="24"/>
        </w:rPr>
        <w:lastRenderedPageBreak/>
        <w:t>the basis for the decision by the EPHC to proceed with a national co-regulatory product stewardship scheme for televisions and computers.  </w:t>
      </w:r>
    </w:p>
    <w:p w:rsidR="002134C9" w:rsidRPr="002134C9" w:rsidRDefault="002134C9" w:rsidP="002134C9">
      <w:pPr>
        <w:spacing w:after="0" w:line="240" w:lineRule="auto"/>
        <w:rPr>
          <w:rFonts w:ascii="Times New Roman" w:hAnsi="Times New Roman" w:cs="Times New Roman"/>
          <w:sz w:val="24"/>
          <w:szCs w:val="24"/>
        </w:rPr>
      </w:pPr>
    </w:p>
    <w:p w:rsidR="002134C9" w:rsidRPr="002134C9" w:rsidRDefault="002134C9" w:rsidP="002134C9">
      <w:pPr>
        <w:spacing w:after="0" w:line="240" w:lineRule="auto"/>
        <w:rPr>
          <w:rFonts w:ascii="Times New Roman" w:hAnsi="Times New Roman" w:cs="Times New Roman"/>
          <w:sz w:val="24"/>
          <w:szCs w:val="24"/>
        </w:rPr>
      </w:pPr>
      <w:r w:rsidRPr="002134C9">
        <w:rPr>
          <w:rFonts w:ascii="Times New Roman" w:hAnsi="Times New Roman" w:cs="Times New Roman"/>
          <w:sz w:val="24"/>
          <w:szCs w:val="24"/>
        </w:rPr>
        <w:t xml:space="preserve">A further consultation process was conducted in March and April 2011 on the </w:t>
      </w:r>
      <w:r w:rsidRPr="002134C9">
        <w:rPr>
          <w:rFonts w:ascii="Times New Roman" w:hAnsi="Times New Roman" w:cs="Times New Roman"/>
          <w:i/>
          <w:iCs/>
          <w:sz w:val="24"/>
          <w:szCs w:val="24"/>
        </w:rPr>
        <w:t xml:space="preserve">National Television and Computer Product Stewardship Scheme Consultation Paper on the Proposed Regulations </w:t>
      </w:r>
      <w:r w:rsidRPr="002134C9">
        <w:rPr>
          <w:rFonts w:ascii="Times New Roman" w:hAnsi="Times New Roman" w:cs="Times New Roman"/>
          <w:sz w:val="24"/>
          <w:szCs w:val="24"/>
        </w:rPr>
        <w:t>(the consultation paper). The consultation paper was released on 8 March 2011 for a four week consultation period and sought feedback on the proposed design of the Regulations. Public forums were held in 11 locations across Australia, including all capital cities and three regional areas, attended by over 300 people, and bilateral discussions were held with stakeholders that registered interest.</w:t>
      </w:r>
    </w:p>
    <w:p w:rsidR="002134C9" w:rsidRPr="002134C9" w:rsidRDefault="002134C9" w:rsidP="002134C9">
      <w:pPr>
        <w:spacing w:after="0" w:line="240" w:lineRule="auto"/>
        <w:rPr>
          <w:rFonts w:ascii="Times New Roman" w:hAnsi="Times New Roman" w:cs="Times New Roman"/>
          <w:sz w:val="24"/>
          <w:szCs w:val="24"/>
        </w:rPr>
      </w:pPr>
    </w:p>
    <w:p w:rsidR="002134C9" w:rsidRPr="002134C9" w:rsidRDefault="002134C9" w:rsidP="002134C9">
      <w:pPr>
        <w:spacing w:after="0" w:line="240" w:lineRule="auto"/>
        <w:rPr>
          <w:rFonts w:ascii="Times New Roman" w:hAnsi="Times New Roman" w:cs="Times New Roman"/>
          <w:sz w:val="24"/>
          <w:szCs w:val="24"/>
        </w:rPr>
      </w:pPr>
      <w:r w:rsidRPr="002134C9">
        <w:rPr>
          <w:rFonts w:ascii="Times New Roman" w:hAnsi="Times New Roman" w:cs="Times New Roman"/>
          <w:sz w:val="24"/>
          <w:szCs w:val="24"/>
        </w:rPr>
        <w:t xml:space="preserve">The public comment period closed on 8 April 2011 and 62 submissions were received from a broad range of stakeholders, including from local, state and territory Governments, recyclers, the television and computer industry, the collection and logistics industry, industry associations, non-government organisations and a university. </w:t>
      </w:r>
    </w:p>
    <w:p w:rsidR="002134C9" w:rsidRPr="002134C9" w:rsidRDefault="002134C9" w:rsidP="002134C9">
      <w:pPr>
        <w:spacing w:after="0" w:line="240" w:lineRule="auto"/>
        <w:rPr>
          <w:rFonts w:ascii="Times New Roman" w:hAnsi="Times New Roman" w:cs="Times New Roman"/>
          <w:sz w:val="24"/>
          <w:szCs w:val="24"/>
        </w:rPr>
      </w:pPr>
    </w:p>
    <w:p w:rsidR="002134C9" w:rsidRPr="002134C9" w:rsidRDefault="002134C9" w:rsidP="002134C9">
      <w:pPr>
        <w:spacing w:after="0" w:line="240" w:lineRule="auto"/>
        <w:rPr>
          <w:rFonts w:ascii="Times New Roman" w:hAnsi="Times New Roman" w:cs="Times New Roman"/>
          <w:sz w:val="24"/>
          <w:szCs w:val="24"/>
        </w:rPr>
      </w:pPr>
      <w:r w:rsidRPr="002134C9">
        <w:rPr>
          <w:rFonts w:ascii="Times New Roman" w:hAnsi="Times New Roman" w:cs="Times New Roman"/>
          <w:sz w:val="24"/>
          <w:szCs w:val="24"/>
        </w:rPr>
        <w:t>Matters raised by stakeholders on the consultation paper informed the preparation of the Exposure Draft of the Regulations (the exposure draft). The exposure draft and an accompanying commentary document were released on 12 September 2011 for a four week public consultation period and sought feedback to ensure the proposed Regulations are appropriate. Public forums were held in each capital city between 13 and 21 September 2011 and attended by 223 people</w:t>
      </w:r>
      <w:r w:rsidR="0033447B" w:rsidRPr="002134C9">
        <w:rPr>
          <w:rFonts w:ascii="Times New Roman" w:hAnsi="Times New Roman" w:cs="Times New Roman"/>
          <w:sz w:val="24"/>
          <w:szCs w:val="24"/>
        </w:rPr>
        <w:t>, and bilateral discussions were held with stakeholders that registered interest</w:t>
      </w:r>
      <w:r w:rsidRPr="002134C9">
        <w:rPr>
          <w:rFonts w:ascii="Times New Roman" w:hAnsi="Times New Roman" w:cs="Times New Roman"/>
          <w:sz w:val="24"/>
          <w:szCs w:val="24"/>
        </w:rPr>
        <w:t>.</w:t>
      </w:r>
    </w:p>
    <w:p w:rsidR="002134C9" w:rsidRPr="002134C9" w:rsidRDefault="002134C9" w:rsidP="002134C9">
      <w:pPr>
        <w:spacing w:after="0" w:line="240" w:lineRule="auto"/>
        <w:rPr>
          <w:rFonts w:ascii="Times New Roman" w:hAnsi="Times New Roman" w:cs="Times New Roman"/>
          <w:sz w:val="24"/>
          <w:szCs w:val="24"/>
        </w:rPr>
      </w:pPr>
    </w:p>
    <w:p w:rsidR="002134C9" w:rsidRPr="002134C9" w:rsidRDefault="002134C9" w:rsidP="002134C9">
      <w:pPr>
        <w:spacing w:after="0" w:line="240" w:lineRule="auto"/>
        <w:rPr>
          <w:rFonts w:ascii="Times New Roman" w:hAnsi="Times New Roman" w:cs="Times New Roman"/>
          <w:sz w:val="24"/>
          <w:szCs w:val="24"/>
        </w:rPr>
      </w:pPr>
      <w:r w:rsidRPr="002134C9">
        <w:rPr>
          <w:rFonts w:ascii="Times New Roman" w:hAnsi="Times New Roman" w:cs="Times New Roman"/>
          <w:sz w:val="24"/>
          <w:szCs w:val="24"/>
        </w:rPr>
        <w:t>The public comment period closed on 10 October 2011 and 29 submissions were received from local, state and territory governments, recyclers, the television and computer industry, other industry and business, non-government organisations and a member of the public. The consultation process sought to gather feedback to ensure the Regulations were appropriate and improve awareness among stakeholders of the Scheme, especially for those who will have obligations under the Regulations. Feedback from stakeholders was considered in finalising the Regulations.</w:t>
      </w:r>
    </w:p>
    <w:p w:rsidR="002134C9" w:rsidRPr="002134C9" w:rsidRDefault="002134C9" w:rsidP="002134C9">
      <w:pPr>
        <w:spacing w:after="0" w:line="240" w:lineRule="auto"/>
        <w:rPr>
          <w:rFonts w:ascii="Times New Roman" w:hAnsi="Times New Roman" w:cs="Times New Roman"/>
          <w:sz w:val="24"/>
          <w:szCs w:val="24"/>
        </w:rPr>
      </w:pPr>
    </w:p>
    <w:p w:rsidR="002134C9" w:rsidRPr="002134C9" w:rsidRDefault="002134C9" w:rsidP="002134C9">
      <w:pPr>
        <w:spacing w:after="0" w:line="240" w:lineRule="auto"/>
        <w:rPr>
          <w:rFonts w:ascii="Times New Roman" w:hAnsi="Times New Roman" w:cs="Times New Roman"/>
          <w:sz w:val="24"/>
          <w:szCs w:val="24"/>
        </w:rPr>
      </w:pPr>
      <w:r w:rsidRPr="002134C9">
        <w:rPr>
          <w:rFonts w:ascii="Times New Roman" w:hAnsi="Times New Roman" w:cs="Times New Roman"/>
          <w:sz w:val="24"/>
          <w:szCs w:val="24"/>
        </w:rPr>
        <w:t xml:space="preserve">In addition to these public consultation processes, an Implementation Working Group (IWG) and Stakeholder Reference Group (SRG) </w:t>
      </w:r>
      <w:r w:rsidR="007066D5">
        <w:rPr>
          <w:rFonts w:ascii="Times New Roman" w:hAnsi="Times New Roman" w:cs="Times New Roman"/>
          <w:sz w:val="24"/>
          <w:szCs w:val="24"/>
        </w:rPr>
        <w:t xml:space="preserve">were established </w:t>
      </w:r>
      <w:r w:rsidRPr="002134C9">
        <w:rPr>
          <w:rFonts w:ascii="Times New Roman" w:hAnsi="Times New Roman" w:cs="Times New Roman"/>
          <w:sz w:val="24"/>
          <w:szCs w:val="24"/>
        </w:rPr>
        <w:t xml:space="preserve">for regular contact and consultation on the development of the Regulations. The IWG was a joint government and industry group established to assist in the development of the on-ground operational aspects of the Scheme. The IWG was convened in March 2010 and formally closed following its eleventh and final formal meeting on 13 October 2011. The IWG also held six out of session meetings. The IWG had 14 members since it was established, from the peak television and computer industry bodies, Australian Government, and some state government agencies. </w:t>
      </w:r>
    </w:p>
    <w:p w:rsidR="002134C9" w:rsidRPr="002134C9" w:rsidRDefault="002134C9" w:rsidP="002134C9">
      <w:pPr>
        <w:spacing w:after="0" w:line="240" w:lineRule="auto"/>
        <w:rPr>
          <w:rFonts w:ascii="Times New Roman" w:hAnsi="Times New Roman" w:cs="Times New Roman"/>
          <w:sz w:val="24"/>
          <w:szCs w:val="24"/>
        </w:rPr>
      </w:pPr>
    </w:p>
    <w:p w:rsidR="002134C9" w:rsidRPr="002134C9" w:rsidRDefault="002134C9" w:rsidP="002134C9">
      <w:pPr>
        <w:spacing w:after="0" w:line="240" w:lineRule="auto"/>
        <w:rPr>
          <w:rFonts w:ascii="Times New Roman" w:hAnsi="Times New Roman" w:cs="Times New Roman"/>
          <w:sz w:val="24"/>
          <w:szCs w:val="24"/>
        </w:rPr>
      </w:pPr>
      <w:r w:rsidRPr="002134C9">
        <w:rPr>
          <w:rFonts w:ascii="Times New Roman" w:hAnsi="Times New Roman" w:cs="Times New Roman"/>
          <w:sz w:val="24"/>
          <w:szCs w:val="24"/>
        </w:rPr>
        <w:t>The SRG was established in May 2010, with an independent Chair. The SRG was established to engage with the Government on the development of the Regulations, engage with the IWG on the on-ground operational aspects of the Scheme, and facilitate consultation and information dissemination among their stakeholder groups. The SRG consists of 35 representatives from the recycling industry, environmental and community groups, Australian Government, and state and local governments. The SRG has had 3 formal meetings and 2 teleconferences since its commencement.</w:t>
      </w:r>
    </w:p>
    <w:p w:rsidR="002134C9" w:rsidRPr="002134C9" w:rsidRDefault="002134C9" w:rsidP="002134C9">
      <w:pPr>
        <w:spacing w:after="0" w:line="240" w:lineRule="auto"/>
        <w:rPr>
          <w:rFonts w:ascii="Times New Roman" w:hAnsi="Times New Roman" w:cs="Times New Roman"/>
          <w:sz w:val="24"/>
          <w:szCs w:val="24"/>
        </w:rPr>
      </w:pPr>
    </w:p>
    <w:p w:rsidR="002134C9" w:rsidRPr="002134C9" w:rsidRDefault="007066D5" w:rsidP="002134C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w:t>
      </w:r>
      <w:r w:rsidR="002134C9" w:rsidRPr="002134C9">
        <w:rPr>
          <w:rFonts w:ascii="Times New Roman" w:hAnsi="Times New Roman" w:cs="Times New Roman"/>
          <w:sz w:val="24"/>
          <w:szCs w:val="24"/>
        </w:rPr>
        <w:t xml:space="preserve"> Television and Computer Scheme E-Bulletin </w:t>
      </w:r>
      <w:r>
        <w:rPr>
          <w:rFonts w:ascii="Times New Roman" w:hAnsi="Times New Roman" w:cs="Times New Roman"/>
          <w:sz w:val="24"/>
          <w:szCs w:val="24"/>
        </w:rPr>
        <w:t xml:space="preserve">was also established </w:t>
      </w:r>
      <w:r w:rsidR="002134C9" w:rsidRPr="002134C9">
        <w:rPr>
          <w:rFonts w:ascii="Times New Roman" w:hAnsi="Times New Roman" w:cs="Times New Roman"/>
          <w:sz w:val="24"/>
          <w:szCs w:val="24"/>
        </w:rPr>
        <w:t>to provide updates to interested stakeholders on the development of the Regulations and the Scheme, including details on consultation processes. There are 699 subscribers to the e-bulletin (as at 21 October 2011) and eight e-bulletins have been released since its establishment in May 2010.</w:t>
      </w:r>
    </w:p>
    <w:p w:rsidR="00A2486E" w:rsidRDefault="00A2486E" w:rsidP="0011391E">
      <w:pPr>
        <w:spacing w:after="0" w:line="240" w:lineRule="auto"/>
        <w:rPr>
          <w:rFonts w:ascii="Times New Roman" w:eastAsia="Times New Roman" w:hAnsi="Times New Roman" w:cs="Times New Roman"/>
          <w:sz w:val="24"/>
          <w:szCs w:val="24"/>
          <w:lang w:eastAsia="en-AU"/>
        </w:rPr>
      </w:pPr>
    </w:p>
    <w:p w:rsidR="0011391E" w:rsidRPr="00737AC6" w:rsidRDefault="0011391E" w:rsidP="0011391E">
      <w:pPr>
        <w:spacing w:after="0" w:line="240" w:lineRule="auto"/>
        <w:rPr>
          <w:rFonts w:ascii="Times New Roman" w:eastAsia="Times New Roman" w:hAnsi="Times New Roman" w:cs="Times New Roman"/>
          <w:sz w:val="24"/>
          <w:szCs w:val="24"/>
          <w:lang w:eastAsia="en-AU"/>
        </w:rPr>
      </w:pPr>
      <w:r w:rsidRPr="00737AC6">
        <w:rPr>
          <w:rFonts w:ascii="Times New Roman" w:eastAsia="Times New Roman" w:hAnsi="Times New Roman" w:cs="Times New Roman"/>
          <w:b/>
          <w:bCs/>
          <w:sz w:val="24"/>
          <w:szCs w:val="24"/>
          <w:lang w:eastAsia="en-AU"/>
        </w:rPr>
        <w:t>Commencement</w:t>
      </w:r>
    </w:p>
    <w:p w:rsidR="0011391E" w:rsidRPr="00737AC6" w:rsidRDefault="0011391E" w:rsidP="0011391E">
      <w:pPr>
        <w:spacing w:after="0" w:line="240" w:lineRule="auto"/>
        <w:rPr>
          <w:rFonts w:ascii="Times New Roman" w:eastAsia="Times New Roman" w:hAnsi="Times New Roman" w:cs="Times New Roman"/>
          <w:sz w:val="24"/>
          <w:szCs w:val="24"/>
          <w:lang w:eastAsia="en-AU"/>
        </w:rPr>
      </w:pPr>
    </w:p>
    <w:p w:rsidR="0011391E" w:rsidRDefault="0011391E" w:rsidP="0011391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The Regulations commenced the day </w:t>
      </w:r>
      <w:r w:rsidRPr="005E4F37">
        <w:rPr>
          <w:rFonts w:ascii="Times New Roman" w:hAnsi="Times New Roman" w:cs="Times New Roman"/>
          <w:sz w:val="24"/>
          <w:szCs w:val="24"/>
        </w:rPr>
        <w:t xml:space="preserve">after </w:t>
      </w:r>
      <w:r>
        <w:rPr>
          <w:rFonts w:ascii="Times New Roman" w:hAnsi="Times New Roman" w:cs="Times New Roman"/>
          <w:sz w:val="24"/>
          <w:szCs w:val="24"/>
        </w:rPr>
        <w:t>registration on the Federal Register of Legislative Instruments</w:t>
      </w:r>
      <w:r w:rsidRPr="005E4F37">
        <w:rPr>
          <w:rFonts w:ascii="Times New Roman" w:hAnsi="Times New Roman" w:cs="Times New Roman"/>
          <w:sz w:val="24"/>
          <w:szCs w:val="24"/>
        </w:rPr>
        <w:t xml:space="preserve">. </w:t>
      </w:r>
    </w:p>
    <w:p w:rsidR="0011391E" w:rsidRDefault="0011391E" w:rsidP="0011391E">
      <w:pPr>
        <w:spacing w:after="0" w:line="240" w:lineRule="auto"/>
        <w:rPr>
          <w:rFonts w:ascii="Times New Roman" w:hAnsi="Times New Roman" w:cs="Times New Roman"/>
          <w:sz w:val="24"/>
          <w:szCs w:val="24"/>
        </w:rPr>
      </w:pPr>
    </w:p>
    <w:p w:rsidR="00FD0C1D" w:rsidRPr="0052657E" w:rsidRDefault="00FD0C1D" w:rsidP="00E10C80">
      <w:pPr>
        <w:spacing w:after="0" w:line="240" w:lineRule="auto"/>
        <w:rPr>
          <w:rFonts w:ascii="Times New Roman" w:eastAsia="Times New Roman" w:hAnsi="Times New Roman" w:cs="Times New Roman"/>
          <w:sz w:val="24"/>
          <w:szCs w:val="24"/>
          <w:lang w:eastAsia="en-AU"/>
        </w:rPr>
      </w:pPr>
      <w:r w:rsidRPr="0052657E">
        <w:rPr>
          <w:rFonts w:ascii="Times New Roman" w:eastAsia="Times New Roman" w:hAnsi="Times New Roman" w:cs="Times New Roman"/>
          <w:sz w:val="24"/>
          <w:szCs w:val="24"/>
          <w:lang w:eastAsia="en-AU"/>
        </w:rPr>
        <w:t xml:space="preserve">The Regulations are a legislative instrument for the purposes of the </w:t>
      </w:r>
      <w:r w:rsidRPr="0052657E">
        <w:rPr>
          <w:rFonts w:ascii="Times New Roman" w:eastAsia="Times New Roman" w:hAnsi="Times New Roman" w:cs="Times New Roman"/>
          <w:i/>
          <w:iCs/>
          <w:sz w:val="24"/>
          <w:szCs w:val="24"/>
          <w:lang w:eastAsia="en-AU"/>
        </w:rPr>
        <w:t>Legislative Instruments Act 2003</w:t>
      </w:r>
      <w:r w:rsidRPr="0052657E">
        <w:rPr>
          <w:rFonts w:ascii="Times New Roman" w:eastAsia="Times New Roman" w:hAnsi="Times New Roman" w:cs="Times New Roman"/>
          <w:sz w:val="24"/>
          <w:szCs w:val="24"/>
          <w:lang w:eastAsia="en-AU"/>
        </w:rPr>
        <w:t>.</w:t>
      </w:r>
      <w:r w:rsidRPr="0052657E">
        <w:rPr>
          <w:rFonts w:ascii="Times New Roman" w:eastAsia="Times New Roman" w:hAnsi="Times New Roman" w:cs="Times New Roman"/>
          <w:sz w:val="24"/>
          <w:szCs w:val="24"/>
          <w:lang w:eastAsia="en-AU"/>
        </w:rPr>
        <w:br w:type="page"/>
      </w:r>
    </w:p>
    <w:p w:rsidR="00FD0C1D" w:rsidRPr="0052657E" w:rsidRDefault="00FD0C1D" w:rsidP="00F15CDF">
      <w:pPr>
        <w:spacing w:after="0" w:line="240" w:lineRule="auto"/>
        <w:rPr>
          <w:rFonts w:ascii="Times New Roman" w:eastAsia="Times New Roman" w:hAnsi="Times New Roman" w:cs="Times New Roman"/>
          <w:sz w:val="24"/>
          <w:szCs w:val="24"/>
          <w:lang w:eastAsia="en-AU"/>
        </w:rPr>
      </w:pPr>
      <w:r w:rsidRPr="0052657E">
        <w:rPr>
          <w:rFonts w:ascii="Times New Roman" w:eastAsia="Times New Roman" w:hAnsi="Times New Roman" w:cs="Times New Roman"/>
          <w:b/>
          <w:bCs/>
          <w:sz w:val="24"/>
          <w:szCs w:val="24"/>
          <w:lang w:eastAsia="en-AU"/>
        </w:rPr>
        <w:lastRenderedPageBreak/>
        <w:t>ATTACHMENT</w:t>
      </w:r>
    </w:p>
    <w:p w:rsidR="00FD0C1D" w:rsidRPr="0052657E" w:rsidRDefault="00FD0C1D" w:rsidP="00F15CDF">
      <w:pPr>
        <w:spacing w:after="0" w:line="240" w:lineRule="auto"/>
        <w:rPr>
          <w:rFonts w:ascii="Times New Roman" w:eastAsia="Times New Roman" w:hAnsi="Times New Roman" w:cs="Times New Roman"/>
          <w:sz w:val="24"/>
          <w:szCs w:val="24"/>
          <w:lang w:eastAsia="en-AU"/>
        </w:rPr>
      </w:pPr>
      <w:r w:rsidRPr="0052657E">
        <w:rPr>
          <w:rFonts w:ascii="Times New Roman" w:eastAsia="Times New Roman" w:hAnsi="Times New Roman" w:cs="Times New Roman"/>
          <w:b/>
          <w:bCs/>
          <w:sz w:val="24"/>
          <w:szCs w:val="24"/>
          <w:lang w:eastAsia="en-AU"/>
        </w:rPr>
        <w:t> </w:t>
      </w:r>
    </w:p>
    <w:p w:rsidR="00FD0C1D" w:rsidRPr="0052657E" w:rsidRDefault="00FD0C1D" w:rsidP="00F15CDF">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
          <w:bCs/>
          <w:i/>
          <w:iCs/>
          <w:sz w:val="24"/>
          <w:szCs w:val="24"/>
          <w:lang w:eastAsia="en-AU"/>
        </w:rPr>
        <w:t>Product Stewardship (Televisions and Computers) Regulations 2011</w:t>
      </w:r>
    </w:p>
    <w:p w:rsidR="00FD0C1D" w:rsidRPr="0052657E" w:rsidRDefault="00FD0C1D" w:rsidP="00F15CDF">
      <w:pPr>
        <w:spacing w:after="0" w:line="240" w:lineRule="auto"/>
        <w:rPr>
          <w:rFonts w:ascii="Times New Roman" w:eastAsia="Times New Roman" w:hAnsi="Times New Roman" w:cs="Times New Roman"/>
          <w:sz w:val="24"/>
          <w:szCs w:val="24"/>
          <w:lang w:eastAsia="en-AU"/>
        </w:rPr>
      </w:pPr>
      <w:r w:rsidRPr="0052657E">
        <w:rPr>
          <w:rFonts w:ascii="Times New Roman" w:eastAsia="Times New Roman" w:hAnsi="Times New Roman" w:cs="Times New Roman"/>
          <w:b/>
          <w:bCs/>
          <w:i/>
          <w:iCs/>
          <w:sz w:val="24"/>
          <w:szCs w:val="24"/>
          <w:lang w:eastAsia="en-AU"/>
        </w:rPr>
        <w:t> </w:t>
      </w:r>
    </w:p>
    <w:p w:rsidR="003F4567" w:rsidRPr="00FA536A" w:rsidRDefault="003F4567" w:rsidP="003F4567">
      <w:pPr>
        <w:spacing w:after="0" w:line="240" w:lineRule="auto"/>
        <w:rPr>
          <w:rFonts w:ascii="Times New Roman" w:eastAsia="Times New Roman" w:hAnsi="Times New Roman" w:cs="Times New Roman"/>
          <w:b/>
          <w:sz w:val="24"/>
          <w:szCs w:val="24"/>
          <w:lang w:eastAsia="en-AU"/>
        </w:rPr>
      </w:pPr>
      <w:r w:rsidRPr="00FA536A">
        <w:rPr>
          <w:rFonts w:ascii="Times New Roman" w:eastAsia="Times New Roman" w:hAnsi="Times New Roman" w:cs="Times New Roman"/>
          <w:b/>
          <w:sz w:val="24"/>
          <w:szCs w:val="24"/>
          <w:lang w:eastAsia="en-AU"/>
        </w:rPr>
        <w:t>Part 1 Preliminary</w:t>
      </w:r>
    </w:p>
    <w:p w:rsidR="003F4567" w:rsidRDefault="003F4567" w:rsidP="003F4567">
      <w:pPr>
        <w:spacing w:after="0" w:line="240" w:lineRule="auto"/>
        <w:rPr>
          <w:rFonts w:ascii="Times New Roman" w:eastAsia="Times New Roman" w:hAnsi="Times New Roman" w:cs="Times New Roman"/>
          <w:sz w:val="24"/>
          <w:szCs w:val="24"/>
          <w:u w:val="single"/>
          <w:lang w:eastAsia="en-AU"/>
        </w:rPr>
      </w:pPr>
    </w:p>
    <w:p w:rsidR="003F4567" w:rsidRPr="0052657E" w:rsidRDefault="003F4567" w:rsidP="003F4567">
      <w:pPr>
        <w:spacing w:after="0" w:line="240" w:lineRule="auto"/>
        <w:rPr>
          <w:rFonts w:ascii="Times New Roman" w:eastAsia="Times New Roman" w:hAnsi="Times New Roman" w:cs="Times New Roman"/>
          <w:sz w:val="24"/>
          <w:szCs w:val="24"/>
          <w:lang w:eastAsia="en-AU"/>
        </w:rPr>
      </w:pPr>
      <w:r w:rsidRPr="0052657E">
        <w:rPr>
          <w:rFonts w:ascii="Times New Roman" w:eastAsia="Times New Roman" w:hAnsi="Times New Roman" w:cs="Times New Roman"/>
          <w:sz w:val="24"/>
          <w:szCs w:val="24"/>
          <w:u w:val="single"/>
          <w:lang w:eastAsia="en-AU"/>
        </w:rPr>
        <w:t>Regulation 1</w:t>
      </w:r>
      <w:r>
        <w:rPr>
          <w:rFonts w:ascii="Times New Roman" w:eastAsia="Times New Roman" w:hAnsi="Times New Roman" w:cs="Times New Roman"/>
          <w:sz w:val="24"/>
          <w:szCs w:val="24"/>
          <w:u w:val="single"/>
          <w:lang w:eastAsia="en-AU"/>
        </w:rPr>
        <w:t>.01</w:t>
      </w:r>
      <w:r w:rsidRPr="0052657E">
        <w:rPr>
          <w:rFonts w:ascii="Times New Roman" w:eastAsia="Times New Roman" w:hAnsi="Times New Roman" w:cs="Times New Roman"/>
          <w:sz w:val="24"/>
          <w:szCs w:val="24"/>
          <w:u w:val="single"/>
          <w:lang w:eastAsia="en-AU"/>
        </w:rPr>
        <w:t xml:space="preserve"> – Name of Regulations</w:t>
      </w:r>
    </w:p>
    <w:p w:rsidR="003F4567" w:rsidRPr="0052657E" w:rsidRDefault="003F4567" w:rsidP="003F4567">
      <w:pPr>
        <w:spacing w:after="0" w:line="240" w:lineRule="auto"/>
        <w:rPr>
          <w:rFonts w:ascii="Times New Roman" w:eastAsia="Times New Roman" w:hAnsi="Times New Roman" w:cs="Times New Roman"/>
          <w:sz w:val="24"/>
          <w:szCs w:val="24"/>
          <w:lang w:eastAsia="en-AU"/>
        </w:rPr>
      </w:pPr>
      <w:r w:rsidRPr="0052657E">
        <w:rPr>
          <w:rFonts w:ascii="Times New Roman" w:eastAsia="Times New Roman" w:hAnsi="Times New Roman" w:cs="Times New Roman"/>
          <w:sz w:val="24"/>
          <w:szCs w:val="24"/>
          <w:lang w:eastAsia="en-AU"/>
        </w:rPr>
        <w:t> </w:t>
      </w:r>
    </w:p>
    <w:p w:rsidR="003F4567" w:rsidRPr="0052657E" w:rsidRDefault="003F4567" w:rsidP="003F4567">
      <w:pPr>
        <w:spacing w:after="0" w:line="240" w:lineRule="auto"/>
        <w:rPr>
          <w:rFonts w:ascii="Times New Roman" w:eastAsia="Times New Roman" w:hAnsi="Times New Roman" w:cs="Times New Roman"/>
          <w:sz w:val="24"/>
          <w:szCs w:val="24"/>
          <w:lang w:eastAsia="en-AU"/>
        </w:rPr>
      </w:pPr>
      <w:r w:rsidRPr="0052657E">
        <w:rPr>
          <w:rFonts w:ascii="Times New Roman" w:eastAsia="Times New Roman" w:hAnsi="Times New Roman" w:cs="Times New Roman"/>
          <w:sz w:val="24"/>
          <w:szCs w:val="24"/>
          <w:lang w:eastAsia="en-AU"/>
        </w:rPr>
        <w:t xml:space="preserve">This regulation provides that the title of these Regulations is the </w:t>
      </w:r>
      <w:r>
        <w:rPr>
          <w:rFonts w:ascii="Times New Roman" w:eastAsia="Times New Roman" w:hAnsi="Times New Roman" w:cs="Times New Roman"/>
          <w:i/>
          <w:iCs/>
          <w:sz w:val="24"/>
          <w:szCs w:val="24"/>
          <w:lang w:eastAsia="en-AU"/>
        </w:rPr>
        <w:t>Product Stewardship (Televisions and Computers) Regulations 2011.</w:t>
      </w:r>
    </w:p>
    <w:p w:rsidR="003F4567" w:rsidRPr="0052657E" w:rsidRDefault="003F4567" w:rsidP="003F4567">
      <w:pPr>
        <w:spacing w:after="0" w:line="240" w:lineRule="auto"/>
        <w:rPr>
          <w:rFonts w:ascii="Times New Roman" w:eastAsia="Times New Roman" w:hAnsi="Times New Roman" w:cs="Times New Roman"/>
          <w:sz w:val="24"/>
          <w:szCs w:val="24"/>
          <w:lang w:eastAsia="en-AU"/>
        </w:rPr>
      </w:pPr>
      <w:r w:rsidRPr="0052657E">
        <w:rPr>
          <w:rFonts w:ascii="Times New Roman" w:eastAsia="Times New Roman" w:hAnsi="Times New Roman" w:cs="Times New Roman"/>
          <w:sz w:val="24"/>
          <w:szCs w:val="24"/>
          <w:lang w:eastAsia="en-AU"/>
        </w:rPr>
        <w:t> </w:t>
      </w:r>
    </w:p>
    <w:p w:rsidR="003F4567" w:rsidRPr="0052657E" w:rsidRDefault="003F4567" w:rsidP="003F4567">
      <w:pPr>
        <w:spacing w:after="0" w:line="240" w:lineRule="auto"/>
        <w:rPr>
          <w:rFonts w:ascii="Times New Roman" w:eastAsia="Times New Roman" w:hAnsi="Times New Roman" w:cs="Times New Roman"/>
          <w:sz w:val="24"/>
          <w:szCs w:val="24"/>
          <w:lang w:eastAsia="en-AU"/>
        </w:rPr>
      </w:pPr>
      <w:r w:rsidRPr="0052657E">
        <w:rPr>
          <w:rFonts w:ascii="Times New Roman" w:eastAsia="Times New Roman" w:hAnsi="Times New Roman" w:cs="Times New Roman"/>
          <w:sz w:val="24"/>
          <w:szCs w:val="24"/>
          <w:u w:val="single"/>
          <w:lang w:eastAsia="en-AU"/>
        </w:rPr>
        <w:t xml:space="preserve">Regulation </w:t>
      </w:r>
      <w:r>
        <w:rPr>
          <w:rFonts w:ascii="Times New Roman" w:eastAsia="Times New Roman" w:hAnsi="Times New Roman" w:cs="Times New Roman"/>
          <w:sz w:val="24"/>
          <w:szCs w:val="24"/>
          <w:u w:val="single"/>
          <w:lang w:eastAsia="en-AU"/>
        </w:rPr>
        <w:t>1.0</w:t>
      </w:r>
      <w:r w:rsidRPr="0052657E">
        <w:rPr>
          <w:rFonts w:ascii="Times New Roman" w:eastAsia="Times New Roman" w:hAnsi="Times New Roman" w:cs="Times New Roman"/>
          <w:sz w:val="24"/>
          <w:szCs w:val="24"/>
          <w:u w:val="single"/>
          <w:lang w:eastAsia="en-AU"/>
        </w:rPr>
        <w:t>2 – Commencement</w:t>
      </w:r>
    </w:p>
    <w:p w:rsidR="003F4567" w:rsidRPr="0052657E" w:rsidRDefault="003F4567" w:rsidP="003F4567">
      <w:pPr>
        <w:spacing w:after="0" w:line="240" w:lineRule="auto"/>
        <w:rPr>
          <w:rFonts w:ascii="Times New Roman" w:eastAsia="Times New Roman" w:hAnsi="Times New Roman" w:cs="Times New Roman"/>
          <w:sz w:val="24"/>
          <w:szCs w:val="24"/>
          <w:lang w:eastAsia="en-AU"/>
        </w:rPr>
      </w:pPr>
      <w:r w:rsidRPr="0052657E">
        <w:rPr>
          <w:rFonts w:ascii="Times New Roman" w:eastAsia="Times New Roman" w:hAnsi="Times New Roman" w:cs="Times New Roman"/>
          <w:sz w:val="24"/>
          <w:szCs w:val="24"/>
          <w:lang w:eastAsia="en-AU"/>
        </w:rPr>
        <w:t> </w:t>
      </w:r>
    </w:p>
    <w:p w:rsidR="003F4567" w:rsidRPr="00E32D47" w:rsidRDefault="003F4567" w:rsidP="003F4567">
      <w:pPr>
        <w:spacing w:after="0" w:line="240" w:lineRule="auto"/>
        <w:rPr>
          <w:rFonts w:ascii="Times New Roman" w:hAnsi="Times New Roman" w:cs="Times New Roman"/>
          <w:sz w:val="24"/>
          <w:szCs w:val="24"/>
        </w:rPr>
      </w:pPr>
      <w:r w:rsidRPr="0052657E">
        <w:rPr>
          <w:rFonts w:ascii="Times New Roman" w:eastAsia="Times New Roman" w:hAnsi="Times New Roman" w:cs="Times New Roman"/>
          <w:sz w:val="24"/>
          <w:szCs w:val="24"/>
          <w:lang w:eastAsia="en-AU"/>
        </w:rPr>
        <w:t xml:space="preserve">This regulation provides for the Regulations to </w:t>
      </w:r>
      <w:r>
        <w:rPr>
          <w:rFonts w:ascii="Times New Roman" w:eastAsia="Times New Roman" w:hAnsi="Times New Roman" w:cs="Times New Roman"/>
          <w:sz w:val="24"/>
          <w:szCs w:val="24"/>
          <w:lang w:eastAsia="en-AU"/>
        </w:rPr>
        <w:t>commence on the day after they are registered on the Federal Register of Legislative Instruments</w:t>
      </w:r>
      <w:r w:rsidRPr="0052657E">
        <w:rPr>
          <w:rFonts w:ascii="Times New Roman" w:eastAsia="Times New Roman" w:hAnsi="Times New Roman" w:cs="Times New Roman"/>
          <w:sz w:val="24"/>
          <w:szCs w:val="24"/>
          <w:lang w:eastAsia="en-AU"/>
        </w:rPr>
        <w:t xml:space="preserve">. </w:t>
      </w:r>
    </w:p>
    <w:p w:rsidR="003F4567" w:rsidRPr="0052657E" w:rsidRDefault="003F4567" w:rsidP="003F4567">
      <w:pPr>
        <w:spacing w:after="0" w:line="240" w:lineRule="auto"/>
        <w:rPr>
          <w:rFonts w:ascii="Times New Roman" w:eastAsia="Times New Roman" w:hAnsi="Times New Roman" w:cs="Times New Roman"/>
          <w:sz w:val="24"/>
          <w:szCs w:val="24"/>
          <w:lang w:eastAsia="en-AU"/>
        </w:rPr>
      </w:pPr>
      <w:r w:rsidRPr="0052657E">
        <w:rPr>
          <w:rFonts w:ascii="Times New Roman" w:eastAsia="Times New Roman" w:hAnsi="Times New Roman" w:cs="Times New Roman"/>
          <w:sz w:val="24"/>
          <w:szCs w:val="24"/>
          <w:lang w:eastAsia="en-AU"/>
        </w:rPr>
        <w:t> </w:t>
      </w:r>
    </w:p>
    <w:p w:rsidR="003F4567" w:rsidRPr="0052657E" w:rsidRDefault="003F4567" w:rsidP="003F4567">
      <w:pPr>
        <w:spacing w:after="0" w:line="240" w:lineRule="auto"/>
        <w:rPr>
          <w:rFonts w:ascii="Times New Roman" w:eastAsia="Times New Roman" w:hAnsi="Times New Roman" w:cs="Times New Roman"/>
          <w:sz w:val="24"/>
          <w:szCs w:val="24"/>
          <w:lang w:eastAsia="en-AU"/>
        </w:rPr>
      </w:pPr>
      <w:r w:rsidRPr="0052657E">
        <w:rPr>
          <w:rFonts w:ascii="Times New Roman" w:eastAsia="Times New Roman" w:hAnsi="Times New Roman" w:cs="Times New Roman"/>
          <w:sz w:val="24"/>
          <w:szCs w:val="24"/>
          <w:u w:val="single"/>
          <w:lang w:eastAsia="en-AU"/>
        </w:rPr>
        <w:t xml:space="preserve">Regulation </w:t>
      </w:r>
      <w:r>
        <w:rPr>
          <w:rFonts w:ascii="Times New Roman" w:eastAsia="Times New Roman" w:hAnsi="Times New Roman" w:cs="Times New Roman"/>
          <w:sz w:val="24"/>
          <w:szCs w:val="24"/>
          <w:u w:val="single"/>
          <w:lang w:eastAsia="en-AU"/>
        </w:rPr>
        <w:t>1.0</w:t>
      </w:r>
      <w:r w:rsidRPr="0052657E">
        <w:rPr>
          <w:rFonts w:ascii="Times New Roman" w:eastAsia="Times New Roman" w:hAnsi="Times New Roman" w:cs="Times New Roman"/>
          <w:sz w:val="24"/>
          <w:szCs w:val="24"/>
          <w:u w:val="single"/>
          <w:lang w:eastAsia="en-AU"/>
        </w:rPr>
        <w:t xml:space="preserve">3 – </w:t>
      </w:r>
      <w:r>
        <w:rPr>
          <w:rFonts w:ascii="Times New Roman" w:eastAsia="Times New Roman" w:hAnsi="Times New Roman" w:cs="Times New Roman"/>
          <w:sz w:val="24"/>
          <w:szCs w:val="24"/>
          <w:u w:val="single"/>
          <w:lang w:eastAsia="en-AU"/>
        </w:rPr>
        <w:t>Definitions</w:t>
      </w:r>
    </w:p>
    <w:p w:rsidR="003F4567" w:rsidRPr="0052657E" w:rsidRDefault="003F4567" w:rsidP="003F4567">
      <w:pPr>
        <w:spacing w:after="0" w:line="240" w:lineRule="auto"/>
        <w:rPr>
          <w:rFonts w:ascii="Times New Roman" w:eastAsia="Times New Roman" w:hAnsi="Times New Roman" w:cs="Times New Roman"/>
          <w:sz w:val="24"/>
          <w:szCs w:val="24"/>
          <w:lang w:eastAsia="en-AU"/>
        </w:rPr>
      </w:pPr>
      <w:r w:rsidRPr="0052657E">
        <w:rPr>
          <w:rFonts w:ascii="Times New Roman" w:eastAsia="Times New Roman" w:hAnsi="Times New Roman" w:cs="Times New Roman"/>
          <w:sz w:val="24"/>
          <w:szCs w:val="24"/>
          <w:lang w:eastAsia="en-AU"/>
        </w:rPr>
        <w:t> </w:t>
      </w:r>
    </w:p>
    <w:p w:rsidR="003F4567" w:rsidRDefault="003F4567" w:rsidP="003F4567">
      <w:pPr>
        <w:spacing w:after="0" w:line="240" w:lineRule="auto"/>
        <w:rPr>
          <w:rFonts w:ascii="Times New Roman" w:eastAsia="Times New Roman" w:hAnsi="Times New Roman" w:cs="Times New Roman"/>
          <w:sz w:val="24"/>
          <w:szCs w:val="24"/>
          <w:lang w:eastAsia="en-AU"/>
        </w:rPr>
      </w:pPr>
      <w:r w:rsidRPr="0052657E">
        <w:rPr>
          <w:rFonts w:ascii="Times New Roman" w:eastAsia="Times New Roman" w:hAnsi="Times New Roman" w:cs="Times New Roman"/>
          <w:sz w:val="24"/>
          <w:szCs w:val="24"/>
          <w:lang w:eastAsia="en-AU"/>
        </w:rPr>
        <w:t xml:space="preserve">This regulation </w:t>
      </w:r>
      <w:r>
        <w:rPr>
          <w:rFonts w:ascii="Times New Roman" w:eastAsia="Times New Roman" w:hAnsi="Times New Roman" w:cs="Times New Roman"/>
          <w:sz w:val="24"/>
          <w:szCs w:val="24"/>
          <w:lang w:eastAsia="en-AU"/>
        </w:rPr>
        <w:t xml:space="preserve">defines a number of terms used in the Regulations. </w:t>
      </w:r>
    </w:p>
    <w:p w:rsidR="003F4567" w:rsidRDefault="003F4567" w:rsidP="003F4567">
      <w:pPr>
        <w:spacing w:after="0" w:line="240" w:lineRule="auto"/>
        <w:rPr>
          <w:rFonts w:ascii="Times New Roman" w:eastAsia="Times New Roman" w:hAnsi="Times New Roman" w:cs="Times New Roman"/>
          <w:sz w:val="24"/>
          <w:szCs w:val="24"/>
          <w:lang w:eastAsia="en-AU"/>
        </w:rPr>
      </w:pPr>
    </w:p>
    <w:p w:rsidR="003F4567" w:rsidRDefault="003F4567" w:rsidP="003F4567">
      <w:pPr>
        <w:spacing w:after="0" w:line="240" w:lineRule="auto"/>
        <w:rPr>
          <w:rFonts w:ascii="Times New Roman" w:eastAsia="Times New Roman" w:hAnsi="Times New Roman" w:cs="Times New Roman"/>
          <w:sz w:val="24"/>
          <w:szCs w:val="24"/>
          <w:lang w:eastAsia="en-AU"/>
        </w:rPr>
      </w:pPr>
      <w:r>
        <w:rPr>
          <w:rFonts w:ascii="Times New Roman" w:hAnsi="Times New Roman" w:cs="Times New Roman"/>
          <w:sz w:val="24"/>
          <w:szCs w:val="24"/>
          <w:u w:val="single"/>
        </w:rPr>
        <w:t xml:space="preserve">Regulation </w:t>
      </w:r>
      <w:r w:rsidRPr="006C4F19">
        <w:rPr>
          <w:rFonts w:ascii="Times New Roman" w:hAnsi="Times New Roman" w:cs="Times New Roman"/>
          <w:sz w:val="24"/>
          <w:szCs w:val="24"/>
          <w:u w:val="single"/>
        </w:rPr>
        <w:t>1.04</w:t>
      </w:r>
      <w:r>
        <w:rPr>
          <w:rFonts w:ascii="Times New Roman" w:hAnsi="Times New Roman" w:cs="Times New Roman"/>
          <w:sz w:val="24"/>
          <w:szCs w:val="24"/>
          <w:u w:val="single"/>
        </w:rPr>
        <w:t xml:space="preserve"> </w:t>
      </w:r>
      <w:r w:rsidRPr="0052657E">
        <w:rPr>
          <w:rFonts w:ascii="Times New Roman" w:eastAsia="Times New Roman" w:hAnsi="Times New Roman" w:cs="Times New Roman"/>
          <w:sz w:val="24"/>
          <w:szCs w:val="24"/>
          <w:u w:val="single"/>
          <w:lang w:eastAsia="en-AU"/>
        </w:rPr>
        <w:t>–</w:t>
      </w:r>
      <w:r>
        <w:rPr>
          <w:rFonts w:ascii="Times New Roman" w:hAnsi="Times New Roman" w:cs="Times New Roman"/>
          <w:sz w:val="24"/>
          <w:szCs w:val="24"/>
          <w:u w:val="single"/>
        </w:rPr>
        <w:t xml:space="preserve"> </w:t>
      </w:r>
      <w:r w:rsidRPr="006C4F19">
        <w:rPr>
          <w:rFonts w:ascii="Times New Roman" w:hAnsi="Times New Roman" w:cs="Times New Roman"/>
          <w:sz w:val="24"/>
          <w:szCs w:val="24"/>
          <w:u w:val="single"/>
        </w:rPr>
        <w:t>Application</w:t>
      </w:r>
    </w:p>
    <w:p w:rsidR="003F4567" w:rsidRDefault="003F4567" w:rsidP="003F4567">
      <w:pPr>
        <w:spacing w:after="0" w:line="240" w:lineRule="auto"/>
        <w:rPr>
          <w:rFonts w:ascii="Times New Roman" w:eastAsia="Times New Roman" w:hAnsi="Times New Roman" w:cs="Times New Roman"/>
          <w:sz w:val="24"/>
          <w:szCs w:val="24"/>
          <w:lang w:eastAsia="en-AU"/>
        </w:rPr>
      </w:pPr>
    </w:p>
    <w:p w:rsidR="003F4567" w:rsidRPr="006C4F19"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This regulation</w:t>
      </w:r>
      <w:r w:rsidRPr="006C4F19">
        <w:rPr>
          <w:rFonts w:ascii="Times New Roman" w:hAnsi="Times New Roman" w:cs="Times New Roman"/>
          <w:sz w:val="24"/>
          <w:szCs w:val="24"/>
        </w:rPr>
        <w:t xml:space="preserve"> provides that the Regulations apply to two classes of products:</w:t>
      </w:r>
    </w:p>
    <w:p w:rsidR="003F4567" w:rsidRDefault="003F4567" w:rsidP="003F4567">
      <w:pPr>
        <w:pStyle w:val="ListParagraph"/>
        <w:spacing w:after="0" w:line="240" w:lineRule="auto"/>
        <w:rPr>
          <w:rFonts w:ascii="Times New Roman" w:hAnsi="Times New Roman" w:cs="Times New Roman"/>
          <w:sz w:val="24"/>
          <w:szCs w:val="24"/>
        </w:rPr>
      </w:pPr>
    </w:p>
    <w:p w:rsidR="003F4567" w:rsidRDefault="003F4567" w:rsidP="003F4567">
      <w:pPr>
        <w:pStyle w:val="ListParagraph"/>
        <w:numPr>
          <w:ilvl w:val="0"/>
          <w:numId w:val="2"/>
        </w:numPr>
        <w:spacing w:after="0" w:line="240" w:lineRule="auto"/>
        <w:ind w:left="426"/>
        <w:rPr>
          <w:rFonts w:ascii="Times New Roman" w:hAnsi="Times New Roman" w:cs="Times New Roman"/>
          <w:sz w:val="24"/>
          <w:szCs w:val="24"/>
        </w:rPr>
      </w:pPr>
      <w:r w:rsidRPr="006C4F19">
        <w:rPr>
          <w:rFonts w:ascii="Times New Roman" w:hAnsi="Times New Roman" w:cs="Times New Roman"/>
          <w:sz w:val="24"/>
          <w:szCs w:val="24"/>
        </w:rPr>
        <w:t xml:space="preserve">televisions; </w:t>
      </w:r>
    </w:p>
    <w:p w:rsidR="003F4567" w:rsidRPr="006C4F19" w:rsidRDefault="003F4567" w:rsidP="003F4567">
      <w:pPr>
        <w:pStyle w:val="ListParagraph"/>
        <w:spacing w:after="0" w:line="240" w:lineRule="auto"/>
        <w:ind w:left="426"/>
        <w:rPr>
          <w:rFonts w:ascii="Times New Roman" w:hAnsi="Times New Roman" w:cs="Times New Roman"/>
          <w:sz w:val="24"/>
          <w:szCs w:val="24"/>
        </w:rPr>
      </w:pPr>
    </w:p>
    <w:p w:rsidR="003F4567" w:rsidRPr="006C4F19" w:rsidRDefault="003F4567" w:rsidP="003F4567">
      <w:pPr>
        <w:pStyle w:val="ListParagraph"/>
        <w:numPr>
          <w:ilvl w:val="0"/>
          <w:numId w:val="2"/>
        </w:numPr>
        <w:spacing w:after="0" w:line="240" w:lineRule="auto"/>
        <w:ind w:left="426"/>
        <w:rPr>
          <w:rFonts w:ascii="Times New Roman" w:hAnsi="Times New Roman" w:cs="Times New Roman"/>
          <w:sz w:val="24"/>
          <w:szCs w:val="24"/>
        </w:rPr>
      </w:pPr>
      <w:r w:rsidRPr="006C4F19">
        <w:rPr>
          <w:rFonts w:ascii="Times New Roman" w:hAnsi="Times New Roman" w:cs="Times New Roman"/>
          <w:sz w:val="24"/>
          <w:szCs w:val="24"/>
        </w:rPr>
        <w:t>computers, printers and computer products.</w:t>
      </w:r>
    </w:p>
    <w:p w:rsidR="003F4567" w:rsidRDefault="003F4567" w:rsidP="003F4567">
      <w:pPr>
        <w:spacing w:after="0" w:line="240" w:lineRule="auto"/>
        <w:rPr>
          <w:rFonts w:ascii="Times New Roman" w:hAnsi="Times New Roman" w:cs="Times New Roman"/>
          <w:sz w:val="24"/>
          <w:szCs w:val="24"/>
        </w:rPr>
      </w:pPr>
    </w:p>
    <w:p w:rsidR="003F4567" w:rsidRPr="006C4F19" w:rsidRDefault="003F4567" w:rsidP="003F4567">
      <w:pPr>
        <w:spacing w:after="0" w:line="240" w:lineRule="auto"/>
        <w:rPr>
          <w:rFonts w:ascii="Times New Roman" w:hAnsi="Times New Roman" w:cs="Times New Roman"/>
          <w:sz w:val="24"/>
          <w:szCs w:val="24"/>
        </w:rPr>
      </w:pPr>
      <w:r w:rsidRPr="006C4F19">
        <w:rPr>
          <w:rFonts w:ascii="Times New Roman" w:hAnsi="Times New Roman" w:cs="Times New Roman"/>
          <w:sz w:val="24"/>
          <w:szCs w:val="24"/>
        </w:rPr>
        <w:t>Provision is made for two classes of products (rather than one combined class of products applying to televisions, computers, printers and computer products) to allow flexibility to set different outcomes, such as separate recycling targets, for those classes of products.</w:t>
      </w:r>
    </w:p>
    <w:p w:rsidR="003F4567"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1.04(2) </w:t>
      </w:r>
      <w:r w:rsidRPr="00330E69">
        <w:rPr>
          <w:rFonts w:ascii="Times New Roman" w:hAnsi="Times New Roman" w:cs="Times New Roman"/>
          <w:sz w:val="24"/>
          <w:szCs w:val="24"/>
        </w:rPr>
        <w:t xml:space="preserve">has the effect that the </w:t>
      </w:r>
      <w:r>
        <w:rPr>
          <w:rFonts w:ascii="Times New Roman" w:hAnsi="Times New Roman" w:cs="Times New Roman"/>
          <w:sz w:val="24"/>
          <w:szCs w:val="24"/>
        </w:rPr>
        <w:t xml:space="preserve">Regulations do not apply in relation the manufacture (including assembly) of </w:t>
      </w:r>
      <w:r w:rsidRPr="00330E69">
        <w:rPr>
          <w:rFonts w:ascii="Times New Roman" w:hAnsi="Times New Roman" w:cs="Times New Roman"/>
          <w:sz w:val="24"/>
          <w:szCs w:val="24"/>
        </w:rPr>
        <w:t xml:space="preserve">computers in Australia </w:t>
      </w:r>
      <w:r>
        <w:rPr>
          <w:rFonts w:ascii="Times New Roman" w:hAnsi="Times New Roman" w:cs="Times New Roman"/>
          <w:sz w:val="24"/>
          <w:szCs w:val="24"/>
        </w:rPr>
        <w:t xml:space="preserve">that are part of the computer class, </w:t>
      </w:r>
      <w:r w:rsidRPr="00330E69">
        <w:rPr>
          <w:rFonts w:ascii="Times New Roman" w:hAnsi="Times New Roman" w:cs="Times New Roman"/>
          <w:sz w:val="24"/>
          <w:szCs w:val="24"/>
        </w:rPr>
        <w:t xml:space="preserve">because to do so would involve double counting. Importers of computer parts, and domestic manufacturers of computer parts </w:t>
      </w:r>
      <w:r>
        <w:rPr>
          <w:rFonts w:ascii="Times New Roman" w:hAnsi="Times New Roman" w:cs="Times New Roman"/>
          <w:sz w:val="24"/>
          <w:szCs w:val="24"/>
        </w:rPr>
        <w:t>(</w:t>
      </w:r>
      <w:r w:rsidRPr="00330E69">
        <w:rPr>
          <w:rFonts w:ascii="Times New Roman" w:hAnsi="Times New Roman" w:cs="Times New Roman"/>
          <w:sz w:val="24"/>
          <w:szCs w:val="24"/>
        </w:rPr>
        <w:t>if there are any in the future</w:t>
      </w:r>
      <w:r>
        <w:rPr>
          <w:rFonts w:ascii="Times New Roman" w:hAnsi="Times New Roman" w:cs="Times New Roman"/>
          <w:sz w:val="24"/>
          <w:szCs w:val="24"/>
        </w:rPr>
        <w:t>)</w:t>
      </w:r>
      <w:r w:rsidRPr="00330E69">
        <w:rPr>
          <w:rFonts w:ascii="Times New Roman" w:hAnsi="Times New Roman" w:cs="Times New Roman"/>
          <w:sz w:val="24"/>
          <w:szCs w:val="24"/>
        </w:rPr>
        <w:t>, will be liable parties if they exceed relevant thresholds, and will therefore be required to contribute to industry co</w:t>
      </w:r>
      <w:r>
        <w:rPr>
          <w:rFonts w:ascii="Times New Roman" w:hAnsi="Times New Roman" w:cs="Times New Roman"/>
          <w:sz w:val="24"/>
          <w:szCs w:val="24"/>
        </w:rPr>
        <w:t>llection and recycling efforts.</w:t>
      </w:r>
      <w:r w:rsidRPr="00330E69">
        <w:rPr>
          <w:rFonts w:ascii="Times New Roman" w:hAnsi="Times New Roman" w:cs="Times New Roman"/>
          <w:sz w:val="24"/>
          <w:szCs w:val="24"/>
        </w:rPr>
        <w:t xml:space="preserve"> This cost is likely to be passed on to domestic manufacturers of computers.  If domestic manufacturers were separately required to contribute they would in effect be contributing twice. </w:t>
      </w:r>
      <w:r>
        <w:rPr>
          <w:rFonts w:ascii="Times New Roman" w:hAnsi="Times New Roman" w:cs="Times New Roman"/>
          <w:sz w:val="24"/>
          <w:szCs w:val="24"/>
        </w:rPr>
        <w:t>The following diagram illustrates the material flow of computers and computer parts.</w:t>
      </w:r>
    </w:p>
    <w:p w:rsidR="003F4567" w:rsidRPr="00330E69" w:rsidRDefault="003F4567" w:rsidP="003F4567">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AU"/>
        </w:rPr>
        <w:lastRenderedPageBreak/>
        <w:drawing>
          <wp:inline distT="0" distB="0" distL="0" distR="0">
            <wp:extent cx="5278120" cy="3435853"/>
            <wp:effectExtent l="19050" t="0" r="0" b="0"/>
            <wp:docPr id="1"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72428" cy="4929222"/>
                      <a:chOff x="785786" y="785794"/>
                      <a:chExt cx="7572428" cy="4929222"/>
                    </a:xfrm>
                  </a:grpSpPr>
                  <a:sp>
                    <a:nvSpPr>
                      <a:cNvPr id="4" name="Rounded Rectangle 3"/>
                      <a:cNvSpPr/>
                    </a:nvSpPr>
                    <a:spPr>
                      <a:xfrm>
                        <a:off x="785786" y="1785926"/>
                        <a:ext cx="1357322" cy="1000132"/>
                      </a:xfrm>
                      <a:prstGeom prst="roundRect">
                        <a:avLst/>
                      </a:prstGeom>
                      <a:solidFill>
                        <a:schemeClr val="accent3">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AU" sz="1100" b="1" dirty="0" smtClean="0">
                              <a:solidFill>
                                <a:schemeClr val="tx1"/>
                              </a:solidFill>
                              <a:latin typeface="Arial" pitchFamily="34" charset="0"/>
                              <a:cs typeface="Arial" pitchFamily="34" charset="0"/>
                            </a:rPr>
                            <a:t>Overseas manufacturer/</a:t>
                          </a:r>
                        </a:p>
                        <a:p>
                          <a:pPr algn="ctr"/>
                          <a:r>
                            <a:rPr lang="en-AU" sz="1100" b="1" dirty="0" smtClean="0">
                              <a:solidFill>
                                <a:schemeClr val="tx1"/>
                              </a:solidFill>
                              <a:latin typeface="Arial" pitchFamily="34" charset="0"/>
                              <a:cs typeface="Arial" pitchFamily="34" charset="0"/>
                            </a:rPr>
                            <a:t>assembler –computer</a:t>
                          </a:r>
                          <a:endParaRPr lang="en-AU" sz="1100" b="1"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ounded Rectangle 4"/>
                      <a:cNvSpPr/>
                    </a:nvSpPr>
                    <a:spPr>
                      <a:xfrm>
                        <a:off x="785786" y="3929066"/>
                        <a:ext cx="1357322" cy="1000132"/>
                      </a:xfrm>
                      <a:prstGeom prst="roundRect">
                        <a:avLst/>
                      </a:prstGeom>
                      <a:solidFill>
                        <a:schemeClr val="accent3">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AU" sz="1100" b="1" dirty="0" smtClean="0">
                              <a:solidFill>
                                <a:schemeClr val="tx1"/>
                              </a:solidFill>
                              <a:latin typeface="Arial" pitchFamily="34" charset="0"/>
                              <a:cs typeface="Arial" pitchFamily="34" charset="0"/>
                            </a:rPr>
                            <a:t>Overseas manufacturer –computer part</a:t>
                          </a:r>
                          <a:endParaRPr lang="en-AU" sz="1100" b="1"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ounded Rectangle 5"/>
                      <a:cNvSpPr/>
                    </a:nvSpPr>
                    <a:spPr>
                      <a:xfrm>
                        <a:off x="2714612" y="1785926"/>
                        <a:ext cx="1357322" cy="1000132"/>
                      </a:xfrm>
                      <a:prstGeom prst="roundRect">
                        <a:avLst/>
                      </a:prstGeom>
                      <a:solidFill>
                        <a:schemeClr val="tx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AU" sz="1100" b="1" dirty="0" smtClean="0">
                              <a:solidFill>
                                <a:schemeClr val="bg1"/>
                              </a:solidFill>
                              <a:latin typeface="Arial" pitchFamily="34" charset="0"/>
                              <a:cs typeface="Arial" pitchFamily="34" charset="0"/>
                            </a:rPr>
                            <a:t>Importer  - computer</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ounded Rectangle 6"/>
                      <a:cNvSpPr/>
                    </a:nvSpPr>
                    <a:spPr>
                      <a:xfrm>
                        <a:off x="2714612" y="3929066"/>
                        <a:ext cx="1357322" cy="1000132"/>
                      </a:xfrm>
                      <a:prstGeom prst="roundRect">
                        <a:avLst/>
                      </a:prstGeom>
                      <a:solidFill>
                        <a:schemeClr val="tx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AU" sz="1100" b="1" dirty="0" smtClean="0">
                              <a:solidFill>
                                <a:schemeClr val="bg1"/>
                              </a:solidFill>
                              <a:latin typeface="Arial" pitchFamily="34" charset="0"/>
                              <a:cs typeface="Arial" pitchFamily="34" charset="0"/>
                            </a:rPr>
                            <a:t>Importer –computer part</a:t>
                          </a:r>
                          <a:endParaRPr lang="en-AU" sz="1100" b="1" dirty="0">
                            <a:solidFill>
                              <a:schemeClr val="bg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ounded Rectangle 7"/>
                      <a:cNvSpPr/>
                    </a:nvSpPr>
                    <a:spPr>
                      <a:xfrm>
                        <a:off x="4786314" y="4714884"/>
                        <a:ext cx="1357322" cy="1000132"/>
                      </a:xfrm>
                      <a:prstGeom prst="roundRect">
                        <a:avLst/>
                      </a:prstGeom>
                      <a:solidFill>
                        <a:schemeClr val="accent3">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AU" sz="1100" b="1" dirty="0" smtClean="0">
                              <a:solidFill>
                                <a:schemeClr val="tx1"/>
                              </a:solidFill>
                              <a:latin typeface="Arial" pitchFamily="34" charset="0"/>
                              <a:cs typeface="Arial" pitchFamily="34" charset="0"/>
                            </a:rPr>
                            <a:t>Consumer–computer part</a:t>
                          </a:r>
                          <a:endParaRPr lang="en-AU" sz="1100" b="1"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ounded Rectangle 8"/>
                      <a:cNvSpPr/>
                    </a:nvSpPr>
                    <a:spPr>
                      <a:xfrm>
                        <a:off x="4786314" y="3214686"/>
                        <a:ext cx="1357322" cy="1000132"/>
                      </a:xfrm>
                      <a:prstGeom prst="roundRect">
                        <a:avLst/>
                      </a:prstGeom>
                      <a:solidFill>
                        <a:schemeClr val="accent3">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AU" sz="1100" b="1" dirty="0" smtClean="0">
                              <a:solidFill>
                                <a:schemeClr val="tx1"/>
                              </a:solidFill>
                              <a:latin typeface="Arial" pitchFamily="34" charset="0"/>
                              <a:cs typeface="Arial" pitchFamily="34" charset="0"/>
                            </a:rPr>
                            <a:t>Domestic</a:t>
                          </a:r>
                        </a:p>
                        <a:p>
                          <a:pPr algn="ctr"/>
                          <a:r>
                            <a:rPr lang="en-AU" sz="1100" b="1" dirty="0" smtClean="0">
                              <a:solidFill>
                                <a:schemeClr val="tx1"/>
                              </a:solidFill>
                              <a:latin typeface="Arial" pitchFamily="34" charset="0"/>
                              <a:cs typeface="Arial" pitchFamily="34" charset="0"/>
                            </a:rPr>
                            <a:t>manufacturer/</a:t>
                          </a:r>
                        </a:p>
                        <a:p>
                          <a:pPr algn="ctr"/>
                          <a:r>
                            <a:rPr lang="en-AU" sz="1100" b="1" dirty="0">
                              <a:solidFill>
                                <a:schemeClr val="tx1"/>
                              </a:solidFill>
                              <a:latin typeface="Arial" pitchFamily="34" charset="0"/>
                              <a:cs typeface="Arial" pitchFamily="34" charset="0"/>
                            </a:rPr>
                            <a:t>a</a:t>
                          </a:r>
                          <a:r>
                            <a:rPr lang="en-AU" sz="1100" b="1" dirty="0" smtClean="0">
                              <a:solidFill>
                                <a:schemeClr val="tx1"/>
                              </a:solidFill>
                              <a:latin typeface="Arial" pitchFamily="34" charset="0"/>
                              <a:cs typeface="Arial" pitchFamily="34" charset="0"/>
                            </a:rPr>
                            <a:t>ssembler – </a:t>
                          </a:r>
                        </a:p>
                        <a:p>
                          <a:pPr algn="ctr"/>
                          <a:r>
                            <a:rPr lang="en-AU" sz="1100" b="1" dirty="0" smtClean="0">
                              <a:solidFill>
                                <a:schemeClr val="tx1"/>
                              </a:solidFill>
                              <a:latin typeface="Arial" pitchFamily="34" charset="0"/>
                              <a:cs typeface="Arial" pitchFamily="34" charset="0"/>
                            </a:rPr>
                            <a:t>computer</a:t>
                          </a:r>
                          <a:endParaRPr lang="en-AU" sz="1100" b="1" dirty="0">
                            <a:solidFill>
                              <a:schemeClr val="tx1"/>
                            </a:solidFill>
                            <a:latin typeface="Arial" pitchFamily="34" charset="0"/>
                            <a:cs typeface="Arial" pitchFamily="34" charset="0"/>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ounded Rectangle 9"/>
                      <a:cNvSpPr/>
                    </a:nvSpPr>
                    <a:spPr>
                      <a:xfrm>
                        <a:off x="4786314" y="1785926"/>
                        <a:ext cx="1357322" cy="1000132"/>
                      </a:xfrm>
                      <a:prstGeom prst="roundRect">
                        <a:avLst/>
                      </a:prstGeom>
                      <a:solidFill>
                        <a:schemeClr val="accent3">
                          <a:lumMod val="60000"/>
                          <a:lumOff val="40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AU" sz="1100" b="1" dirty="0" smtClean="0">
                              <a:solidFill>
                                <a:schemeClr val="tx1"/>
                              </a:solidFill>
                              <a:latin typeface="Arial" pitchFamily="34" charset="0"/>
                              <a:cs typeface="Arial" pitchFamily="34" charset="0"/>
                            </a:rPr>
                            <a:t>Consumer - computer</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ounded Rectangle 10"/>
                      <a:cNvSpPr/>
                    </a:nvSpPr>
                    <a:spPr>
                      <a:xfrm>
                        <a:off x="7000892" y="1785926"/>
                        <a:ext cx="1357322" cy="1000132"/>
                      </a:xfrm>
                      <a:prstGeom prst="roundRect">
                        <a:avLst/>
                      </a:prstGeom>
                      <a:solidFill>
                        <a:schemeClr val="accent3">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AU" sz="1100" b="1" dirty="0" smtClean="0">
                              <a:solidFill>
                                <a:schemeClr val="tx1"/>
                              </a:solidFill>
                              <a:latin typeface="Arial" pitchFamily="34" charset="0"/>
                              <a:cs typeface="Arial" pitchFamily="34" charset="0"/>
                            </a:rPr>
                            <a:t>End-of-life</a:t>
                          </a:r>
                        </a:p>
                        <a:p>
                          <a:pPr algn="ctr"/>
                          <a:r>
                            <a:rPr lang="en-AU" sz="1100" b="1" dirty="0" smtClean="0">
                              <a:solidFill>
                                <a:schemeClr val="tx1"/>
                              </a:solidFill>
                              <a:latin typeface="Arial" pitchFamily="34" charset="0"/>
                              <a:cs typeface="Arial" pitchFamily="34" charset="0"/>
                            </a:rPr>
                            <a:t>computer</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ounded Rectangle 11"/>
                      <a:cNvSpPr/>
                    </a:nvSpPr>
                    <a:spPr>
                      <a:xfrm>
                        <a:off x="7000892" y="4714884"/>
                        <a:ext cx="1357322" cy="1000132"/>
                      </a:xfrm>
                      <a:prstGeom prst="roundRect">
                        <a:avLst/>
                      </a:prstGeom>
                      <a:solidFill>
                        <a:schemeClr val="accent3">
                          <a:lumMod val="7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AU" sz="1100" b="1" dirty="0" smtClean="0">
                              <a:solidFill>
                                <a:schemeClr val="tx1"/>
                              </a:solidFill>
                              <a:latin typeface="Arial" pitchFamily="34" charset="0"/>
                              <a:cs typeface="Arial" pitchFamily="34" charset="0"/>
                            </a:rPr>
                            <a:t>End-of-life</a:t>
                          </a:r>
                        </a:p>
                        <a:p>
                          <a:pPr algn="ctr"/>
                          <a:r>
                            <a:rPr lang="en-AU" sz="1100" b="1" dirty="0" smtClean="0">
                              <a:solidFill>
                                <a:schemeClr val="tx1"/>
                              </a:solidFill>
                              <a:latin typeface="Arial" pitchFamily="34" charset="0"/>
                              <a:cs typeface="Arial" pitchFamily="34" charset="0"/>
                            </a:rPr>
                            <a:t>part </a:t>
                          </a:r>
                        </a:p>
                        <a:p>
                          <a:pPr algn="ctr"/>
                          <a:r>
                            <a:rPr lang="en-AU" sz="1000" dirty="0" smtClean="0">
                              <a:solidFill>
                                <a:schemeClr val="tx1"/>
                              </a:solidFill>
                              <a:latin typeface="Arial" pitchFamily="34" charset="0"/>
                              <a:cs typeface="Arial" pitchFamily="34" charset="0"/>
                            </a:rPr>
                            <a:t>(</a:t>
                          </a:r>
                          <a:r>
                            <a:rPr lang="en-AU" sz="1000" dirty="0" err="1" smtClean="0">
                              <a:solidFill>
                                <a:schemeClr val="tx1"/>
                              </a:solidFill>
                              <a:latin typeface="Arial" pitchFamily="34" charset="0"/>
                              <a:cs typeface="Arial" pitchFamily="34" charset="0"/>
                            </a:rPr>
                            <a:t>i.e.part</a:t>
                          </a:r>
                          <a:r>
                            <a:rPr lang="en-AU" sz="1000" dirty="0" smtClean="0">
                              <a:solidFill>
                                <a:schemeClr val="tx1"/>
                              </a:solidFill>
                              <a:latin typeface="Arial" pitchFamily="34" charset="0"/>
                              <a:cs typeface="Arial" pitchFamily="34" charset="0"/>
                            </a:rPr>
                            <a:t> that has been replaced)</a:t>
                          </a: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8" name="Elbow Connector 17"/>
                      <a:cNvCxnSpPr>
                        <a:stCxn id="7" idx="3"/>
                        <a:endCxn id="9" idx="1"/>
                      </a:cNvCxnSpPr>
                    </a:nvCxnSpPr>
                    <a:spPr>
                      <a:xfrm flipV="1">
                        <a:off x="4071934" y="3714752"/>
                        <a:ext cx="714380" cy="714380"/>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0" name="Elbow Connector 19"/>
                      <a:cNvCxnSpPr>
                        <a:stCxn id="7" idx="3"/>
                        <a:endCxn id="8" idx="1"/>
                      </a:cNvCxnSpPr>
                    </a:nvCxnSpPr>
                    <a:spPr>
                      <a:xfrm>
                        <a:off x="4071934" y="4429132"/>
                        <a:ext cx="714380" cy="785818"/>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2" name="Elbow Connector 21"/>
                      <a:cNvCxnSpPr>
                        <a:stCxn id="8" idx="3"/>
                        <a:endCxn id="12" idx="1"/>
                      </a:cNvCxnSpPr>
                    </a:nvCxnSpPr>
                    <a:spPr>
                      <a:xfrm>
                        <a:off x="6143636" y="5214950"/>
                        <a:ext cx="857256" cy="1588"/>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4" name="Elbow Connector 23"/>
                      <a:cNvCxnSpPr>
                        <a:stCxn id="5" idx="3"/>
                        <a:endCxn id="7" idx="1"/>
                      </a:cNvCxnSpPr>
                    </a:nvCxnSpPr>
                    <a:spPr>
                      <a:xfrm>
                        <a:off x="2143108" y="4429132"/>
                        <a:ext cx="571504" cy="1588"/>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6" name="Elbow Connector 25"/>
                      <a:cNvCxnSpPr>
                        <a:stCxn id="4" idx="3"/>
                        <a:endCxn id="6" idx="1"/>
                      </a:cNvCxnSpPr>
                    </a:nvCxnSpPr>
                    <a:spPr>
                      <a:xfrm>
                        <a:off x="2143108" y="2285992"/>
                        <a:ext cx="571504" cy="1588"/>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8" name="Elbow Connector 27"/>
                      <a:cNvCxnSpPr>
                        <a:stCxn id="6" idx="3"/>
                        <a:endCxn id="10" idx="1"/>
                      </a:cNvCxnSpPr>
                    </a:nvCxnSpPr>
                    <a:spPr>
                      <a:xfrm>
                        <a:off x="4071934" y="2285992"/>
                        <a:ext cx="714380" cy="1588"/>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1" name="Elbow Connector 30"/>
                      <a:cNvCxnSpPr>
                        <a:stCxn id="10" idx="3"/>
                        <a:endCxn id="11" idx="1"/>
                      </a:cNvCxnSpPr>
                    </a:nvCxnSpPr>
                    <a:spPr>
                      <a:xfrm>
                        <a:off x="6143636" y="2285992"/>
                        <a:ext cx="857256" cy="1588"/>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sp>
                    <a:nvSpPr>
                      <a:cNvPr id="34" name="TextBox 33"/>
                      <a:cNvSpPr txBox="1"/>
                    </a:nvSpPr>
                    <a:spPr>
                      <a:xfrm>
                        <a:off x="2285984" y="785794"/>
                        <a:ext cx="485778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AU" b="1" dirty="0" smtClean="0"/>
                            <a:t>Material flow: computers and computer parts</a:t>
                          </a:r>
                          <a:endParaRPr lang="en-AU" b="1" dirty="0"/>
                        </a:p>
                      </a:txBody>
                      <a:useSpRect/>
                    </a:txSp>
                  </a:sp>
                  <a:cxnSp>
                    <a:nvCxnSpPr>
                      <a:cNvPr id="36" name="Elbow Connector 35"/>
                      <a:cNvCxnSpPr>
                        <a:stCxn id="9" idx="0"/>
                        <a:endCxn id="10" idx="2"/>
                      </a:cNvCxnSpPr>
                    </a:nvCxnSpPr>
                    <a:spPr>
                      <a:xfrm rot="5400000" flipH="1" flipV="1">
                        <a:off x="5250661" y="3000372"/>
                        <a:ext cx="428628" cy="1588"/>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3F4567"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1.04(3</w:t>
      </w:r>
      <w:r w:rsidRPr="006C4F19">
        <w:rPr>
          <w:rFonts w:ascii="Times New Roman" w:hAnsi="Times New Roman" w:cs="Times New Roman"/>
          <w:sz w:val="24"/>
          <w:szCs w:val="24"/>
        </w:rPr>
        <w:t xml:space="preserve">) provides that each of the classes of products contains the products set out in Schedule 1. These products, and the associated product descriptions and product codes, are drawn from the </w:t>
      </w:r>
      <w:r w:rsidRPr="006C4F19">
        <w:rPr>
          <w:rFonts w:ascii="Times New Roman" w:hAnsi="Times New Roman" w:cs="Times New Roman"/>
          <w:i/>
          <w:sz w:val="24"/>
          <w:szCs w:val="24"/>
        </w:rPr>
        <w:t xml:space="preserve">Combined Australian Customs Tariff Nomenclature and Statistical Classification </w:t>
      </w:r>
      <w:r w:rsidRPr="006C4F19">
        <w:rPr>
          <w:rFonts w:ascii="Times New Roman" w:hAnsi="Times New Roman" w:cs="Times New Roman"/>
          <w:sz w:val="24"/>
          <w:szCs w:val="24"/>
        </w:rPr>
        <w:t>(commonly referred to as the Harmonised Tariff) and are intended to have the same meaning as in the Harmonised Tariff.</w:t>
      </w:r>
      <w:r>
        <w:rPr>
          <w:rFonts w:ascii="Times New Roman" w:hAnsi="Times New Roman" w:cs="Times New Roman"/>
          <w:sz w:val="24"/>
          <w:szCs w:val="24"/>
        </w:rPr>
        <w:t xml:space="preserve"> The Harmonised Tariff is </w:t>
      </w:r>
      <w:r w:rsidRPr="006C4F19">
        <w:rPr>
          <w:rFonts w:ascii="Times New Roman" w:hAnsi="Times New Roman" w:cs="Times New Roman"/>
          <w:sz w:val="24"/>
          <w:szCs w:val="24"/>
        </w:rPr>
        <w:t xml:space="preserve">published by the Australian Customs </w:t>
      </w:r>
      <w:r>
        <w:rPr>
          <w:rFonts w:ascii="Times New Roman" w:hAnsi="Times New Roman" w:cs="Times New Roman"/>
          <w:sz w:val="24"/>
          <w:szCs w:val="24"/>
        </w:rPr>
        <w:t xml:space="preserve">and Border Protection </w:t>
      </w:r>
      <w:r w:rsidRPr="006C4F19">
        <w:rPr>
          <w:rFonts w:ascii="Times New Roman" w:hAnsi="Times New Roman" w:cs="Times New Roman"/>
          <w:sz w:val="24"/>
          <w:szCs w:val="24"/>
        </w:rPr>
        <w:t>Service</w:t>
      </w:r>
      <w:r>
        <w:rPr>
          <w:rFonts w:ascii="Times New Roman" w:hAnsi="Times New Roman" w:cs="Times New Roman"/>
          <w:sz w:val="24"/>
          <w:szCs w:val="24"/>
        </w:rPr>
        <w:t xml:space="preserve">, available at </w:t>
      </w:r>
      <w:hyperlink r:id="rId12" w:history="1">
        <w:r w:rsidRPr="00FE5273">
          <w:rPr>
            <w:rStyle w:val="Hyperlink"/>
            <w:rFonts w:ascii="Times New Roman" w:hAnsi="Times New Roman"/>
            <w:sz w:val="24"/>
            <w:szCs w:val="24"/>
          </w:rPr>
          <w:t>www.customs.gov.au</w:t>
        </w:r>
      </w:hyperlink>
      <w:r w:rsidRPr="00BC312D">
        <w:rPr>
          <w:rFonts w:ascii="Times New Roman" w:hAnsi="Times New Roman" w:cs="Times New Roman"/>
          <w:sz w:val="24"/>
          <w:szCs w:val="24"/>
        </w:rPr>
        <w:t>.</w:t>
      </w:r>
    </w:p>
    <w:p w:rsidR="003F4567"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 xml:space="preserve">Regulation 1.05 </w:t>
      </w:r>
      <w:r w:rsidRPr="00330E69">
        <w:rPr>
          <w:rFonts w:ascii="Times New Roman" w:eastAsia="Times New Roman" w:hAnsi="Times New Roman" w:cs="Times New Roman"/>
          <w:sz w:val="24"/>
          <w:szCs w:val="24"/>
          <w:u w:val="single"/>
          <w:lang w:eastAsia="en-AU"/>
        </w:rPr>
        <w:t>–</w:t>
      </w:r>
      <w:r w:rsidRPr="00330E69">
        <w:rPr>
          <w:rFonts w:ascii="Times New Roman" w:hAnsi="Times New Roman" w:cs="Times New Roman"/>
          <w:sz w:val="24"/>
          <w:szCs w:val="24"/>
          <w:u w:val="single"/>
        </w:rPr>
        <w:t xml:space="preserve"> Constitutional connection</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sz w:val="24"/>
          <w:szCs w:val="24"/>
        </w:rPr>
      </w:pPr>
      <w:r w:rsidRPr="00330E69">
        <w:rPr>
          <w:rFonts w:ascii="Times New Roman" w:hAnsi="Times New Roman"/>
          <w:sz w:val="24"/>
          <w:szCs w:val="24"/>
        </w:rPr>
        <w:t xml:space="preserve">Subsection 34(1) of the </w:t>
      </w:r>
      <w:r w:rsidRPr="00330E69">
        <w:rPr>
          <w:rFonts w:ascii="Times New Roman" w:hAnsi="Times New Roman"/>
          <w:i/>
          <w:sz w:val="24"/>
          <w:szCs w:val="24"/>
        </w:rPr>
        <w:t xml:space="preserve">Product Stewardship Act 2011 </w:t>
      </w:r>
      <w:r>
        <w:rPr>
          <w:rFonts w:ascii="Times New Roman" w:hAnsi="Times New Roman"/>
          <w:sz w:val="24"/>
          <w:szCs w:val="24"/>
        </w:rPr>
        <w:t xml:space="preserve">(the Act) </w:t>
      </w:r>
      <w:r w:rsidRPr="00330E69">
        <w:rPr>
          <w:rFonts w:ascii="Times New Roman" w:hAnsi="Times New Roman"/>
          <w:sz w:val="24"/>
          <w:szCs w:val="24"/>
        </w:rPr>
        <w:t xml:space="preserve">requires that either or both of the following must apply to regulations made under Part 3: </w:t>
      </w:r>
    </w:p>
    <w:p w:rsidR="003F4567" w:rsidRPr="00330E69" w:rsidRDefault="003F4567" w:rsidP="003F4567">
      <w:pPr>
        <w:spacing w:after="0" w:line="240" w:lineRule="auto"/>
        <w:rPr>
          <w:rFonts w:ascii="Times New Roman" w:hAnsi="Times New Roman"/>
          <w:sz w:val="24"/>
          <w:szCs w:val="24"/>
        </w:rPr>
      </w:pPr>
    </w:p>
    <w:p w:rsidR="003F4567" w:rsidRDefault="003F4567" w:rsidP="003F4567">
      <w:pPr>
        <w:pStyle w:val="ListParagraph"/>
        <w:numPr>
          <w:ilvl w:val="0"/>
          <w:numId w:val="1"/>
        </w:numPr>
        <w:spacing w:after="0" w:line="240" w:lineRule="auto"/>
        <w:contextualSpacing w:val="0"/>
        <w:rPr>
          <w:rFonts w:ascii="Times New Roman" w:hAnsi="Times New Roman"/>
          <w:sz w:val="24"/>
          <w:szCs w:val="24"/>
        </w:rPr>
      </w:pPr>
      <w:r w:rsidRPr="00330E69">
        <w:rPr>
          <w:rFonts w:ascii="Times New Roman" w:hAnsi="Times New Roman"/>
          <w:sz w:val="24"/>
          <w:szCs w:val="24"/>
        </w:rPr>
        <w:t>each liable party in relation to the class of products is a constitutional corporation</w:t>
      </w:r>
      <w:r>
        <w:rPr>
          <w:rFonts w:ascii="Times New Roman" w:hAnsi="Times New Roman"/>
          <w:sz w:val="24"/>
          <w:szCs w:val="24"/>
        </w:rPr>
        <w:t xml:space="preserve"> (paragraph 34(1)(a))</w:t>
      </w:r>
      <w:r w:rsidRPr="00330E69">
        <w:rPr>
          <w:rFonts w:ascii="Times New Roman" w:hAnsi="Times New Roman"/>
          <w:sz w:val="24"/>
          <w:szCs w:val="24"/>
        </w:rPr>
        <w:t>;</w:t>
      </w:r>
    </w:p>
    <w:p w:rsidR="003F4567" w:rsidRPr="00330E69" w:rsidRDefault="003F4567" w:rsidP="003F4567">
      <w:pPr>
        <w:pStyle w:val="ListParagraph"/>
        <w:spacing w:after="0" w:line="240" w:lineRule="auto"/>
        <w:ind w:left="360"/>
        <w:rPr>
          <w:rFonts w:ascii="Times New Roman" w:hAnsi="Times New Roman"/>
          <w:sz w:val="24"/>
          <w:szCs w:val="24"/>
        </w:rPr>
      </w:pPr>
    </w:p>
    <w:p w:rsidR="003F4567" w:rsidRPr="00330E69" w:rsidRDefault="003F4567" w:rsidP="003F4567">
      <w:pPr>
        <w:pStyle w:val="ListParagraph"/>
        <w:numPr>
          <w:ilvl w:val="0"/>
          <w:numId w:val="1"/>
        </w:numPr>
        <w:spacing w:after="0" w:line="240" w:lineRule="auto"/>
        <w:contextualSpacing w:val="0"/>
        <w:rPr>
          <w:rFonts w:ascii="Times New Roman" w:hAnsi="Times New Roman"/>
          <w:sz w:val="24"/>
          <w:szCs w:val="24"/>
        </w:rPr>
      </w:pPr>
      <w:r w:rsidRPr="00330E69">
        <w:rPr>
          <w:rFonts w:ascii="Times New Roman" w:hAnsi="Times New Roman"/>
          <w:sz w:val="24"/>
          <w:szCs w:val="24"/>
        </w:rPr>
        <w:t>the regulations are appropriate and adapted to give effect to Australia’s obligations under an agreement with one or more other countries</w:t>
      </w:r>
      <w:r>
        <w:rPr>
          <w:rFonts w:ascii="Times New Roman" w:hAnsi="Times New Roman"/>
          <w:sz w:val="24"/>
          <w:szCs w:val="24"/>
        </w:rPr>
        <w:t xml:space="preserve"> (paragraph 34(1)(b))</w:t>
      </w:r>
      <w:r w:rsidRPr="00330E69">
        <w:rPr>
          <w:rFonts w:ascii="Times New Roman" w:hAnsi="Times New Roman"/>
          <w:sz w:val="24"/>
          <w:szCs w:val="24"/>
        </w:rPr>
        <w:t>.</w:t>
      </w:r>
    </w:p>
    <w:p w:rsidR="003F4567" w:rsidRPr="00330E69" w:rsidRDefault="003F4567" w:rsidP="003F4567">
      <w:pPr>
        <w:spacing w:after="0" w:line="240" w:lineRule="auto"/>
        <w:rPr>
          <w:rFonts w:ascii="Times New Roman" w:hAnsi="Times New Roman"/>
          <w:sz w:val="24"/>
          <w:szCs w:val="24"/>
        </w:rPr>
      </w:pPr>
    </w:p>
    <w:p w:rsidR="003F4567" w:rsidRPr="00330E69" w:rsidRDefault="003F4567" w:rsidP="003F4567">
      <w:pPr>
        <w:spacing w:after="0" w:line="240" w:lineRule="auto"/>
        <w:rPr>
          <w:rFonts w:ascii="Times New Roman" w:hAnsi="Times New Roman"/>
          <w:sz w:val="24"/>
          <w:szCs w:val="24"/>
        </w:rPr>
      </w:pPr>
      <w:r w:rsidRPr="00330E69">
        <w:rPr>
          <w:rFonts w:ascii="Times New Roman" w:hAnsi="Times New Roman"/>
          <w:sz w:val="24"/>
          <w:szCs w:val="24"/>
        </w:rPr>
        <w:t>This regulation specifies that the Regulations are made in accordance with paragraph 34(1)(a) of the Act.</w:t>
      </w:r>
    </w:p>
    <w:p w:rsidR="003F4567" w:rsidRPr="00330E69" w:rsidRDefault="003F4567" w:rsidP="003F4567">
      <w:pPr>
        <w:spacing w:after="0" w:line="240" w:lineRule="auto"/>
        <w:rPr>
          <w:rFonts w:ascii="Times New Roman" w:hAnsi="Times New Roman" w:cs="Times New Roman"/>
          <w:sz w:val="24"/>
          <w:szCs w:val="24"/>
        </w:rPr>
      </w:pPr>
    </w:p>
    <w:p w:rsidR="003F4567" w:rsidRPr="00FA536A" w:rsidRDefault="003F4567" w:rsidP="003F4567">
      <w:pPr>
        <w:spacing w:after="0" w:line="240" w:lineRule="auto"/>
        <w:rPr>
          <w:rFonts w:ascii="Times New Roman" w:eastAsia="Times New Roman" w:hAnsi="Times New Roman" w:cs="Times New Roman"/>
          <w:b/>
          <w:sz w:val="24"/>
          <w:szCs w:val="24"/>
          <w:lang w:eastAsia="en-AU"/>
        </w:rPr>
      </w:pPr>
      <w:r w:rsidRPr="00FA536A">
        <w:rPr>
          <w:rFonts w:ascii="Times New Roman" w:eastAsia="Times New Roman" w:hAnsi="Times New Roman" w:cs="Times New Roman"/>
          <w:b/>
          <w:sz w:val="24"/>
          <w:szCs w:val="24"/>
          <w:lang w:eastAsia="en-AU"/>
        </w:rPr>
        <w:t>Part 2 Liable parties and administrator</w:t>
      </w:r>
      <w:r>
        <w:rPr>
          <w:rFonts w:ascii="Times New Roman" w:eastAsia="Times New Roman" w:hAnsi="Times New Roman" w:cs="Times New Roman"/>
          <w:b/>
          <w:sz w:val="24"/>
          <w:szCs w:val="24"/>
          <w:lang w:eastAsia="en-AU"/>
        </w:rPr>
        <w:t>s</w:t>
      </w:r>
      <w:r w:rsidRPr="00FA536A">
        <w:rPr>
          <w:rFonts w:ascii="Times New Roman" w:eastAsia="Times New Roman" w:hAnsi="Times New Roman" w:cs="Times New Roman"/>
          <w:b/>
          <w:sz w:val="24"/>
          <w:szCs w:val="24"/>
          <w:lang w:eastAsia="en-AU"/>
        </w:rPr>
        <w:t xml:space="preserve"> of co-regulatory arrangements</w:t>
      </w:r>
    </w:p>
    <w:p w:rsidR="003F4567" w:rsidRPr="00FA536A" w:rsidRDefault="003F4567" w:rsidP="003F4567">
      <w:pPr>
        <w:spacing w:after="0" w:line="240" w:lineRule="auto"/>
        <w:rPr>
          <w:rFonts w:ascii="Times New Roman" w:eastAsia="Times New Roman" w:hAnsi="Times New Roman" w:cs="Times New Roman"/>
          <w:b/>
          <w:sz w:val="24"/>
          <w:szCs w:val="24"/>
          <w:lang w:eastAsia="en-AU"/>
        </w:rPr>
      </w:pPr>
    </w:p>
    <w:p w:rsidR="003F4567" w:rsidRPr="00FA536A" w:rsidRDefault="003F4567" w:rsidP="003F4567">
      <w:pPr>
        <w:spacing w:after="0" w:line="240" w:lineRule="auto"/>
        <w:rPr>
          <w:rFonts w:ascii="Times New Roman" w:eastAsia="Times New Roman" w:hAnsi="Times New Roman" w:cs="Times New Roman"/>
          <w:b/>
          <w:sz w:val="24"/>
          <w:szCs w:val="24"/>
          <w:lang w:eastAsia="en-AU"/>
        </w:rPr>
      </w:pPr>
      <w:r w:rsidRPr="00FA536A">
        <w:rPr>
          <w:rFonts w:ascii="Times New Roman" w:eastAsia="Times New Roman" w:hAnsi="Times New Roman" w:cs="Times New Roman"/>
          <w:b/>
          <w:sz w:val="24"/>
          <w:szCs w:val="24"/>
          <w:lang w:eastAsia="en-AU"/>
        </w:rPr>
        <w:t>Division 2.1 Liable Parties</w:t>
      </w:r>
    </w:p>
    <w:p w:rsidR="003F4567" w:rsidRPr="00330E69" w:rsidRDefault="003F4567" w:rsidP="003F4567">
      <w:pPr>
        <w:spacing w:after="0" w:line="240" w:lineRule="auto"/>
        <w:rPr>
          <w:rFonts w:ascii="Times New Roman" w:eastAsia="Times New Roman" w:hAnsi="Times New Roman" w:cs="Times New Roman"/>
          <w:sz w:val="24"/>
          <w:szCs w:val="24"/>
          <w:u w:val="single"/>
          <w:lang w:eastAsia="en-AU"/>
        </w:rPr>
      </w:pPr>
    </w:p>
    <w:p w:rsidR="003F4567" w:rsidRPr="00330E69" w:rsidRDefault="003F4567" w:rsidP="003F4567">
      <w:pPr>
        <w:spacing w:after="0" w:line="240" w:lineRule="auto"/>
        <w:rPr>
          <w:rFonts w:ascii="Times New Roman" w:eastAsia="Times New Roman" w:hAnsi="Times New Roman" w:cs="Times New Roman"/>
          <w:sz w:val="24"/>
          <w:szCs w:val="24"/>
          <w:u w:val="single"/>
          <w:lang w:eastAsia="en-AU"/>
        </w:rPr>
      </w:pPr>
      <w:r w:rsidRPr="00330E69">
        <w:rPr>
          <w:rFonts w:ascii="Times New Roman" w:eastAsia="Times New Roman" w:hAnsi="Times New Roman" w:cs="Times New Roman"/>
          <w:sz w:val="24"/>
          <w:szCs w:val="24"/>
          <w:u w:val="single"/>
          <w:lang w:eastAsia="en-AU"/>
        </w:rPr>
        <w:t>Regulation 2.01 – Liable parties – classes of persons</w:t>
      </w:r>
    </w:p>
    <w:p w:rsidR="003F4567" w:rsidRPr="00330E69" w:rsidRDefault="003F4567" w:rsidP="003F4567">
      <w:pPr>
        <w:spacing w:after="0" w:line="240" w:lineRule="auto"/>
        <w:rPr>
          <w:rFonts w:ascii="Times New Roman" w:eastAsia="Times New Roman" w:hAnsi="Times New Roman" w:cs="Times New Roman"/>
          <w:sz w:val="24"/>
          <w:szCs w:val="24"/>
          <w:u w:val="single"/>
          <w:lang w:eastAsia="en-AU"/>
        </w:rPr>
      </w:pPr>
    </w:p>
    <w:p w:rsidR="003F4567" w:rsidRPr="00330E69" w:rsidRDefault="003F4567" w:rsidP="003F4567">
      <w:pPr>
        <w:spacing w:after="0" w:line="240" w:lineRule="auto"/>
        <w:rPr>
          <w:rFonts w:ascii="Times New Roman" w:eastAsia="Times New Roman" w:hAnsi="Times New Roman" w:cs="Times New Roman"/>
          <w:sz w:val="24"/>
          <w:szCs w:val="24"/>
          <w:lang w:eastAsia="en-AU"/>
        </w:rPr>
      </w:pPr>
      <w:r w:rsidRPr="00330E69">
        <w:rPr>
          <w:rFonts w:ascii="Times New Roman" w:eastAsia="Times New Roman" w:hAnsi="Times New Roman" w:cs="Times New Roman"/>
          <w:sz w:val="24"/>
          <w:szCs w:val="24"/>
          <w:lang w:eastAsia="en-AU"/>
        </w:rPr>
        <w:t>This regulation provides that the Regulations apply to two classes of liable parties</w:t>
      </w:r>
      <w:r>
        <w:rPr>
          <w:rFonts w:ascii="Times New Roman" w:eastAsia="Times New Roman" w:hAnsi="Times New Roman" w:cs="Times New Roman"/>
          <w:sz w:val="24"/>
          <w:szCs w:val="24"/>
          <w:lang w:eastAsia="en-AU"/>
        </w:rPr>
        <w:t>, importers and domestic manufacturers of</w:t>
      </w:r>
      <w:r w:rsidRPr="00330E69">
        <w:rPr>
          <w:rFonts w:ascii="Times New Roman" w:eastAsia="Times New Roman" w:hAnsi="Times New Roman" w:cs="Times New Roman"/>
          <w:sz w:val="24"/>
          <w:szCs w:val="24"/>
          <w:lang w:eastAsia="en-AU"/>
        </w:rPr>
        <w:t>:</w:t>
      </w:r>
    </w:p>
    <w:p w:rsidR="003F4567" w:rsidRPr="00330E69" w:rsidRDefault="003F4567" w:rsidP="003F4567">
      <w:pPr>
        <w:pStyle w:val="ListParagraph"/>
        <w:spacing w:after="0" w:line="240" w:lineRule="auto"/>
        <w:rPr>
          <w:rFonts w:ascii="Times New Roman" w:hAnsi="Times New Roman" w:cs="Times New Roman"/>
          <w:sz w:val="24"/>
          <w:szCs w:val="24"/>
        </w:rPr>
      </w:pPr>
    </w:p>
    <w:p w:rsidR="003F4567" w:rsidRDefault="003F4567" w:rsidP="003F4567">
      <w:pPr>
        <w:pStyle w:val="ListParagraph"/>
        <w:numPr>
          <w:ilvl w:val="0"/>
          <w:numId w:val="2"/>
        </w:numPr>
        <w:spacing w:after="0" w:line="240" w:lineRule="auto"/>
        <w:ind w:left="426"/>
        <w:rPr>
          <w:rFonts w:ascii="Times New Roman" w:hAnsi="Times New Roman" w:cs="Times New Roman"/>
          <w:sz w:val="24"/>
          <w:szCs w:val="24"/>
        </w:rPr>
      </w:pPr>
      <w:r w:rsidRPr="00330E69">
        <w:rPr>
          <w:rFonts w:ascii="Times New Roman" w:hAnsi="Times New Roman" w:cs="Times New Roman"/>
          <w:sz w:val="24"/>
          <w:szCs w:val="24"/>
        </w:rPr>
        <w:t xml:space="preserve">televisions; </w:t>
      </w:r>
      <w:r>
        <w:rPr>
          <w:rFonts w:ascii="Times New Roman" w:hAnsi="Times New Roman" w:cs="Times New Roman"/>
          <w:sz w:val="24"/>
          <w:szCs w:val="24"/>
        </w:rPr>
        <w:t>and</w:t>
      </w:r>
    </w:p>
    <w:p w:rsidR="003F4567" w:rsidRPr="00330E69" w:rsidRDefault="003F4567" w:rsidP="003F4567">
      <w:pPr>
        <w:pStyle w:val="ListParagraph"/>
        <w:spacing w:after="0" w:line="240" w:lineRule="auto"/>
        <w:ind w:left="426"/>
        <w:rPr>
          <w:rFonts w:ascii="Times New Roman" w:hAnsi="Times New Roman" w:cs="Times New Roman"/>
          <w:sz w:val="24"/>
          <w:szCs w:val="24"/>
        </w:rPr>
      </w:pPr>
    </w:p>
    <w:p w:rsidR="003F4567" w:rsidRPr="00330E69" w:rsidRDefault="003F4567" w:rsidP="003F4567">
      <w:pPr>
        <w:pStyle w:val="ListParagraph"/>
        <w:numPr>
          <w:ilvl w:val="0"/>
          <w:numId w:val="2"/>
        </w:numPr>
        <w:spacing w:after="0" w:line="240" w:lineRule="auto"/>
        <w:ind w:left="426"/>
        <w:rPr>
          <w:rFonts w:ascii="Times New Roman" w:hAnsi="Times New Roman" w:cs="Times New Roman"/>
          <w:sz w:val="24"/>
          <w:szCs w:val="24"/>
        </w:rPr>
      </w:pPr>
      <w:r w:rsidRPr="00330E69">
        <w:rPr>
          <w:rFonts w:ascii="Times New Roman" w:hAnsi="Times New Roman" w:cs="Times New Roman"/>
          <w:sz w:val="24"/>
          <w:szCs w:val="24"/>
        </w:rPr>
        <w:t>computers, printers and computer products</w:t>
      </w:r>
      <w:r>
        <w:rPr>
          <w:rFonts w:ascii="Times New Roman" w:hAnsi="Times New Roman" w:cs="Times New Roman"/>
          <w:sz w:val="24"/>
          <w:szCs w:val="24"/>
        </w:rPr>
        <w:t xml:space="preserve"> (see </w:t>
      </w: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1.04(2))</w:t>
      </w:r>
      <w:r w:rsidRPr="00330E69">
        <w:rPr>
          <w:rFonts w:ascii="Times New Roman" w:hAnsi="Times New Roman" w:cs="Times New Roman"/>
          <w:sz w:val="24"/>
          <w:szCs w:val="24"/>
        </w:rPr>
        <w:t>.</w:t>
      </w:r>
    </w:p>
    <w:p w:rsidR="003F4567" w:rsidRPr="00330E69" w:rsidRDefault="003F4567" w:rsidP="003F4567">
      <w:pPr>
        <w:spacing w:after="0" w:line="240" w:lineRule="auto"/>
        <w:rPr>
          <w:rFonts w:ascii="Times New Roman" w:eastAsia="Times New Roman" w:hAnsi="Times New Roman" w:cs="Times New Roman"/>
          <w:sz w:val="24"/>
          <w:szCs w:val="24"/>
          <w:u w:val="single"/>
          <w:lang w:eastAsia="en-AU"/>
        </w:rPr>
      </w:pPr>
    </w:p>
    <w:p w:rsidR="003F4567"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Section 19 of the Act provides that regulations may identify liable parties in relat</w:t>
      </w:r>
      <w:r>
        <w:rPr>
          <w:rFonts w:ascii="Times New Roman" w:hAnsi="Times New Roman" w:cs="Times New Roman"/>
          <w:sz w:val="24"/>
          <w:szCs w:val="24"/>
        </w:rPr>
        <w:t>ion to a class of products.</w:t>
      </w:r>
      <w:r w:rsidRPr="00330E69">
        <w:rPr>
          <w:rFonts w:ascii="Times New Roman" w:hAnsi="Times New Roman" w:cs="Times New Roman"/>
          <w:sz w:val="24"/>
          <w:szCs w:val="24"/>
        </w:rPr>
        <w:t xml:space="preserve"> Under section 18 of the Act, these liable parties must be a member of an approved co-regulatory arrangement in rela</w:t>
      </w:r>
      <w:r>
        <w:rPr>
          <w:rFonts w:ascii="Times New Roman" w:hAnsi="Times New Roman" w:cs="Times New Roman"/>
          <w:sz w:val="24"/>
          <w:szCs w:val="24"/>
        </w:rPr>
        <w:t>tion to that class of products.</w:t>
      </w:r>
      <w:r w:rsidRPr="00330E69">
        <w:rPr>
          <w:rFonts w:ascii="Times New Roman" w:hAnsi="Times New Roman" w:cs="Times New Roman"/>
          <w:sz w:val="24"/>
          <w:szCs w:val="24"/>
        </w:rPr>
        <w:t xml:space="preserve"> Substantial </w:t>
      </w:r>
      <w:r>
        <w:rPr>
          <w:rFonts w:ascii="Times New Roman" w:hAnsi="Times New Roman" w:cs="Times New Roman"/>
          <w:sz w:val="24"/>
          <w:szCs w:val="24"/>
        </w:rPr>
        <w:t>pecuniary</w:t>
      </w:r>
      <w:r w:rsidRPr="00330E69">
        <w:rPr>
          <w:rFonts w:ascii="Times New Roman" w:hAnsi="Times New Roman" w:cs="Times New Roman"/>
          <w:sz w:val="24"/>
          <w:szCs w:val="24"/>
        </w:rPr>
        <w:t xml:space="preserve"> penalties apply if this obligation is not met (see </w:t>
      </w:r>
      <w:r>
        <w:rPr>
          <w:rFonts w:ascii="Times New Roman" w:hAnsi="Times New Roman" w:cs="Times New Roman"/>
          <w:sz w:val="24"/>
          <w:szCs w:val="24"/>
        </w:rPr>
        <w:t xml:space="preserve">civil penalty provisions in </w:t>
      </w:r>
      <w:r w:rsidRPr="00330E69">
        <w:rPr>
          <w:rFonts w:ascii="Times New Roman" w:hAnsi="Times New Roman" w:cs="Times New Roman"/>
          <w:sz w:val="24"/>
          <w:szCs w:val="24"/>
        </w:rPr>
        <w:t>sections 18(1) and 43 of the Act).</w:t>
      </w:r>
    </w:p>
    <w:p w:rsidR="003F4567"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2.01(2) provides a person is in the class of persons who are liable parties in relation to the television class for a financial year if, in that financial year, the person is a constitutional corporation and satisfies the criterion in regulation 2.02 as it relates to the television class.</w:t>
      </w:r>
    </w:p>
    <w:p w:rsidR="003F4567"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2.01(3) provides a person is in the class of persons who are liable parties in relation to the computer class for a financial year if, in that financial year, the person is a constitutional corporation and satisfies the criterion in regulation 2.02 as it relates to the computer class.</w:t>
      </w:r>
    </w:p>
    <w:p w:rsidR="003F4567" w:rsidRDefault="003F4567" w:rsidP="003F4567">
      <w:pPr>
        <w:spacing w:after="0" w:line="240" w:lineRule="auto"/>
        <w:jc w:val="center"/>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Regulation 2.02 – Criterion – import or manufacture products in previous financial year</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2.02(1) provides that in order to satisfy this criterion for a financial year, the person must have imported into, or manufactured in, Australia in the previous financial year more than the number of products specified in </w:t>
      </w: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(2) for the class of products.</w:t>
      </w:r>
    </w:p>
    <w:p w:rsidR="003F4567"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2.02(2) creates a threshold that seeks to </w:t>
      </w:r>
      <w:r>
        <w:rPr>
          <w:rFonts w:ascii="Times New Roman" w:hAnsi="Times New Roman" w:cs="Times New Roman"/>
          <w:sz w:val="24"/>
          <w:szCs w:val="24"/>
        </w:rPr>
        <w:t>exclude</w:t>
      </w:r>
      <w:r w:rsidRPr="00330E69">
        <w:rPr>
          <w:rFonts w:ascii="Times New Roman" w:hAnsi="Times New Roman" w:cs="Times New Roman"/>
          <w:sz w:val="24"/>
          <w:szCs w:val="24"/>
        </w:rPr>
        <w:t xml:space="preserve"> small importers or manufacturers from being </w:t>
      </w:r>
      <w:r>
        <w:rPr>
          <w:rFonts w:ascii="Times New Roman" w:hAnsi="Times New Roman" w:cs="Times New Roman"/>
          <w:sz w:val="24"/>
          <w:szCs w:val="24"/>
        </w:rPr>
        <w:t>included</w:t>
      </w:r>
      <w:r w:rsidRPr="00330E69">
        <w:rPr>
          <w:rFonts w:ascii="Times New Roman" w:hAnsi="Times New Roman" w:cs="Times New Roman"/>
          <w:sz w:val="24"/>
          <w:szCs w:val="24"/>
        </w:rPr>
        <w:t xml:space="preserve"> as liable parties to limit the impact of the Regulations on small business.  Subject to the grouping provision </w:t>
      </w:r>
      <w:r>
        <w:rPr>
          <w:rFonts w:ascii="Times New Roman" w:hAnsi="Times New Roman" w:cs="Times New Roman"/>
          <w:sz w:val="24"/>
          <w:szCs w:val="24"/>
        </w:rPr>
        <w:t xml:space="preserve">under </w:t>
      </w: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2.02(5)</w:t>
      </w:r>
      <w:r w:rsidRPr="00330E69">
        <w:rPr>
          <w:rFonts w:ascii="Times New Roman" w:hAnsi="Times New Roman" w:cs="Times New Roman"/>
          <w:sz w:val="24"/>
          <w:szCs w:val="24"/>
        </w:rPr>
        <w:t xml:space="preserve">, an importer or </w:t>
      </w:r>
      <w:r>
        <w:rPr>
          <w:rFonts w:ascii="Times New Roman" w:hAnsi="Times New Roman" w:cs="Times New Roman"/>
          <w:sz w:val="24"/>
          <w:szCs w:val="24"/>
        </w:rPr>
        <w:t xml:space="preserve">domestic </w:t>
      </w:r>
      <w:r w:rsidRPr="00330E69">
        <w:rPr>
          <w:rFonts w:ascii="Times New Roman" w:hAnsi="Times New Roman" w:cs="Times New Roman"/>
          <w:sz w:val="24"/>
          <w:szCs w:val="24"/>
        </w:rPr>
        <w:t>manufacturer who imports or manufactures less than 5,000 televisions, computers or printers, or 15,000 computer products, will not be a liable party.</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The definition of ‘import’ set out in </w:t>
      </w: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2.02(3) aligns with section 71A of the </w:t>
      </w:r>
      <w:r w:rsidRPr="00330E69">
        <w:rPr>
          <w:rFonts w:ascii="Times New Roman" w:hAnsi="Times New Roman" w:cs="Times New Roman"/>
          <w:i/>
          <w:sz w:val="24"/>
          <w:szCs w:val="24"/>
        </w:rPr>
        <w:t>Customs Act 1901</w:t>
      </w:r>
      <w:r w:rsidRPr="00330E69">
        <w:rPr>
          <w:rFonts w:ascii="Times New Roman" w:hAnsi="Times New Roman" w:cs="Times New Roman"/>
          <w:sz w:val="24"/>
          <w:szCs w:val="24"/>
        </w:rPr>
        <w:t>. An import declaration made under section 71A of the Act is a communication with the Australian Customs and Border Protection Service</w:t>
      </w:r>
      <w:r>
        <w:rPr>
          <w:rFonts w:ascii="Times New Roman" w:hAnsi="Times New Roman" w:cs="Times New Roman"/>
          <w:sz w:val="24"/>
          <w:szCs w:val="24"/>
        </w:rPr>
        <w:t xml:space="preserve"> (Customs)</w:t>
      </w:r>
      <w:r w:rsidRPr="00330E69">
        <w:rPr>
          <w:rFonts w:ascii="Times New Roman" w:hAnsi="Times New Roman" w:cs="Times New Roman"/>
          <w:sz w:val="24"/>
          <w:szCs w:val="24"/>
        </w:rPr>
        <w:t xml:space="preserve"> about goods to which section 68 of the </w:t>
      </w:r>
      <w:r w:rsidRPr="00330E69">
        <w:rPr>
          <w:rFonts w:ascii="Times New Roman" w:hAnsi="Times New Roman" w:cs="Times New Roman"/>
          <w:i/>
          <w:sz w:val="24"/>
          <w:szCs w:val="24"/>
        </w:rPr>
        <w:t>Customs Act 1901</w:t>
      </w:r>
      <w:r w:rsidRPr="00330E69">
        <w:rPr>
          <w:rFonts w:ascii="Times New Roman" w:hAnsi="Times New Roman" w:cs="Times New Roman"/>
          <w:sz w:val="24"/>
          <w:szCs w:val="24"/>
        </w:rPr>
        <w:t xml:space="preserve"> applies, being goods imported into Australia by sea, air or post with a value that exceeds the import entry threshold of $A1000 that are intended for home consumption. </w:t>
      </w:r>
    </w:p>
    <w:p w:rsidR="003F4567"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Home consumption in the </w:t>
      </w:r>
      <w:r>
        <w:rPr>
          <w:rFonts w:ascii="Times New Roman" w:hAnsi="Times New Roman" w:cs="Times New Roman"/>
          <w:i/>
          <w:sz w:val="24"/>
          <w:szCs w:val="24"/>
        </w:rPr>
        <w:t>Customs Act 1901</w:t>
      </w:r>
      <w:r>
        <w:rPr>
          <w:rFonts w:ascii="Times New Roman" w:hAnsi="Times New Roman" w:cs="Times New Roman"/>
          <w:sz w:val="24"/>
          <w:szCs w:val="24"/>
        </w:rPr>
        <w:t xml:space="preserve"> relates to the entry of goods into Australia. Goods discharged at a port or airport in Australia should be entered for home consumption or for warehousing. Goods that are entered for warehousing are under Customs control until the goods are entered for home consumption or exported. </w:t>
      </w:r>
    </w:p>
    <w:p w:rsidR="003F4567" w:rsidRDefault="003F4567" w:rsidP="003F4567">
      <w:pPr>
        <w:spacing w:after="0" w:line="240" w:lineRule="auto"/>
        <w:rPr>
          <w:rFonts w:ascii="Times New Roman" w:hAnsi="Times New Roman" w:cs="Times New Roman"/>
          <w:sz w:val="24"/>
          <w:szCs w:val="24"/>
        </w:rPr>
      </w:pPr>
    </w:p>
    <w:p w:rsidR="003F4567" w:rsidRPr="00053B97"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Entry of goods for home consumption is not limited to products intended for household use. All products entered for home consumption regardless of the intended use of that product, for example for business, government, or household uses, will count towards the number of products imported by a person in determining whether they are a liable party.</w:t>
      </w:r>
    </w:p>
    <w:p w:rsidR="003F4567" w:rsidRPr="00330E69" w:rsidRDefault="003F4567" w:rsidP="003F4567">
      <w:pPr>
        <w:spacing w:after="0" w:line="240" w:lineRule="auto"/>
        <w:rPr>
          <w:rFonts w:ascii="Times New Roman" w:hAnsi="Times New Roman" w:cs="Times New Roman"/>
          <w:sz w:val="24"/>
          <w:szCs w:val="24"/>
        </w:rPr>
      </w:pPr>
    </w:p>
    <w:p w:rsidR="003F4567" w:rsidRPr="003163C1" w:rsidRDefault="003F4567" w:rsidP="003163C1">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lastRenderedPageBreak/>
        <w:t xml:space="preserve">Information from import declarations, supplied by Customs to the Department of </w:t>
      </w:r>
      <w:r w:rsidRPr="003163C1">
        <w:rPr>
          <w:rFonts w:ascii="Times New Roman" w:hAnsi="Times New Roman" w:cs="Times New Roman"/>
          <w:sz w:val="24"/>
          <w:szCs w:val="24"/>
        </w:rPr>
        <w:t xml:space="preserve">Sustainability, Environment, Water, Population and Communities, will be used to help identify whether a company is a liable party and to assist in calculating of recycling targets.  </w:t>
      </w:r>
    </w:p>
    <w:p w:rsidR="003F4567" w:rsidRPr="003163C1" w:rsidRDefault="003F4567" w:rsidP="003163C1">
      <w:pPr>
        <w:spacing w:after="0" w:line="240" w:lineRule="auto"/>
        <w:rPr>
          <w:rFonts w:ascii="Times New Roman" w:hAnsi="Times New Roman" w:cs="Times New Roman"/>
          <w:sz w:val="24"/>
          <w:szCs w:val="24"/>
        </w:rPr>
      </w:pPr>
    </w:p>
    <w:p w:rsidR="003F4567" w:rsidRPr="003163C1" w:rsidRDefault="003163C1" w:rsidP="003163C1">
      <w:pPr>
        <w:spacing w:after="0" w:line="240" w:lineRule="auto"/>
        <w:rPr>
          <w:rFonts w:ascii="Times New Roman" w:hAnsi="Times New Roman" w:cs="Times New Roman"/>
          <w:sz w:val="24"/>
          <w:szCs w:val="24"/>
        </w:rPr>
      </w:pPr>
      <w:proofErr w:type="spellStart"/>
      <w:r w:rsidRPr="003163C1">
        <w:rPr>
          <w:rFonts w:ascii="Times New Roman" w:hAnsi="Times New Roman" w:cs="Times New Roman"/>
          <w:sz w:val="24"/>
          <w:szCs w:val="24"/>
        </w:rPr>
        <w:t>Subregulation</w:t>
      </w:r>
      <w:proofErr w:type="spellEnd"/>
      <w:r w:rsidRPr="003163C1">
        <w:rPr>
          <w:rFonts w:ascii="Times New Roman" w:hAnsi="Times New Roman" w:cs="Times New Roman"/>
          <w:sz w:val="24"/>
          <w:szCs w:val="24"/>
        </w:rPr>
        <w:t xml:space="preserve"> 2.02(5) is a grouping provision. It applies to bodies corporate that have imported or manufactured more than 1,000 units of computers or printers in the previous financial year.  For these bodies, units imported or manufactured by related bodies corporate are counted when determining whether the 5,000 unit threshold is exceeded. </w:t>
      </w:r>
      <w:r w:rsidR="003F4567" w:rsidRPr="003163C1">
        <w:rPr>
          <w:rFonts w:ascii="Times New Roman" w:hAnsi="Times New Roman" w:cs="Times New Roman"/>
          <w:sz w:val="24"/>
          <w:szCs w:val="24"/>
        </w:rPr>
        <w:t xml:space="preserve">This provision has been included to reduce the incentive for import-splitting among prospective liable parties in respect of these products. The risk of such import-splitting is assessed as relatively low for computer products, and therefore </w:t>
      </w:r>
      <w:proofErr w:type="spellStart"/>
      <w:r w:rsidR="003F4567" w:rsidRPr="003163C1">
        <w:rPr>
          <w:rFonts w:ascii="Times New Roman" w:hAnsi="Times New Roman" w:cs="Times New Roman"/>
          <w:sz w:val="24"/>
          <w:szCs w:val="24"/>
        </w:rPr>
        <w:t>subregulation</w:t>
      </w:r>
      <w:proofErr w:type="spellEnd"/>
      <w:r w:rsidR="003F4567" w:rsidRPr="003163C1">
        <w:rPr>
          <w:rFonts w:ascii="Times New Roman" w:hAnsi="Times New Roman" w:cs="Times New Roman"/>
          <w:sz w:val="24"/>
          <w:szCs w:val="24"/>
        </w:rPr>
        <w:t xml:space="preserve"> 2.02(4) provides this regulation does not apply a grouping provision for those products.     </w:t>
      </w:r>
    </w:p>
    <w:p w:rsidR="003F4567" w:rsidRPr="003163C1" w:rsidRDefault="003F4567" w:rsidP="003163C1">
      <w:pPr>
        <w:spacing w:after="0" w:line="240" w:lineRule="auto"/>
        <w:rPr>
          <w:rFonts w:ascii="Times New Roman" w:hAnsi="Times New Roman" w:cs="Times New Roman"/>
          <w:sz w:val="24"/>
          <w:szCs w:val="24"/>
        </w:rPr>
      </w:pPr>
    </w:p>
    <w:p w:rsidR="003F4567" w:rsidRPr="00330E69" w:rsidRDefault="003F4567" w:rsidP="003163C1">
      <w:pPr>
        <w:spacing w:after="0" w:line="240" w:lineRule="auto"/>
        <w:rPr>
          <w:rFonts w:ascii="Times New Roman" w:hAnsi="Times New Roman" w:cs="Times New Roman"/>
          <w:sz w:val="24"/>
          <w:szCs w:val="24"/>
          <w:u w:val="single"/>
        </w:rPr>
      </w:pPr>
      <w:r w:rsidRPr="003163C1">
        <w:rPr>
          <w:rFonts w:ascii="Times New Roman" w:hAnsi="Times New Roman" w:cs="Times New Roman"/>
          <w:sz w:val="24"/>
          <w:szCs w:val="24"/>
        </w:rPr>
        <w:t>Regulation 1.03 provides that the term “related bodies corporate” has the meaning given by</w:t>
      </w:r>
      <w:r w:rsidRPr="00330E69">
        <w:rPr>
          <w:rFonts w:ascii="Times New Roman" w:hAnsi="Times New Roman" w:cs="Times New Roman"/>
          <w:sz w:val="24"/>
          <w:szCs w:val="24"/>
        </w:rPr>
        <w:t xml:space="preserve"> section 50 of the </w:t>
      </w:r>
      <w:r w:rsidRPr="00330E69">
        <w:rPr>
          <w:rFonts w:ascii="Times New Roman" w:hAnsi="Times New Roman" w:cs="Times New Roman"/>
          <w:i/>
          <w:sz w:val="24"/>
          <w:szCs w:val="24"/>
        </w:rPr>
        <w:t>Corporations Act 2001</w:t>
      </w:r>
      <w:r w:rsidRPr="00330E69">
        <w:rPr>
          <w:rFonts w:ascii="Times New Roman" w:hAnsi="Times New Roman" w:cs="Times New Roman"/>
          <w:sz w:val="24"/>
          <w:szCs w:val="24"/>
        </w:rPr>
        <w:t>.</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Regulation 2.03 – Ongoing liability to be a liable party</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Regulation 2.03 ensures that a liable party will continue to be a liable party until such time as it becomes a member of an approved co-regulatory arrangement.  </w:t>
      </w:r>
    </w:p>
    <w:p w:rsidR="003F4567" w:rsidRPr="00330E69" w:rsidRDefault="003F4567" w:rsidP="003F4567">
      <w:pPr>
        <w:spacing w:after="0" w:line="240" w:lineRule="auto"/>
        <w:ind w:left="720"/>
        <w:rPr>
          <w:rFonts w:ascii="Times New Roman" w:hAnsi="Times New Roman" w:cs="Times New Roman"/>
          <w:i/>
          <w:sz w:val="24"/>
          <w:szCs w:val="24"/>
        </w:rPr>
      </w:pPr>
    </w:p>
    <w:p w:rsidR="003F4567" w:rsidRPr="00330E69" w:rsidRDefault="003F4567" w:rsidP="003F4567">
      <w:pPr>
        <w:spacing w:after="0" w:line="240" w:lineRule="auto"/>
        <w:ind w:left="720"/>
        <w:rPr>
          <w:rFonts w:ascii="Times New Roman" w:hAnsi="Times New Roman" w:cs="Times New Roman"/>
          <w:i/>
          <w:sz w:val="24"/>
          <w:szCs w:val="24"/>
        </w:rPr>
      </w:pPr>
      <w:r w:rsidRPr="00330E69">
        <w:rPr>
          <w:rFonts w:ascii="Times New Roman" w:hAnsi="Times New Roman" w:cs="Times New Roman"/>
          <w:i/>
          <w:sz w:val="24"/>
          <w:szCs w:val="24"/>
        </w:rPr>
        <w:t xml:space="preserve">Example: A company imports 100,000 televisions in </w:t>
      </w:r>
      <w:r>
        <w:rPr>
          <w:rFonts w:ascii="Times New Roman" w:hAnsi="Times New Roman" w:cs="Times New Roman"/>
          <w:i/>
          <w:sz w:val="24"/>
          <w:szCs w:val="24"/>
        </w:rPr>
        <w:t xml:space="preserve">financial year </w:t>
      </w:r>
      <w:r w:rsidRPr="00330E69">
        <w:rPr>
          <w:rFonts w:ascii="Times New Roman" w:hAnsi="Times New Roman" w:cs="Times New Roman"/>
          <w:i/>
          <w:sz w:val="24"/>
          <w:szCs w:val="24"/>
        </w:rPr>
        <w:t>2012-</w:t>
      </w:r>
      <w:r>
        <w:rPr>
          <w:rFonts w:ascii="Times New Roman" w:hAnsi="Times New Roman" w:cs="Times New Roman"/>
          <w:i/>
          <w:sz w:val="24"/>
          <w:szCs w:val="24"/>
        </w:rPr>
        <w:t>20</w:t>
      </w:r>
      <w:r w:rsidRPr="00330E69">
        <w:rPr>
          <w:rFonts w:ascii="Times New Roman" w:hAnsi="Times New Roman" w:cs="Times New Roman"/>
          <w:i/>
          <w:sz w:val="24"/>
          <w:szCs w:val="24"/>
        </w:rPr>
        <w:t xml:space="preserve">13 but does not import anything in </w:t>
      </w:r>
      <w:r>
        <w:rPr>
          <w:rFonts w:ascii="Times New Roman" w:hAnsi="Times New Roman" w:cs="Times New Roman"/>
          <w:i/>
          <w:sz w:val="24"/>
          <w:szCs w:val="24"/>
        </w:rPr>
        <w:t xml:space="preserve">financial year </w:t>
      </w:r>
      <w:r w:rsidRPr="00330E69">
        <w:rPr>
          <w:rFonts w:ascii="Times New Roman" w:hAnsi="Times New Roman" w:cs="Times New Roman"/>
          <w:i/>
          <w:sz w:val="24"/>
          <w:szCs w:val="24"/>
        </w:rPr>
        <w:t>2013-</w:t>
      </w:r>
      <w:r>
        <w:rPr>
          <w:rFonts w:ascii="Times New Roman" w:hAnsi="Times New Roman" w:cs="Times New Roman"/>
          <w:i/>
          <w:sz w:val="24"/>
          <w:szCs w:val="24"/>
        </w:rPr>
        <w:t>20</w:t>
      </w:r>
      <w:r w:rsidRPr="00330E69">
        <w:rPr>
          <w:rFonts w:ascii="Times New Roman" w:hAnsi="Times New Roman" w:cs="Times New Roman"/>
          <w:i/>
          <w:sz w:val="24"/>
          <w:szCs w:val="24"/>
        </w:rPr>
        <w:t xml:space="preserve">14.  It fails to become a member of a co-regulatory arrangement in </w:t>
      </w:r>
      <w:r>
        <w:rPr>
          <w:rFonts w:ascii="Times New Roman" w:hAnsi="Times New Roman" w:cs="Times New Roman"/>
          <w:i/>
          <w:sz w:val="24"/>
          <w:szCs w:val="24"/>
        </w:rPr>
        <w:t xml:space="preserve">financial year </w:t>
      </w:r>
      <w:r w:rsidRPr="00330E69">
        <w:rPr>
          <w:rFonts w:ascii="Times New Roman" w:hAnsi="Times New Roman" w:cs="Times New Roman"/>
          <w:i/>
          <w:sz w:val="24"/>
          <w:szCs w:val="24"/>
        </w:rPr>
        <w:t>2013-</w:t>
      </w:r>
      <w:r>
        <w:rPr>
          <w:rFonts w:ascii="Times New Roman" w:hAnsi="Times New Roman" w:cs="Times New Roman"/>
          <w:i/>
          <w:sz w:val="24"/>
          <w:szCs w:val="24"/>
        </w:rPr>
        <w:t>20</w:t>
      </w:r>
      <w:r w:rsidRPr="00330E69">
        <w:rPr>
          <w:rFonts w:ascii="Times New Roman" w:hAnsi="Times New Roman" w:cs="Times New Roman"/>
          <w:i/>
          <w:sz w:val="24"/>
          <w:szCs w:val="24"/>
        </w:rPr>
        <w:t xml:space="preserve">14, even though it is a liable party.  The effect of regulation 2.03 is that the company is a liable party in </w:t>
      </w:r>
      <w:r>
        <w:rPr>
          <w:rFonts w:ascii="Times New Roman" w:hAnsi="Times New Roman" w:cs="Times New Roman"/>
          <w:i/>
          <w:sz w:val="24"/>
          <w:szCs w:val="24"/>
        </w:rPr>
        <w:t xml:space="preserve">financial year </w:t>
      </w:r>
      <w:r w:rsidRPr="00330E69">
        <w:rPr>
          <w:rFonts w:ascii="Times New Roman" w:hAnsi="Times New Roman" w:cs="Times New Roman"/>
          <w:i/>
          <w:sz w:val="24"/>
          <w:szCs w:val="24"/>
        </w:rPr>
        <w:t>2014-</w:t>
      </w:r>
      <w:r>
        <w:rPr>
          <w:rFonts w:ascii="Times New Roman" w:hAnsi="Times New Roman" w:cs="Times New Roman"/>
          <w:i/>
          <w:sz w:val="24"/>
          <w:szCs w:val="24"/>
        </w:rPr>
        <w:t>20</w:t>
      </w:r>
      <w:r w:rsidRPr="00330E69">
        <w:rPr>
          <w:rFonts w:ascii="Times New Roman" w:hAnsi="Times New Roman" w:cs="Times New Roman"/>
          <w:i/>
          <w:sz w:val="24"/>
          <w:szCs w:val="24"/>
        </w:rPr>
        <w:t xml:space="preserve">15, even though it didn’t import anything in </w:t>
      </w:r>
      <w:r>
        <w:rPr>
          <w:rFonts w:ascii="Times New Roman" w:hAnsi="Times New Roman" w:cs="Times New Roman"/>
          <w:i/>
          <w:sz w:val="24"/>
          <w:szCs w:val="24"/>
        </w:rPr>
        <w:t xml:space="preserve">financial year </w:t>
      </w:r>
      <w:r w:rsidRPr="00330E69">
        <w:rPr>
          <w:rFonts w:ascii="Times New Roman" w:hAnsi="Times New Roman" w:cs="Times New Roman"/>
          <w:i/>
          <w:sz w:val="24"/>
          <w:szCs w:val="24"/>
        </w:rPr>
        <w:t>2013-</w:t>
      </w:r>
      <w:r>
        <w:rPr>
          <w:rFonts w:ascii="Times New Roman" w:hAnsi="Times New Roman" w:cs="Times New Roman"/>
          <w:i/>
          <w:sz w:val="24"/>
          <w:szCs w:val="24"/>
        </w:rPr>
        <w:t>20</w:t>
      </w:r>
      <w:r w:rsidRPr="00330E69">
        <w:rPr>
          <w:rFonts w:ascii="Times New Roman" w:hAnsi="Times New Roman" w:cs="Times New Roman"/>
          <w:i/>
          <w:sz w:val="24"/>
          <w:szCs w:val="24"/>
        </w:rPr>
        <w:t>14.</w:t>
      </w:r>
      <w:r>
        <w:rPr>
          <w:rFonts w:ascii="Times New Roman" w:hAnsi="Times New Roman" w:cs="Times New Roman"/>
          <w:i/>
          <w:sz w:val="24"/>
          <w:szCs w:val="24"/>
        </w:rPr>
        <w:t xml:space="preserve"> </w:t>
      </w:r>
      <w:r>
        <w:rPr>
          <w:rFonts w:ascii="Times New Roman" w:hAnsi="Times New Roman"/>
          <w:i/>
          <w:sz w:val="24"/>
          <w:szCs w:val="24"/>
        </w:rPr>
        <w:t>If the company becomes a liable party in financial year 2014-2015 but doesn't import in that year, it will cease to be a liable party for financial year 2015-2016 having discharged its liability for financial year 2012-2013.</w:t>
      </w:r>
    </w:p>
    <w:p w:rsidR="003F4567" w:rsidRDefault="003F4567" w:rsidP="003F4567">
      <w:pPr>
        <w:spacing w:after="0" w:line="240" w:lineRule="auto"/>
        <w:rPr>
          <w:rFonts w:ascii="Times New Roman" w:hAnsi="Times New Roman" w:cs="Times New Roman"/>
          <w:b/>
          <w:bCs/>
          <w:color w:val="000000"/>
          <w:sz w:val="24"/>
          <w:szCs w:val="24"/>
        </w:rPr>
      </w:pPr>
    </w:p>
    <w:p w:rsidR="003F4567" w:rsidRDefault="003F4567" w:rsidP="003F4567">
      <w:pPr>
        <w:spacing w:after="0" w:line="240" w:lineRule="auto"/>
        <w:rPr>
          <w:rFonts w:ascii="Times New Roman" w:hAnsi="Times New Roman" w:cs="Times New Roman"/>
          <w:sz w:val="24"/>
          <w:szCs w:val="24"/>
        </w:rPr>
      </w:pPr>
      <w:proofErr w:type="spellStart"/>
      <w:r w:rsidRPr="009124E3">
        <w:rPr>
          <w:rFonts w:ascii="Times New Roman" w:hAnsi="Times New Roman" w:cs="Times New Roman"/>
          <w:bCs/>
          <w:color w:val="000000"/>
          <w:sz w:val="24"/>
          <w:szCs w:val="24"/>
        </w:rPr>
        <w:t>Subregulation</w:t>
      </w:r>
      <w:proofErr w:type="spellEnd"/>
      <w:r w:rsidRPr="009124E3">
        <w:rPr>
          <w:rFonts w:ascii="Times New Roman" w:hAnsi="Times New Roman" w:cs="Times New Roman"/>
          <w:bCs/>
          <w:color w:val="000000"/>
          <w:sz w:val="24"/>
          <w:szCs w:val="24"/>
        </w:rPr>
        <w:t xml:space="preserve"> 2.03(1) provides this regulation applies if, for a financial year, a person is in a class of persons who are liable parties in relation to a class of products, and the person is not a member of a co-regulatory arrangement in relation to the class of products.</w:t>
      </w:r>
      <w:r>
        <w:rPr>
          <w:rFonts w:ascii="Times New Roman" w:hAnsi="Times New Roman" w:cs="Times New Roman"/>
          <w:bCs/>
          <w:color w:val="000000"/>
          <w:sz w:val="24"/>
          <w:szCs w:val="24"/>
        </w:rPr>
        <w:t xml:space="preserve"> </w:t>
      </w:r>
      <w:r>
        <w:rPr>
          <w:rFonts w:ascii="Times New Roman" w:hAnsi="Times New Roman" w:cs="Times New Roman"/>
          <w:sz w:val="24"/>
          <w:szCs w:val="24"/>
        </w:rPr>
        <w:t>Under section 18 of the Act, these liable parties must be a member of an approved co-regulatory</w:t>
      </w:r>
      <w:r w:rsidRPr="00330E69">
        <w:rPr>
          <w:rFonts w:ascii="Times New Roman" w:hAnsi="Times New Roman" w:cs="Times New Roman"/>
          <w:sz w:val="24"/>
          <w:szCs w:val="24"/>
        </w:rPr>
        <w:t xml:space="preserve"> arrangement in relation to that class of products.  </w:t>
      </w:r>
    </w:p>
    <w:p w:rsidR="003F4567"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2.03(2) provides that despite </w:t>
      </w:r>
      <w:proofErr w:type="spellStart"/>
      <w:r>
        <w:rPr>
          <w:rFonts w:ascii="Times New Roman" w:hAnsi="Times New Roman" w:cs="Times New Roman"/>
          <w:sz w:val="24"/>
          <w:szCs w:val="24"/>
        </w:rPr>
        <w:t>subregulations</w:t>
      </w:r>
      <w:proofErr w:type="spellEnd"/>
      <w:r>
        <w:rPr>
          <w:rFonts w:ascii="Times New Roman" w:hAnsi="Times New Roman" w:cs="Times New Roman"/>
          <w:sz w:val="24"/>
          <w:szCs w:val="24"/>
        </w:rPr>
        <w:t xml:space="preserve"> 2.01(2) and (3), the person is taken to be in the class of persons who are liable parties in relation to the class of products for the next financial year.</w:t>
      </w:r>
    </w:p>
    <w:p w:rsidR="003F4567" w:rsidRDefault="003F4567" w:rsidP="003F4567">
      <w:pPr>
        <w:spacing w:after="0" w:line="240" w:lineRule="auto"/>
        <w:rPr>
          <w:rFonts w:ascii="Times New Roman" w:hAnsi="Times New Roman" w:cs="Times New Roman"/>
          <w:sz w:val="24"/>
          <w:szCs w:val="24"/>
        </w:rPr>
      </w:pPr>
    </w:p>
    <w:p w:rsidR="003F4567" w:rsidRPr="00082851" w:rsidRDefault="003F4567" w:rsidP="003F4567">
      <w:pPr>
        <w:spacing w:after="0" w:line="240" w:lineRule="auto"/>
        <w:rPr>
          <w:rFonts w:ascii="Times New Roman" w:hAnsi="Times New Roman" w:cs="Times New Roman"/>
          <w:bCs/>
          <w:color w:val="000000"/>
          <w:sz w:val="24"/>
          <w:szCs w:val="24"/>
        </w:rPr>
      </w:pP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2.03(3) provides that </w:t>
      </w: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2.03(2) continues to apply to the person in each financial year until the person becomes a member of a co-regulatory arrangement in relation to the class of products for a financial year.</w:t>
      </w:r>
    </w:p>
    <w:p w:rsidR="003F4567" w:rsidRPr="00082851" w:rsidRDefault="003F4567" w:rsidP="003F4567">
      <w:pPr>
        <w:spacing w:after="0" w:line="240" w:lineRule="auto"/>
        <w:rPr>
          <w:rFonts w:ascii="Times New Roman" w:hAnsi="Times New Roman" w:cs="Times New Roman"/>
          <w:bCs/>
          <w:color w:val="000000"/>
          <w:sz w:val="24"/>
          <w:szCs w:val="24"/>
        </w:rPr>
      </w:pPr>
    </w:p>
    <w:p w:rsidR="003F4567" w:rsidRDefault="003F4567" w:rsidP="003F4567">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3F4567" w:rsidRPr="00FA536A" w:rsidRDefault="003F4567" w:rsidP="003F4567">
      <w:pPr>
        <w:spacing w:after="0" w:line="240" w:lineRule="auto"/>
        <w:rPr>
          <w:rFonts w:ascii="Times New Roman" w:hAnsi="Times New Roman" w:cs="Times New Roman"/>
          <w:b/>
          <w:bCs/>
          <w:color w:val="000000"/>
          <w:sz w:val="24"/>
          <w:szCs w:val="24"/>
        </w:rPr>
      </w:pPr>
      <w:r w:rsidRPr="00FA536A">
        <w:rPr>
          <w:rFonts w:ascii="Times New Roman" w:hAnsi="Times New Roman" w:cs="Times New Roman"/>
          <w:b/>
          <w:bCs/>
          <w:color w:val="000000"/>
          <w:sz w:val="24"/>
          <w:szCs w:val="24"/>
        </w:rPr>
        <w:lastRenderedPageBreak/>
        <w:t>Division 2.2 Administrators of co-regulatory arrangements</w:t>
      </w:r>
    </w:p>
    <w:p w:rsidR="003F4567" w:rsidRPr="00330E69" w:rsidRDefault="003F4567" w:rsidP="003F4567">
      <w:pPr>
        <w:spacing w:after="0" w:line="240" w:lineRule="auto"/>
        <w:rPr>
          <w:rFonts w:ascii="Times New Roman" w:hAnsi="Times New Roman" w:cs="Times New Roman"/>
          <w:bCs/>
          <w:color w:val="000000"/>
          <w:sz w:val="24"/>
          <w:szCs w:val="24"/>
          <w:u w:val="single"/>
        </w:rPr>
      </w:pPr>
    </w:p>
    <w:p w:rsidR="003F4567" w:rsidRPr="00330E69" w:rsidRDefault="003F4567" w:rsidP="003F4567">
      <w:pPr>
        <w:spacing w:after="0" w:line="240" w:lineRule="auto"/>
        <w:rPr>
          <w:rFonts w:ascii="Times New Roman" w:hAnsi="Times New Roman" w:cs="Times New Roman"/>
          <w:bCs/>
          <w:color w:val="000000"/>
          <w:sz w:val="24"/>
          <w:szCs w:val="24"/>
          <w:u w:val="single"/>
        </w:rPr>
      </w:pPr>
      <w:r w:rsidRPr="00330E69">
        <w:rPr>
          <w:rFonts w:ascii="Times New Roman" w:hAnsi="Times New Roman" w:cs="Times New Roman"/>
          <w:sz w:val="24"/>
          <w:szCs w:val="24"/>
          <w:u w:val="single"/>
        </w:rPr>
        <w:t xml:space="preserve">Regulation </w:t>
      </w:r>
      <w:r w:rsidRPr="00330E69">
        <w:rPr>
          <w:rFonts w:ascii="Times New Roman" w:hAnsi="Times New Roman" w:cs="Times New Roman"/>
          <w:bCs/>
          <w:color w:val="000000"/>
          <w:sz w:val="24"/>
          <w:szCs w:val="24"/>
          <w:u w:val="single"/>
        </w:rPr>
        <w:t>2.04 –Administrator to be fit and proper person</w:t>
      </w:r>
    </w:p>
    <w:p w:rsidR="003F4567" w:rsidRPr="00330E69" w:rsidRDefault="003F4567" w:rsidP="003F4567">
      <w:pPr>
        <w:spacing w:after="0" w:line="240" w:lineRule="auto"/>
        <w:rPr>
          <w:rFonts w:ascii="Times New Roman" w:hAnsi="Times New Roman" w:cs="Times New Roman"/>
          <w:color w:val="000000"/>
          <w:sz w:val="24"/>
          <w:szCs w:val="24"/>
        </w:rPr>
      </w:pPr>
    </w:p>
    <w:p w:rsidR="003F4567" w:rsidRDefault="003F4567" w:rsidP="003F4567">
      <w:p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The Act provides that the Minister must refuse to approve a co-regulatory arrangement if satisfied that the administrator of the arrangement is not a fit and proper person (</w:t>
      </w:r>
      <w:r>
        <w:rPr>
          <w:rFonts w:ascii="Times New Roman" w:hAnsi="Times New Roman" w:cs="Times New Roman"/>
          <w:color w:val="000000"/>
          <w:sz w:val="24"/>
          <w:szCs w:val="24"/>
        </w:rPr>
        <w:t xml:space="preserve">see paragraph </w:t>
      </w:r>
      <w:r w:rsidRPr="00330E69">
        <w:rPr>
          <w:rFonts w:ascii="Times New Roman" w:hAnsi="Times New Roman" w:cs="Times New Roman"/>
          <w:color w:val="000000"/>
          <w:sz w:val="24"/>
          <w:szCs w:val="24"/>
        </w:rPr>
        <w:t>26(2)(d)</w:t>
      </w:r>
      <w:r>
        <w:rPr>
          <w:rFonts w:ascii="Times New Roman" w:hAnsi="Times New Roman" w:cs="Times New Roman"/>
          <w:color w:val="000000"/>
          <w:sz w:val="24"/>
          <w:szCs w:val="24"/>
        </w:rPr>
        <w:t xml:space="preserve"> of the Act</w:t>
      </w:r>
      <w:r w:rsidRPr="00330E69">
        <w:rPr>
          <w:rFonts w:ascii="Times New Roman" w:hAnsi="Times New Roman" w:cs="Times New Roman"/>
          <w:color w:val="000000"/>
          <w:sz w:val="24"/>
          <w:szCs w:val="24"/>
        </w:rPr>
        <w:t>). The Minister may also cancel an arrangement’s approval if satisfied that the administrator is not a fit and proper person (</w:t>
      </w:r>
      <w:r>
        <w:rPr>
          <w:rFonts w:ascii="Times New Roman" w:hAnsi="Times New Roman" w:cs="Times New Roman"/>
          <w:color w:val="000000"/>
          <w:sz w:val="24"/>
          <w:szCs w:val="24"/>
        </w:rPr>
        <w:t xml:space="preserve">see paragraph </w:t>
      </w:r>
      <w:r w:rsidRPr="00330E69">
        <w:rPr>
          <w:rFonts w:ascii="Times New Roman" w:hAnsi="Times New Roman" w:cs="Times New Roman"/>
          <w:color w:val="000000"/>
          <w:sz w:val="24"/>
          <w:szCs w:val="24"/>
        </w:rPr>
        <w:t>28(1)(d)</w:t>
      </w:r>
      <w:r>
        <w:rPr>
          <w:rFonts w:ascii="Times New Roman" w:hAnsi="Times New Roman" w:cs="Times New Roman"/>
          <w:color w:val="000000"/>
          <w:sz w:val="24"/>
          <w:szCs w:val="24"/>
        </w:rPr>
        <w:t xml:space="preserve"> of the Act</w:t>
      </w:r>
      <w:r w:rsidRPr="00330E69">
        <w:rPr>
          <w:rFonts w:ascii="Times New Roman" w:hAnsi="Times New Roman" w:cs="Times New Roman"/>
          <w:color w:val="000000"/>
          <w:sz w:val="24"/>
          <w:szCs w:val="24"/>
        </w:rPr>
        <w:t>).</w:t>
      </w:r>
    </w:p>
    <w:p w:rsidR="003F4567" w:rsidRPr="00330E69" w:rsidRDefault="003F4567" w:rsidP="003F4567">
      <w:pPr>
        <w:spacing w:after="0" w:line="240" w:lineRule="auto"/>
        <w:rPr>
          <w:rFonts w:ascii="Times New Roman" w:hAnsi="Times New Roman" w:cs="Times New Roman"/>
          <w:color w:val="000000"/>
          <w:sz w:val="24"/>
          <w:szCs w:val="24"/>
        </w:rPr>
      </w:pPr>
    </w:p>
    <w:p w:rsidR="003F4567" w:rsidRPr="00330E69" w:rsidRDefault="003F4567" w:rsidP="003F4567">
      <w:p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Regulation 2.04 specifies the matters to which the Minister must have regard in determining whether an administrator of a co-regulatory arrangement is</w:t>
      </w:r>
      <w:r>
        <w:rPr>
          <w:rFonts w:ascii="Times New Roman" w:hAnsi="Times New Roman" w:cs="Times New Roman"/>
          <w:color w:val="000000"/>
          <w:sz w:val="24"/>
          <w:szCs w:val="24"/>
        </w:rPr>
        <w:t xml:space="preserve"> a fit and proper person. </w:t>
      </w:r>
      <w:r w:rsidRPr="00330E69">
        <w:rPr>
          <w:rFonts w:ascii="Times New Roman" w:hAnsi="Times New Roman" w:cs="Times New Roman"/>
          <w:color w:val="000000"/>
          <w:sz w:val="24"/>
          <w:szCs w:val="24"/>
        </w:rPr>
        <w:t>These matters are:</w:t>
      </w:r>
    </w:p>
    <w:p w:rsidR="003F4567" w:rsidRPr="00330E69" w:rsidRDefault="003F4567" w:rsidP="003F4567">
      <w:pPr>
        <w:spacing w:after="0" w:line="240" w:lineRule="auto"/>
        <w:rPr>
          <w:rFonts w:ascii="Times New Roman" w:hAnsi="Times New Roman" w:cs="Times New Roman"/>
          <w:color w:val="000000"/>
          <w:sz w:val="24"/>
          <w:szCs w:val="24"/>
        </w:rPr>
      </w:pPr>
    </w:p>
    <w:p w:rsidR="003F4567" w:rsidRDefault="003F4567" w:rsidP="003F4567">
      <w:pPr>
        <w:pStyle w:val="ListParagraph"/>
        <w:numPr>
          <w:ilvl w:val="0"/>
          <w:numId w:val="9"/>
        </w:numPr>
        <w:spacing w:after="0" w:line="240" w:lineRule="auto"/>
        <w:ind w:left="426" w:hanging="357"/>
        <w:rPr>
          <w:rFonts w:ascii="Times New Roman" w:hAnsi="Times New Roman" w:cs="Times New Roman"/>
          <w:color w:val="000000"/>
          <w:sz w:val="24"/>
          <w:szCs w:val="24"/>
        </w:rPr>
      </w:pPr>
      <w:r w:rsidRPr="00330E69">
        <w:rPr>
          <w:rFonts w:ascii="Times New Roman" w:hAnsi="Times New Roman" w:cs="Times New Roman"/>
          <w:color w:val="000000"/>
          <w:sz w:val="24"/>
          <w:szCs w:val="24"/>
        </w:rPr>
        <w:t>any conviction of the administrator, or an executive officer of the administrator, for an offence against the Act committed within the 10 years immediately before the determination;</w:t>
      </w:r>
    </w:p>
    <w:p w:rsidR="003F4567" w:rsidRPr="00330E69" w:rsidRDefault="003F4567" w:rsidP="003F4567">
      <w:pPr>
        <w:pStyle w:val="ListParagraph"/>
        <w:spacing w:after="0" w:line="240" w:lineRule="auto"/>
        <w:ind w:left="426"/>
        <w:rPr>
          <w:rFonts w:ascii="Times New Roman" w:hAnsi="Times New Roman" w:cs="Times New Roman"/>
          <w:color w:val="000000"/>
          <w:sz w:val="24"/>
          <w:szCs w:val="24"/>
        </w:rPr>
      </w:pPr>
    </w:p>
    <w:p w:rsidR="003F4567" w:rsidRDefault="003F4567" w:rsidP="003F4567">
      <w:pPr>
        <w:pStyle w:val="ListParagraph"/>
        <w:numPr>
          <w:ilvl w:val="0"/>
          <w:numId w:val="9"/>
        </w:numPr>
        <w:spacing w:after="0" w:line="240" w:lineRule="auto"/>
        <w:ind w:left="426" w:hanging="357"/>
        <w:rPr>
          <w:rFonts w:ascii="Times New Roman" w:hAnsi="Times New Roman" w:cs="Times New Roman"/>
          <w:color w:val="000000"/>
          <w:sz w:val="24"/>
          <w:szCs w:val="24"/>
        </w:rPr>
      </w:pPr>
      <w:r w:rsidRPr="00330E69">
        <w:rPr>
          <w:rFonts w:ascii="Times New Roman" w:hAnsi="Times New Roman" w:cs="Times New Roman"/>
          <w:color w:val="000000"/>
          <w:sz w:val="24"/>
          <w:szCs w:val="24"/>
        </w:rPr>
        <w:t>any conviction of the administrator, or an executive officer of the administrator, for an offence against another law of the Commonwealth, or a law of a State or Territory, if that offence was committed within 10 years immediately before the determination;</w:t>
      </w:r>
    </w:p>
    <w:p w:rsidR="003F4567" w:rsidRPr="00330E69" w:rsidRDefault="003F4567" w:rsidP="003F4567">
      <w:pPr>
        <w:pStyle w:val="ListParagraph"/>
        <w:spacing w:after="0" w:line="240" w:lineRule="auto"/>
        <w:ind w:left="426"/>
        <w:rPr>
          <w:rFonts w:ascii="Times New Roman" w:hAnsi="Times New Roman" w:cs="Times New Roman"/>
          <w:color w:val="000000"/>
          <w:sz w:val="24"/>
          <w:szCs w:val="24"/>
        </w:rPr>
      </w:pPr>
    </w:p>
    <w:p w:rsidR="003F4567" w:rsidRDefault="003F4567" w:rsidP="003F4567">
      <w:pPr>
        <w:pStyle w:val="ListParagraph"/>
        <w:numPr>
          <w:ilvl w:val="0"/>
          <w:numId w:val="9"/>
        </w:numPr>
        <w:spacing w:after="0" w:line="240" w:lineRule="auto"/>
        <w:ind w:left="426" w:hanging="357"/>
        <w:rPr>
          <w:rFonts w:ascii="Times New Roman" w:hAnsi="Times New Roman" w:cs="Times New Roman"/>
          <w:color w:val="000000"/>
          <w:sz w:val="24"/>
          <w:szCs w:val="24"/>
        </w:rPr>
      </w:pPr>
      <w:r w:rsidRPr="00330E69">
        <w:rPr>
          <w:rFonts w:ascii="Times New Roman" w:hAnsi="Times New Roman" w:cs="Times New Roman"/>
          <w:color w:val="000000"/>
          <w:sz w:val="24"/>
          <w:szCs w:val="24"/>
        </w:rPr>
        <w:t>any civil penalty order made against the administrator, or an executive officer of the administrator, for a contravention of a civil penalty provision in the Act or these Regulations, if that contravention occurred within the 10 years immediately before the determination;</w:t>
      </w:r>
    </w:p>
    <w:p w:rsidR="003F4567" w:rsidRPr="00330E69" w:rsidRDefault="003F4567" w:rsidP="003F4567">
      <w:pPr>
        <w:pStyle w:val="ListParagraph"/>
        <w:spacing w:after="0" w:line="240" w:lineRule="auto"/>
        <w:ind w:left="426"/>
        <w:rPr>
          <w:rFonts w:ascii="Times New Roman" w:hAnsi="Times New Roman" w:cs="Times New Roman"/>
          <w:color w:val="000000"/>
          <w:sz w:val="24"/>
          <w:szCs w:val="24"/>
        </w:rPr>
      </w:pPr>
    </w:p>
    <w:p w:rsidR="003F4567" w:rsidRDefault="003F4567" w:rsidP="003F4567">
      <w:pPr>
        <w:pStyle w:val="ListParagraph"/>
        <w:numPr>
          <w:ilvl w:val="0"/>
          <w:numId w:val="9"/>
        </w:numPr>
        <w:spacing w:after="0" w:line="240" w:lineRule="auto"/>
        <w:ind w:left="426" w:hanging="357"/>
        <w:rPr>
          <w:rFonts w:ascii="Times New Roman" w:hAnsi="Times New Roman" w:cs="Times New Roman"/>
          <w:color w:val="000000"/>
          <w:sz w:val="24"/>
          <w:szCs w:val="24"/>
        </w:rPr>
      </w:pPr>
      <w:r w:rsidRPr="00330E69">
        <w:rPr>
          <w:rFonts w:ascii="Times New Roman" w:hAnsi="Times New Roman" w:cs="Times New Roman"/>
          <w:color w:val="000000"/>
          <w:sz w:val="24"/>
          <w:szCs w:val="24"/>
        </w:rPr>
        <w:t>whether an executive officer of the administrator is bankrupt, or has applied for bankruptcy;</w:t>
      </w:r>
    </w:p>
    <w:p w:rsidR="003F4567" w:rsidRPr="00330E69" w:rsidRDefault="003F4567" w:rsidP="003F4567">
      <w:pPr>
        <w:pStyle w:val="ListParagraph"/>
        <w:spacing w:after="0" w:line="240" w:lineRule="auto"/>
        <w:ind w:left="426"/>
        <w:rPr>
          <w:rFonts w:ascii="Times New Roman" w:hAnsi="Times New Roman" w:cs="Times New Roman"/>
          <w:color w:val="000000"/>
          <w:sz w:val="24"/>
          <w:szCs w:val="24"/>
        </w:rPr>
      </w:pPr>
    </w:p>
    <w:p w:rsidR="003F4567" w:rsidRDefault="003F4567" w:rsidP="003F4567">
      <w:pPr>
        <w:pStyle w:val="ListParagraph"/>
        <w:numPr>
          <w:ilvl w:val="0"/>
          <w:numId w:val="9"/>
        </w:numPr>
        <w:spacing w:after="0" w:line="240" w:lineRule="auto"/>
        <w:ind w:left="426" w:hanging="357"/>
        <w:rPr>
          <w:rFonts w:ascii="Times New Roman" w:hAnsi="Times New Roman" w:cs="Times New Roman"/>
          <w:color w:val="000000"/>
          <w:sz w:val="24"/>
          <w:szCs w:val="24"/>
        </w:rPr>
      </w:pPr>
      <w:r w:rsidRPr="00330E69">
        <w:rPr>
          <w:rFonts w:ascii="Times New Roman" w:hAnsi="Times New Roman" w:cs="Times New Roman"/>
          <w:color w:val="000000"/>
          <w:sz w:val="24"/>
          <w:szCs w:val="24"/>
        </w:rPr>
        <w:t>whether any statement by the administrator, or an executive officer of the administrator, in an application under the Act was false or misleading in a material particular, and whether the administrator or executive officer knew the statement was false or misleading;</w:t>
      </w:r>
    </w:p>
    <w:p w:rsidR="003F4567" w:rsidRPr="00330E69" w:rsidRDefault="003F4567" w:rsidP="003F4567">
      <w:pPr>
        <w:pStyle w:val="ListParagraph"/>
        <w:spacing w:after="0" w:line="240" w:lineRule="auto"/>
        <w:ind w:left="426"/>
        <w:rPr>
          <w:rFonts w:ascii="Times New Roman" w:hAnsi="Times New Roman" w:cs="Times New Roman"/>
          <w:color w:val="000000"/>
          <w:sz w:val="24"/>
          <w:szCs w:val="24"/>
        </w:rPr>
      </w:pPr>
    </w:p>
    <w:p w:rsidR="003F4567" w:rsidRPr="002A6F5C" w:rsidRDefault="003F4567" w:rsidP="003F4567">
      <w:pPr>
        <w:pStyle w:val="ListParagraph"/>
        <w:numPr>
          <w:ilvl w:val="0"/>
          <w:numId w:val="9"/>
        </w:numPr>
        <w:spacing w:after="0" w:line="240" w:lineRule="auto"/>
        <w:ind w:left="426" w:hanging="357"/>
        <w:rPr>
          <w:rFonts w:ascii="Times New Roman" w:hAnsi="Times New Roman" w:cs="Times New Roman"/>
          <w:color w:val="000000"/>
          <w:sz w:val="24"/>
          <w:szCs w:val="24"/>
        </w:rPr>
      </w:pPr>
      <w:r w:rsidRPr="00330E69">
        <w:rPr>
          <w:rFonts w:ascii="Times New Roman" w:hAnsi="Times New Roman" w:cs="Times New Roman"/>
          <w:color w:val="000000"/>
          <w:sz w:val="24"/>
          <w:szCs w:val="24"/>
        </w:rPr>
        <w:t xml:space="preserve">whether an executive officer of the administrator has been disqualified from managing corporations under Part 2D.6 of the </w:t>
      </w:r>
      <w:r w:rsidRPr="00330E69">
        <w:rPr>
          <w:rFonts w:ascii="Times New Roman" w:hAnsi="Times New Roman" w:cs="Times New Roman"/>
          <w:i/>
          <w:color w:val="000000"/>
          <w:sz w:val="24"/>
          <w:szCs w:val="24"/>
        </w:rPr>
        <w:t>Corporations Act 2001;</w:t>
      </w:r>
    </w:p>
    <w:p w:rsidR="003F4567" w:rsidRPr="00330E69" w:rsidRDefault="003F4567" w:rsidP="003F4567">
      <w:pPr>
        <w:pStyle w:val="ListParagraph"/>
        <w:spacing w:after="0" w:line="240" w:lineRule="auto"/>
        <w:ind w:left="426"/>
        <w:rPr>
          <w:rFonts w:ascii="Times New Roman" w:hAnsi="Times New Roman" w:cs="Times New Roman"/>
          <w:color w:val="000000"/>
          <w:sz w:val="24"/>
          <w:szCs w:val="24"/>
        </w:rPr>
      </w:pPr>
    </w:p>
    <w:p w:rsidR="003F4567" w:rsidRPr="00330E69" w:rsidRDefault="003F4567" w:rsidP="003F4567">
      <w:pPr>
        <w:pStyle w:val="ListParagraph"/>
        <w:numPr>
          <w:ilvl w:val="0"/>
          <w:numId w:val="9"/>
        </w:numPr>
        <w:spacing w:after="0" w:line="240" w:lineRule="auto"/>
        <w:ind w:left="426" w:hanging="357"/>
        <w:rPr>
          <w:rFonts w:ascii="Times New Roman" w:hAnsi="Times New Roman" w:cs="Times New Roman"/>
          <w:color w:val="000000"/>
          <w:sz w:val="24"/>
          <w:szCs w:val="24"/>
        </w:rPr>
      </w:pPr>
      <w:r w:rsidRPr="00330E69">
        <w:rPr>
          <w:rFonts w:ascii="Times New Roman" w:hAnsi="Times New Roman" w:cs="Times New Roman"/>
          <w:color w:val="000000"/>
          <w:sz w:val="24"/>
          <w:szCs w:val="24"/>
        </w:rPr>
        <w:t xml:space="preserve">whether the administrator is an externally-administered body corporate within the meaning given by section 9 of the </w:t>
      </w:r>
      <w:r w:rsidRPr="00330E69">
        <w:rPr>
          <w:rFonts w:ascii="Times New Roman" w:hAnsi="Times New Roman" w:cs="Times New Roman"/>
          <w:i/>
          <w:color w:val="000000"/>
          <w:sz w:val="24"/>
          <w:szCs w:val="24"/>
        </w:rPr>
        <w:t>Corporations Act 2001.</w:t>
      </w:r>
    </w:p>
    <w:p w:rsidR="003F4567" w:rsidRPr="00330E69" w:rsidRDefault="003F4567" w:rsidP="003F4567">
      <w:pPr>
        <w:spacing w:after="0" w:line="240" w:lineRule="auto"/>
        <w:rPr>
          <w:rFonts w:ascii="Times New Roman" w:hAnsi="Times New Roman" w:cs="Times New Roman"/>
          <w:sz w:val="24"/>
          <w:szCs w:val="24"/>
          <w:lang w:val="en-US"/>
        </w:rPr>
      </w:pPr>
    </w:p>
    <w:p w:rsidR="003F4567" w:rsidRPr="00330E69" w:rsidRDefault="003F4567" w:rsidP="003F4567">
      <w:pPr>
        <w:spacing w:after="0" w:line="240" w:lineRule="auto"/>
        <w:rPr>
          <w:rFonts w:ascii="Times New Roman" w:hAnsi="Times New Roman" w:cs="Times New Roman"/>
          <w:sz w:val="24"/>
          <w:szCs w:val="24"/>
          <w:lang w:val="en-US"/>
        </w:rPr>
      </w:pPr>
      <w:r w:rsidRPr="00330E69">
        <w:rPr>
          <w:rFonts w:ascii="Times New Roman" w:hAnsi="Times New Roman" w:cs="Times New Roman"/>
          <w:sz w:val="24"/>
          <w:szCs w:val="24"/>
          <w:lang w:val="en-US"/>
        </w:rPr>
        <w:t>An administrator’s character and conduct is considered relevant to the successful administration of a</w:t>
      </w:r>
      <w:r>
        <w:rPr>
          <w:rFonts w:ascii="Times New Roman" w:hAnsi="Times New Roman" w:cs="Times New Roman"/>
          <w:sz w:val="24"/>
          <w:szCs w:val="24"/>
          <w:lang w:val="en-US"/>
        </w:rPr>
        <w:t xml:space="preserve"> co-regulatory</w:t>
      </w:r>
      <w:r w:rsidRPr="00330E69">
        <w:rPr>
          <w:rFonts w:ascii="Times New Roman" w:hAnsi="Times New Roman" w:cs="Times New Roman"/>
          <w:sz w:val="24"/>
          <w:szCs w:val="24"/>
          <w:lang w:val="en-US"/>
        </w:rPr>
        <w:t xml:space="preserve"> arrangement and the Scheme, as the viability of an arrangement may be put at risk where the responsible administrator does not operate in an appropriate and competent manner. </w:t>
      </w:r>
    </w:p>
    <w:p w:rsidR="003F4567" w:rsidRPr="00330E69" w:rsidRDefault="003F4567" w:rsidP="003F4567">
      <w:pPr>
        <w:spacing w:after="0" w:line="240" w:lineRule="auto"/>
        <w:rPr>
          <w:rFonts w:ascii="Times New Roman" w:hAnsi="Times New Roman" w:cs="Times New Roman"/>
          <w:color w:val="000000"/>
          <w:sz w:val="24"/>
          <w:szCs w:val="24"/>
        </w:rPr>
      </w:pPr>
    </w:p>
    <w:p w:rsidR="003F4567" w:rsidRDefault="003F4567" w:rsidP="003F4567">
      <w:p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 xml:space="preserve">The matters relevant to a determination apply to both the administrator of a co-regulatory arrangement as a body corporate having legal personality, and to any executive officer of the administrator as a person in a position of authority </w:t>
      </w:r>
      <w:r w:rsidRPr="00330E69">
        <w:rPr>
          <w:rFonts w:ascii="Times New Roman" w:hAnsi="Times New Roman" w:cs="Times New Roman"/>
          <w:sz w:val="24"/>
          <w:szCs w:val="24"/>
        </w:rPr>
        <w:t xml:space="preserve">or influence in the administration of the </w:t>
      </w:r>
      <w:r w:rsidRPr="00330E69">
        <w:rPr>
          <w:rFonts w:ascii="Times New Roman" w:hAnsi="Times New Roman" w:cs="Times New Roman"/>
          <w:sz w:val="24"/>
          <w:szCs w:val="24"/>
        </w:rPr>
        <w:lastRenderedPageBreak/>
        <w:t xml:space="preserve">arrangement, recognising the need for adequate </w:t>
      </w:r>
      <w:r w:rsidRPr="00330E69">
        <w:rPr>
          <w:rFonts w:ascii="Times New Roman" w:hAnsi="Times New Roman" w:cs="Times New Roman"/>
          <w:color w:val="000000"/>
          <w:sz w:val="24"/>
          <w:szCs w:val="24"/>
        </w:rPr>
        <w:t xml:space="preserve">assessment and accountability of all relevant persons.   </w:t>
      </w:r>
    </w:p>
    <w:p w:rsidR="003F4567" w:rsidRPr="00330E69" w:rsidRDefault="003F4567" w:rsidP="003F4567">
      <w:pPr>
        <w:spacing w:after="0" w:line="240" w:lineRule="auto"/>
        <w:rPr>
          <w:rFonts w:ascii="Times New Roman" w:hAnsi="Times New Roman" w:cs="Times New Roman"/>
          <w:color w:val="000000"/>
          <w:sz w:val="24"/>
          <w:szCs w:val="24"/>
        </w:rPr>
      </w:pPr>
    </w:p>
    <w:p w:rsidR="003F4567" w:rsidRPr="00330E69" w:rsidRDefault="003F4567" w:rsidP="003F4567">
      <w:p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 xml:space="preserve">The time frames for disclosure of convictions in relation to the fit and proper person requirement are considered appropriate and aligned with the Spent Convictions Scheme under the </w:t>
      </w:r>
      <w:r w:rsidRPr="00330E69">
        <w:rPr>
          <w:rFonts w:ascii="Times New Roman" w:hAnsi="Times New Roman" w:cs="Times New Roman"/>
          <w:i/>
          <w:color w:val="000000"/>
          <w:sz w:val="24"/>
          <w:szCs w:val="24"/>
        </w:rPr>
        <w:t>Crimes Act 1914.</w:t>
      </w:r>
      <w:r w:rsidRPr="00330E69">
        <w:rPr>
          <w:rFonts w:ascii="Times New Roman" w:hAnsi="Times New Roman" w:cs="Times New Roman"/>
          <w:color w:val="000000"/>
          <w:sz w:val="24"/>
          <w:szCs w:val="24"/>
        </w:rPr>
        <w:t xml:space="preserve"> </w:t>
      </w:r>
    </w:p>
    <w:p w:rsidR="003F4567" w:rsidRPr="00330E69" w:rsidRDefault="003F4567" w:rsidP="003F4567">
      <w:pPr>
        <w:spacing w:after="0" w:line="240" w:lineRule="auto"/>
        <w:rPr>
          <w:rFonts w:ascii="Times New Roman" w:hAnsi="Times New Roman" w:cs="Times New Roman"/>
          <w:b/>
          <w:sz w:val="24"/>
          <w:szCs w:val="24"/>
        </w:rPr>
      </w:pPr>
    </w:p>
    <w:p w:rsidR="003F4567" w:rsidRPr="00FA536A" w:rsidRDefault="003F4567" w:rsidP="003F4567">
      <w:pPr>
        <w:spacing w:after="0" w:line="240" w:lineRule="auto"/>
        <w:rPr>
          <w:rFonts w:ascii="Times New Roman" w:hAnsi="Times New Roman" w:cs="Times New Roman"/>
          <w:b/>
          <w:sz w:val="24"/>
          <w:szCs w:val="24"/>
        </w:rPr>
      </w:pPr>
      <w:r w:rsidRPr="00FA536A">
        <w:rPr>
          <w:rFonts w:ascii="Times New Roman" w:hAnsi="Times New Roman" w:cs="Times New Roman"/>
          <w:b/>
          <w:sz w:val="24"/>
          <w:szCs w:val="24"/>
        </w:rPr>
        <w:t>Part 3</w:t>
      </w:r>
      <w:r w:rsidRPr="00FA536A">
        <w:rPr>
          <w:rFonts w:ascii="Times New Roman" w:hAnsi="Times New Roman" w:cs="Times New Roman"/>
          <w:b/>
          <w:sz w:val="24"/>
          <w:szCs w:val="24"/>
        </w:rPr>
        <w:tab/>
        <w:t>Outcomes for co-regulatory arrangements</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Act provides that regulations must specify one or more outcomes to be achieved by a co-regulatory arrangement (</w:t>
      </w:r>
      <w:r>
        <w:rPr>
          <w:rFonts w:ascii="Times New Roman" w:hAnsi="Times New Roman" w:cs="Times New Roman"/>
          <w:sz w:val="24"/>
          <w:szCs w:val="24"/>
        </w:rPr>
        <w:t xml:space="preserve">see </w:t>
      </w:r>
      <w:r w:rsidRPr="00330E69">
        <w:rPr>
          <w:rFonts w:ascii="Times New Roman" w:hAnsi="Times New Roman" w:cs="Times New Roman"/>
          <w:sz w:val="24"/>
          <w:szCs w:val="24"/>
        </w:rPr>
        <w:t>s</w:t>
      </w:r>
      <w:r>
        <w:rPr>
          <w:rFonts w:ascii="Times New Roman" w:hAnsi="Times New Roman" w:cs="Times New Roman"/>
          <w:sz w:val="24"/>
          <w:szCs w:val="24"/>
        </w:rPr>
        <w:t>ection</w:t>
      </w:r>
      <w:r w:rsidRPr="00330E69">
        <w:rPr>
          <w:rFonts w:ascii="Times New Roman" w:hAnsi="Times New Roman" w:cs="Times New Roman"/>
          <w:sz w:val="24"/>
          <w:szCs w:val="24"/>
        </w:rPr>
        <w:t xml:space="preserve"> 21</w:t>
      </w:r>
      <w:r w:rsidRPr="0062247C">
        <w:rPr>
          <w:rFonts w:ascii="Times New Roman" w:hAnsi="Times New Roman" w:cs="Times New Roman"/>
          <w:sz w:val="24"/>
          <w:szCs w:val="24"/>
        </w:rPr>
        <w:t xml:space="preserve"> </w:t>
      </w:r>
      <w:r>
        <w:rPr>
          <w:rFonts w:ascii="Times New Roman" w:hAnsi="Times New Roman" w:cs="Times New Roman"/>
          <w:sz w:val="24"/>
          <w:szCs w:val="24"/>
        </w:rPr>
        <w:t>of the Act</w:t>
      </w:r>
      <w:r w:rsidRPr="00330E69">
        <w:rPr>
          <w:rFonts w:ascii="Times New Roman" w:hAnsi="Times New Roman" w:cs="Times New Roman"/>
          <w:sz w:val="24"/>
          <w:szCs w:val="24"/>
        </w:rPr>
        <w:t>). The Minister must refuse to approve a proposed co-regulatory arrangement if satisfied that the arrangement is unlikely to achieve one or more of these outcomes (</w:t>
      </w:r>
      <w:r>
        <w:rPr>
          <w:rFonts w:ascii="Times New Roman" w:hAnsi="Times New Roman" w:cs="Times New Roman"/>
          <w:sz w:val="24"/>
          <w:szCs w:val="24"/>
        </w:rPr>
        <w:t xml:space="preserve">see paragraph </w:t>
      </w:r>
      <w:r w:rsidRPr="00330E69">
        <w:rPr>
          <w:rFonts w:ascii="Times New Roman" w:hAnsi="Times New Roman" w:cs="Times New Roman"/>
          <w:sz w:val="24"/>
          <w:szCs w:val="24"/>
        </w:rPr>
        <w:t>26(2)(b)</w:t>
      </w:r>
      <w:r w:rsidRPr="0062247C">
        <w:rPr>
          <w:rFonts w:ascii="Times New Roman" w:hAnsi="Times New Roman" w:cs="Times New Roman"/>
          <w:sz w:val="24"/>
          <w:szCs w:val="24"/>
        </w:rPr>
        <w:t xml:space="preserve"> </w:t>
      </w:r>
      <w:r>
        <w:rPr>
          <w:rFonts w:ascii="Times New Roman" w:hAnsi="Times New Roman" w:cs="Times New Roman"/>
          <w:sz w:val="24"/>
          <w:szCs w:val="24"/>
        </w:rPr>
        <w:t>of the Act</w:t>
      </w:r>
      <w:r w:rsidRPr="00330E69">
        <w:rPr>
          <w:rFonts w:ascii="Times New Roman" w:hAnsi="Times New Roman" w:cs="Times New Roman"/>
          <w:sz w:val="24"/>
          <w:szCs w:val="24"/>
        </w:rPr>
        <w:t>). If the administrator believes the reasons for the Minister’s decision to refuse to approve a co-regulatory arrangement are not reasonable, the administrator has a right to seek review of the decision, including by the Administrative Appeals Tribunal (s</w:t>
      </w:r>
      <w:r>
        <w:rPr>
          <w:rFonts w:ascii="Times New Roman" w:hAnsi="Times New Roman" w:cs="Times New Roman"/>
          <w:sz w:val="24"/>
          <w:szCs w:val="24"/>
        </w:rPr>
        <w:t>ection</w:t>
      </w:r>
      <w:r w:rsidRPr="00330E69">
        <w:rPr>
          <w:rFonts w:ascii="Times New Roman" w:hAnsi="Times New Roman" w:cs="Times New Roman"/>
          <w:sz w:val="24"/>
          <w:szCs w:val="24"/>
        </w:rPr>
        <w:t xml:space="preserve"> 93, item 5</w:t>
      </w:r>
      <w:r w:rsidRPr="0062247C">
        <w:rPr>
          <w:rFonts w:ascii="Times New Roman" w:hAnsi="Times New Roman" w:cs="Times New Roman"/>
          <w:sz w:val="24"/>
          <w:szCs w:val="24"/>
        </w:rPr>
        <w:t xml:space="preserve"> </w:t>
      </w:r>
      <w:r>
        <w:rPr>
          <w:rFonts w:ascii="Times New Roman" w:hAnsi="Times New Roman" w:cs="Times New Roman"/>
          <w:sz w:val="24"/>
          <w:szCs w:val="24"/>
        </w:rPr>
        <w:t>of the Act</w:t>
      </w:r>
      <w:r w:rsidRPr="00330E69">
        <w:rPr>
          <w:rFonts w:ascii="Times New Roman" w:hAnsi="Times New Roman" w:cs="Times New Roman"/>
          <w:sz w:val="24"/>
          <w:szCs w:val="24"/>
        </w:rPr>
        <w:t xml:space="preserve">).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Once a co-regulatory arrangement has been approved, the administrator of </w:t>
      </w:r>
      <w:r>
        <w:rPr>
          <w:rFonts w:ascii="Times New Roman" w:hAnsi="Times New Roman" w:cs="Times New Roman"/>
          <w:sz w:val="24"/>
          <w:szCs w:val="24"/>
        </w:rPr>
        <w:t>the</w:t>
      </w:r>
      <w:r w:rsidRPr="00330E69">
        <w:rPr>
          <w:rFonts w:ascii="Times New Roman" w:hAnsi="Times New Roman" w:cs="Times New Roman"/>
          <w:sz w:val="24"/>
          <w:szCs w:val="24"/>
        </w:rPr>
        <w:t xml:space="preserve"> co-regulatory arrangement must take all reasonable steps to ensure that the arrangement achieves the outcomes specified in the regulations in relation to that class of products (</w:t>
      </w:r>
      <w:r>
        <w:rPr>
          <w:rFonts w:ascii="Times New Roman" w:hAnsi="Times New Roman" w:cs="Times New Roman"/>
          <w:sz w:val="24"/>
          <w:szCs w:val="24"/>
        </w:rPr>
        <w:t xml:space="preserve">see </w:t>
      </w:r>
      <w:r w:rsidRPr="00330E69">
        <w:rPr>
          <w:rFonts w:ascii="Times New Roman" w:hAnsi="Times New Roman" w:cs="Times New Roman"/>
          <w:sz w:val="24"/>
          <w:szCs w:val="24"/>
        </w:rPr>
        <w:t>s</w:t>
      </w:r>
      <w:r>
        <w:rPr>
          <w:rFonts w:ascii="Times New Roman" w:hAnsi="Times New Roman" w:cs="Times New Roman"/>
          <w:sz w:val="24"/>
          <w:szCs w:val="24"/>
        </w:rPr>
        <w:t>ection</w:t>
      </w:r>
      <w:r w:rsidRPr="00330E69">
        <w:rPr>
          <w:rFonts w:ascii="Times New Roman" w:hAnsi="Times New Roman" w:cs="Times New Roman"/>
          <w:sz w:val="24"/>
          <w:szCs w:val="24"/>
        </w:rPr>
        <w:t xml:space="preserve"> 23</w:t>
      </w:r>
      <w:r w:rsidRPr="0062247C">
        <w:rPr>
          <w:rFonts w:ascii="Times New Roman" w:hAnsi="Times New Roman" w:cs="Times New Roman"/>
          <w:sz w:val="24"/>
          <w:szCs w:val="24"/>
        </w:rPr>
        <w:t xml:space="preserve"> </w:t>
      </w:r>
      <w:r>
        <w:rPr>
          <w:rFonts w:ascii="Times New Roman" w:hAnsi="Times New Roman" w:cs="Times New Roman"/>
          <w:sz w:val="24"/>
          <w:szCs w:val="24"/>
        </w:rPr>
        <w:t>of the Act</w:t>
      </w:r>
      <w:r w:rsidRPr="00330E69">
        <w:rPr>
          <w:rFonts w:ascii="Times New Roman" w:hAnsi="Times New Roman" w:cs="Times New Roman"/>
          <w:sz w:val="24"/>
          <w:szCs w:val="24"/>
        </w:rPr>
        <w:t>). If this does not occur, then the Minister may issue an improvement notice (s</w:t>
      </w:r>
      <w:r>
        <w:rPr>
          <w:rFonts w:ascii="Times New Roman" w:hAnsi="Times New Roman" w:cs="Times New Roman"/>
          <w:sz w:val="24"/>
          <w:szCs w:val="24"/>
        </w:rPr>
        <w:t>ection</w:t>
      </w:r>
      <w:r w:rsidRPr="00330E69">
        <w:rPr>
          <w:rFonts w:ascii="Times New Roman" w:hAnsi="Times New Roman" w:cs="Times New Roman"/>
          <w:sz w:val="24"/>
          <w:szCs w:val="24"/>
        </w:rPr>
        <w:t xml:space="preserve"> 29</w:t>
      </w:r>
      <w:r>
        <w:rPr>
          <w:rFonts w:ascii="Times New Roman" w:hAnsi="Times New Roman" w:cs="Times New Roman"/>
          <w:sz w:val="24"/>
          <w:szCs w:val="24"/>
        </w:rPr>
        <w:t xml:space="preserve"> of the Act</w:t>
      </w:r>
      <w:r w:rsidRPr="00330E69">
        <w:rPr>
          <w:rFonts w:ascii="Times New Roman" w:hAnsi="Times New Roman" w:cs="Times New Roman"/>
          <w:sz w:val="24"/>
          <w:szCs w:val="24"/>
        </w:rPr>
        <w:t>), an audit notice (</w:t>
      </w:r>
      <w:r>
        <w:rPr>
          <w:rFonts w:ascii="Times New Roman" w:hAnsi="Times New Roman" w:cs="Times New Roman"/>
          <w:sz w:val="24"/>
          <w:szCs w:val="24"/>
        </w:rPr>
        <w:t>section</w:t>
      </w:r>
      <w:r w:rsidRPr="00330E69">
        <w:rPr>
          <w:rFonts w:ascii="Times New Roman" w:hAnsi="Times New Roman" w:cs="Times New Roman"/>
          <w:sz w:val="24"/>
          <w:szCs w:val="24"/>
        </w:rPr>
        <w:t xml:space="preserve"> 30</w:t>
      </w:r>
      <w:r w:rsidRPr="0062247C">
        <w:rPr>
          <w:rFonts w:ascii="Times New Roman" w:hAnsi="Times New Roman" w:cs="Times New Roman"/>
          <w:sz w:val="24"/>
          <w:szCs w:val="24"/>
        </w:rPr>
        <w:t xml:space="preserve"> </w:t>
      </w:r>
      <w:r>
        <w:rPr>
          <w:rFonts w:ascii="Times New Roman" w:hAnsi="Times New Roman" w:cs="Times New Roman"/>
          <w:sz w:val="24"/>
          <w:szCs w:val="24"/>
        </w:rPr>
        <w:t>of the Act</w:t>
      </w:r>
      <w:r w:rsidRPr="0062247C">
        <w:rPr>
          <w:rFonts w:ascii="Times New Roman" w:hAnsi="Times New Roman" w:cs="Times New Roman"/>
          <w:sz w:val="24"/>
          <w:szCs w:val="24"/>
        </w:rPr>
        <w:t xml:space="preserve"> </w:t>
      </w:r>
      <w:r>
        <w:rPr>
          <w:rFonts w:ascii="Times New Roman" w:hAnsi="Times New Roman" w:cs="Times New Roman"/>
          <w:sz w:val="24"/>
          <w:szCs w:val="24"/>
        </w:rPr>
        <w:t>of the Act</w:t>
      </w:r>
      <w:r w:rsidRPr="00330E69">
        <w:rPr>
          <w:rFonts w:ascii="Times New Roman" w:hAnsi="Times New Roman" w:cs="Times New Roman"/>
          <w:sz w:val="24"/>
          <w:szCs w:val="24"/>
        </w:rPr>
        <w:t>) or cancel the arrangement (s</w:t>
      </w:r>
      <w:r>
        <w:rPr>
          <w:rFonts w:ascii="Times New Roman" w:hAnsi="Times New Roman" w:cs="Times New Roman"/>
          <w:sz w:val="24"/>
          <w:szCs w:val="24"/>
        </w:rPr>
        <w:t>ection</w:t>
      </w:r>
      <w:r w:rsidRPr="00330E69">
        <w:rPr>
          <w:rFonts w:ascii="Times New Roman" w:hAnsi="Times New Roman" w:cs="Times New Roman"/>
          <w:sz w:val="24"/>
          <w:szCs w:val="24"/>
        </w:rPr>
        <w:t xml:space="preserve"> 28</w:t>
      </w:r>
      <w:r w:rsidRPr="0062247C">
        <w:rPr>
          <w:rFonts w:ascii="Times New Roman" w:hAnsi="Times New Roman" w:cs="Times New Roman"/>
          <w:sz w:val="24"/>
          <w:szCs w:val="24"/>
        </w:rPr>
        <w:t xml:space="preserve"> </w:t>
      </w:r>
      <w:r>
        <w:rPr>
          <w:rFonts w:ascii="Times New Roman" w:hAnsi="Times New Roman" w:cs="Times New Roman"/>
          <w:sz w:val="24"/>
          <w:szCs w:val="24"/>
        </w:rPr>
        <w:t>of the Act</w:t>
      </w:r>
      <w:r w:rsidRPr="00330E69">
        <w:rPr>
          <w:rFonts w:ascii="Times New Roman" w:hAnsi="Times New Roman" w:cs="Times New Roman"/>
          <w:sz w:val="24"/>
          <w:szCs w:val="24"/>
        </w:rPr>
        <w:t xml:space="preserve">).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rPr>
        <w:t>If the administrator believes the reasons for the Minister’s decision to cancel the approval of a co-regulatory arrangement are not reasonable, the administrator has a right to seek review of the decision, including by the Administrative Appeals Tribunal (s</w:t>
      </w:r>
      <w:r>
        <w:rPr>
          <w:rFonts w:ascii="Times New Roman" w:hAnsi="Times New Roman" w:cs="Times New Roman"/>
          <w:sz w:val="24"/>
          <w:szCs w:val="24"/>
        </w:rPr>
        <w:t>ection</w:t>
      </w:r>
      <w:r w:rsidRPr="00330E69">
        <w:rPr>
          <w:rFonts w:ascii="Times New Roman" w:hAnsi="Times New Roman" w:cs="Times New Roman"/>
          <w:sz w:val="24"/>
          <w:szCs w:val="24"/>
        </w:rPr>
        <w:t xml:space="preserve"> 93, item 6</w:t>
      </w:r>
      <w:r w:rsidRPr="0062247C">
        <w:rPr>
          <w:rFonts w:ascii="Times New Roman" w:hAnsi="Times New Roman" w:cs="Times New Roman"/>
          <w:sz w:val="24"/>
          <w:szCs w:val="24"/>
        </w:rPr>
        <w:t xml:space="preserve"> </w:t>
      </w:r>
      <w:r>
        <w:rPr>
          <w:rFonts w:ascii="Times New Roman" w:hAnsi="Times New Roman" w:cs="Times New Roman"/>
          <w:sz w:val="24"/>
          <w:szCs w:val="24"/>
        </w:rPr>
        <w:t>of the Act</w:t>
      </w:r>
      <w:r w:rsidRPr="00330E69">
        <w:rPr>
          <w:rFonts w:ascii="Times New Roman" w:hAnsi="Times New Roman" w:cs="Times New Roman"/>
          <w:sz w:val="24"/>
          <w:szCs w:val="24"/>
        </w:rPr>
        <w:t xml:space="preserve">). </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 xml:space="preserve">Regulation 3.01 – Outcomes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3.01(1) provides that there are </w:t>
      </w:r>
      <w:r>
        <w:rPr>
          <w:rFonts w:ascii="Times New Roman" w:hAnsi="Times New Roman" w:cs="Times New Roman"/>
          <w:sz w:val="24"/>
          <w:szCs w:val="24"/>
        </w:rPr>
        <w:t>two</w:t>
      </w:r>
      <w:r w:rsidRPr="00330E69">
        <w:rPr>
          <w:rFonts w:ascii="Times New Roman" w:hAnsi="Times New Roman" w:cs="Times New Roman"/>
          <w:sz w:val="24"/>
          <w:szCs w:val="24"/>
        </w:rPr>
        <w:t xml:space="preserve"> outcomes to be achieved by a co-regulatory arrangement in relation to a class of products:</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6"/>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to provide reasonable access to collection services (as further defined in reg</w:t>
      </w:r>
      <w:r>
        <w:rPr>
          <w:rFonts w:ascii="Times New Roman" w:hAnsi="Times New Roman" w:cs="Times New Roman"/>
          <w:sz w:val="24"/>
          <w:szCs w:val="24"/>
        </w:rPr>
        <w:t>ulation</w:t>
      </w:r>
      <w:r w:rsidRPr="00330E69">
        <w:rPr>
          <w:rFonts w:ascii="Times New Roman" w:hAnsi="Times New Roman" w:cs="Times New Roman"/>
          <w:sz w:val="24"/>
          <w:szCs w:val="24"/>
        </w:rPr>
        <w:t xml:space="preserve"> 3.03);</w:t>
      </w:r>
      <w:r>
        <w:rPr>
          <w:rFonts w:ascii="Times New Roman" w:hAnsi="Times New Roman" w:cs="Times New Roman"/>
          <w:sz w:val="24"/>
          <w:szCs w:val="24"/>
        </w:rPr>
        <w:t xml:space="preserve"> and</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6126AE" w:rsidRDefault="003F4567" w:rsidP="003F4567">
      <w:pPr>
        <w:pStyle w:val="ListParagraph"/>
        <w:numPr>
          <w:ilvl w:val="0"/>
          <w:numId w:val="6"/>
        </w:numPr>
        <w:spacing w:after="0" w:line="240" w:lineRule="auto"/>
      </w:pPr>
      <w:r w:rsidRPr="00330E69">
        <w:rPr>
          <w:rFonts w:ascii="Times New Roman" w:hAnsi="Times New Roman" w:cs="Times New Roman"/>
          <w:sz w:val="24"/>
          <w:szCs w:val="24"/>
        </w:rPr>
        <w:t>to meet recycling targets (as further defined in reg</w:t>
      </w:r>
      <w:r>
        <w:rPr>
          <w:rFonts w:ascii="Times New Roman" w:hAnsi="Times New Roman" w:cs="Times New Roman"/>
          <w:sz w:val="24"/>
          <w:szCs w:val="24"/>
        </w:rPr>
        <w:t>ulation</w:t>
      </w:r>
      <w:r w:rsidRPr="00330E69">
        <w:rPr>
          <w:rFonts w:ascii="Times New Roman" w:hAnsi="Times New Roman" w:cs="Times New Roman"/>
          <w:sz w:val="24"/>
          <w:szCs w:val="24"/>
        </w:rPr>
        <w:t xml:space="preserve"> 3.04)</w:t>
      </w:r>
      <w:r>
        <w:rPr>
          <w:rFonts w:ascii="Times New Roman" w:hAnsi="Times New Roman" w:cs="Times New Roman"/>
          <w:sz w:val="24"/>
          <w:szCs w:val="24"/>
        </w:rPr>
        <w:t>.</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Paragraph</w:t>
      </w:r>
      <w:r w:rsidRPr="00330E69">
        <w:rPr>
          <w:rFonts w:ascii="Times New Roman" w:hAnsi="Times New Roman" w:cs="Times New Roman"/>
          <w:sz w:val="24"/>
          <w:szCs w:val="24"/>
        </w:rPr>
        <w:t xml:space="preserve"> 3.01(1)(a) provides the reasonable access outcome is to be met</w:t>
      </w:r>
      <w:r>
        <w:rPr>
          <w:rFonts w:ascii="Times New Roman" w:hAnsi="Times New Roman" w:cs="Times New Roman"/>
          <w:sz w:val="24"/>
          <w:szCs w:val="24"/>
        </w:rPr>
        <w:t xml:space="preserve"> by 31 December 2013</w:t>
      </w:r>
      <w:r w:rsidRPr="00330E69">
        <w:rPr>
          <w:rFonts w:ascii="Times New Roman" w:hAnsi="Times New Roman" w:cs="Times New Roman"/>
          <w:sz w:val="24"/>
          <w:szCs w:val="24"/>
        </w:rPr>
        <w:t xml:space="preserve"> </w:t>
      </w:r>
      <w:r>
        <w:rPr>
          <w:rFonts w:ascii="Times New Roman" w:hAnsi="Times New Roman" w:cs="Times New Roman"/>
          <w:sz w:val="24"/>
          <w:szCs w:val="24"/>
        </w:rPr>
        <w:t>in</w:t>
      </w:r>
      <w:r w:rsidRPr="00330E69">
        <w:rPr>
          <w:rFonts w:ascii="Times New Roman" w:hAnsi="Times New Roman" w:cs="Times New Roman"/>
          <w:sz w:val="24"/>
          <w:szCs w:val="24"/>
        </w:rPr>
        <w:t xml:space="preserve"> the financial year 201</w:t>
      </w:r>
      <w:r>
        <w:rPr>
          <w:rFonts w:ascii="Times New Roman" w:hAnsi="Times New Roman" w:cs="Times New Roman"/>
          <w:sz w:val="24"/>
          <w:szCs w:val="24"/>
        </w:rPr>
        <w:t>3</w:t>
      </w:r>
      <w:r w:rsidRPr="00330E69">
        <w:rPr>
          <w:rFonts w:ascii="Times New Roman" w:hAnsi="Times New Roman" w:cs="Times New Roman"/>
          <w:sz w:val="24"/>
          <w:szCs w:val="24"/>
        </w:rPr>
        <w:t>-201</w:t>
      </w:r>
      <w:r>
        <w:rPr>
          <w:rFonts w:ascii="Times New Roman" w:hAnsi="Times New Roman" w:cs="Times New Roman"/>
          <w:sz w:val="24"/>
          <w:szCs w:val="24"/>
        </w:rPr>
        <w:t>4</w:t>
      </w:r>
      <w:r w:rsidRPr="00330E69">
        <w:rPr>
          <w:rFonts w:ascii="Times New Roman" w:hAnsi="Times New Roman" w:cs="Times New Roman"/>
          <w:sz w:val="24"/>
          <w:szCs w:val="24"/>
        </w:rPr>
        <w:t xml:space="preserve">.  This is intended to allow approximately </w:t>
      </w:r>
      <w:r>
        <w:rPr>
          <w:rFonts w:ascii="Times New Roman" w:hAnsi="Times New Roman" w:cs="Times New Roman"/>
          <w:sz w:val="24"/>
          <w:szCs w:val="24"/>
        </w:rPr>
        <w:t>2 years</w:t>
      </w:r>
      <w:r w:rsidRPr="00330E69">
        <w:rPr>
          <w:rFonts w:ascii="Times New Roman" w:hAnsi="Times New Roman" w:cs="Times New Roman"/>
          <w:sz w:val="24"/>
          <w:szCs w:val="24"/>
        </w:rPr>
        <w:t xml:space="preserve"> from when the Regulations commence for the reasonable access outcome to be achieved.</w:t>
      </w:r>
      <w:r>
        <w:rPr>
          <w:rFonts w:ascii="Times New Roman" w:hAnsi="Times New Roman" w:cs="Times New Roman"/>
          <w:sz w:val="24"/>
          <w:szCs w:val="24"/>
        </w:rPr>
        <w:t xml:space="preserve"> The reasonable access outcome is an ongoing outcome and will need to be met in every financial year after this time.</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Paragraph </w:t>
      </w:r>
      <w:r w:rsidRPr="00330E69">
        <w:rPr>
          <w:rFonts w:ascii="Times New Roman" w:hAnsi="Times New Roman" w:cs="Times New Roman"/>
          <w:sz w:val="24"/>
          <w:szCs w:val="24"/>
        </w:rPr>
        <w:t xml:space="preserve">3.01(2)(a) provides that in meeting the reasonable access and recycling outcomes, a person must not be charged for the collection of a product for recycling if </w:t>
      </w:r>
      <w:r>
        <w:rPr>
          <w:rFonts w:ascii="Times New Roman" w:hAnsi="Times New Roman" w:cs="Times New Roman"/>
          <w:sz w:val="24"/>
          <w:szCs w:val="24"/>
        </w:rPr>
        <w:t>that person has used</w:t>
      </w:r>
      <w:r w:rsidRPr="00330E6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30E69">
        <w:rPr>
          <w:rFonts w:ascii="Times New Roman" w:hAnsi="Times New Roman" w:cs="Times New Roman"/>
          <w:sz w:val="24"/>
          <w:szCs w:val="24"/>
        </w:rPr>
        <w:t xml:space="preserve">product for </w:t>
      </w:r>
      <w:r>
        <w:rPr>
          <w:rFonts w:ascii="Times New Roman" w:hAnsi="Times New Roman" w:cs="Times New Roman"/>
          <w:sz w:val="24"/>
          <w:szCs w:val="24"/>
        </w:rPr>
        <w:t xml:space="preserve">personal, domestic, or </w:t>
      </w:r>
      <w:r w:rsidRPr="00330E69">
        <w:rPr>
          <w:rFonts w:ascii="Times New Roman" w:hAnsi="Times New Roman" w:cs="Times New Roman"/>
          <w:sz w:val="24"/>
          <w:szCs w:val="24"/>
        </w:rPr>
        <w:t>household purposes</w:t>
      </w:r>
      <w:r>
        <w:rPr>
          <w:rFonts w:ascii="Times New Roman" w:hAnsi="Times New Roman" w:cs="Times New Roman"/>
          <w:sz w:val="24"/>
          <w:szCs w:val="24"/>
        </w:rPr>
        <w:t>, or for small business purposes</w:t>
      </w:r>
      <w:r w:rsidRPr="00330E69">
        <w:rPr>
          <w:rFonts w:ascii="Times New Roman" w:hAnsi="Times New Roman" w:cs="Times New Roman"/>
          <w:sz w:val="24"/>
          <w:szCs w:val="24"/>
        </w:rPr>
        <w:t>.  This is intended to ensure that householders</w:t>
      </w:r>
      <w:r>
        <w:rPr>
          <w:rFonts w:ascii="Times New Roman" w:hAnsi="Times New Roman" w:cs="Times New Roman"/>
          <w:sz w:val="24"/>
          <w:szCs w:val="24"/>
        </w:rPr>
        <w:t xml:space="preserve">, and small business users of products, </w:t>
      </w:r>
      <w:r w:rsidRPr="00330E69">
        <w:rPr>
          <w:rFonts w:ascii="Times New Roman" w:hAnsi="Times New Roman" w:cs="Times New Roman"/>
          <w:sz w:val="24"/>
          <w:szCs w:val="24"/>
        </w:rPr>
        <w:t xml:space="preserve">have free access to recycling, while retaining flexibility for </w:t>
      </w:r>
      <w:r>
        <w:rPr>
          <w:rFonts w:ascii="Times New Roman" w:hAnsi="Times New Roman" w:cs="Times New Roman"/>
          <w:sz w:val="24"/>
          <w:szCs w:val="24"/>
        </w:rPr>
        <w:t xml:space="preserve">an </w:t>
      </w:r>
      <w:r w:rsidRPr="00330E69">
        <w:rPr>
          <w:rFonts w:ascii="Times New Roman" w:hAnsi="Times New Roman" w:cs="Times New Roman"/>
          <w:sz w:val="24"/>
          <w:szCs w:val="24"/>
        </w:rPr>
        <w:t>administrator</w:t>
      </w:r>
      <w:r>
        <w:rPr>
          <w:rFonts w:ascii="Times New Roman" w:hAnsi="Times New Roman" w:cs="Times New Roman"/>
          <w:sz w:val="24"/>
          <w:szCs w:val="24"/>
        </w:rPr>
        <w:t xml:space="preserve"> of a co-</w:t>
      </w:r>
      <w:r>
        <w:rPr>
          <w:rFonts w:ascii="Times New Roman" w:hAnsi="Times New Roman" w:cs="Times New Roman"/>
          <w:sz w:val="24"/>
          <w:szCs w:val="24"/>
        </w:rPr>
        <w:lastRenderedPageBreak/>
        <w:t>regulatory arrangement</w:t>
      </w:r>
      <w:r w:rsidRPr="00330E69">
        <w:rPr>
          <w:rFonts w:ascii="Times New Roman" w:hAnsi="Times New Roman" w:cs="Times New Roman"/>
          <w:sz w:val="24"/>
          <w:szCs w:val="24"/>
        </w:rPr>
        <w:t xml:space="preserve"> to charge</w:t>
      </w:r>
      <w:r>
        <w:rPr>
          <w:rFonts w:ascii="Times New Roman" w:hAnsi="Times New Roman" w:cs="Times New Roman"/>
          <w:sz w:val="24"/>
          <w:szCs w:val="24"/>
        </w:rPr>
        <w:t xml:space="preserve"> or not charge</w:t>
      </w:r>
      <w:r w:rsidRPr="00330E69">
        <w:rPr>
          <w:rFonts w:ascii="Times New Roman" w:hAnsi="Times New Roman" w:cs="Times New Roman"/>
          <w:sz w:val="24"/>
          <w:szCs w:val="24"/>
        </w:rPr>
        <w:t xml:space="preserve"> </w:t>
      </w:r>
      <w:r>
        <w:rPr>
          <w:rFonts w:ascii="Times New Roman" w:hAnsi="Times New Roman" w:cs="Times New Roman"/>
          <w:sz w:val="24"/>
          <w:szCs w:val="24"/>
        </w:rPr>
        <w:t xml:space="preserve">other users of products </w:t>
      </w:r>
      <w:r w:rsidRPr="00330E69">
        <w:rPr>
          <w:rFonts w:ascii="Times New Roman" w:hAnsi="Times New Roman" w:cs="Times New Roman"/>
          <w:sz w:val="24"/>
          <w:szCs w:val="24"/>
        </w:rPr>
        <w:t xml:space="preserve">that wish to have end-of-life products </w:t>
      </w:r>
      <w:r>
        <w:rPr>
          <w:rFonts w:ascii="Times New Roman" w:hAnsi="Times New Roman" w:cs="Times New Roman"/>
          <w:sz w:val="24"/>
          <w:szCs w:val="24"/>
        </w:rPr>
        <w:t>collected for recycling</w:t>
      </w:r>
      <w:r w:rsidRPr="00330E69">
        <w:rPr>
          <w:rFonts w:ascii="Times New Roman" w:hAnsi="Times New Roman" w:cs="Times New Roman"/>
          <w:sz w:val="24"/>
          <w:szCs w:val="24"/>
        </w:rPr>
        <w:t>.</w:t>
      </w:r>
      <w:r>
        <w:rPr>
          <w:rFonts w:ascii="Times New Roman" w:hAnsi="Times New Roman" w:cs="Times New Roman"/>
          <w:sz w:val="24"/>
          <w:szCs w:val="24"/>
        </w:rPr>
        <w:t xml:space="preserve"> </w:t>
      </w:r>
    </w:p>
    <w:p w:rsidR="003F4567" w:rsidRDefault="003F4567" w:rsidP="003F4567">
      <w:pPr>
        <w:spacing w:after="0" w:line="240" w:lineRule="auto"/>
        <w:rPr>
          <w:rFonts w:ascii="Times New Roman" w:hAnsi="Times New Roman" w:cs="Times New Roman"/>
          <w:sz w:val="24"/>
          <w:szCs w:val="24"/>
        </w:rPr>
      </w:pPr>
    </w:p>
    <w:p w:rsidR="003F4567" w:rsidRPr="00D50AEA" w:rsidRDefault="003F4567" w:rsidP="003F4567">
      <w:pPr>
        <w:spacing w:after="0" w:line="240" w:lineRule="auto"/>
        <w:rPr>
          <w:rFonts w:ascii="Times New Roman" w:hAnsi="Times New Roman" w:cs="Times New Roman"/>
          <w:sz w:val="24"/>
          <w:szCs w:val="24"/>
        </w:rPr>
      </w:pPr>
      <w:r w:rsidRPr="002F6E9A">
        <w:rPr>
          <w:rFonts w:ascii="Times New Roman" w:hAnsi="Times New Roman" w:cs="Times New Roman"/>
          <w:sz w:val="24"/>
          <w:szCs w:val="24"/>
        </w:rPr>
        <w:t xml:space="preserve">The requirement </w:t>
      </w:r>
      <w:r>
        <w:rPr>
          <w:rFonts w:ascii="Times New Roman" w:hAnsi="Times New Roman" w:cs="Times New Roman"/>
          <w:sz w:val="24"/>
          <w:szCs w:val="24"/>
        </w:rPr>
        <w:t>to provide free collection services in accordance with paragraph</w:t>
      </w:r>
      <w:r w:rsidRPr="002F6E9A">
        <w:rPr>
          <w:rFonts w:ascii="Times New Roman" w:hAnsi="Times New Roman" w:cs="Times New Roman"/>
          <w:sz w:val="24"/>
          <w:szCs w:val="24"/>
        </w:rPr>
        <w:t xml:space="preserve"> 3.01(2)(a) does not apply to the collection of products prior to commencement of the Regulations. This means </w:t>
      </w:r>
      <w:r>
        <w:rPr>
          <w:rFonts w:ascii="Times New Roman" w:hAnsi="Times New Roman" w:cs="Times New Roman"/>
          <w:sz w:val="24"/>
          <w:szCs w:val="24"/>
        </w:rPr>
        <w:t>if a product was collected</w:t>
      </w:r>
      <w:r w:rsidRPr="007D35C6">
        <w:rPr>
          <w:rFonts w:ascii="Times New Roman" w:hAnsi="Times New Roman" w:cs="Times New Roman"/>
          <w:sz w:val="24"/>
          <w:szCs w:val="24"/>
        </w:rPr>
        <w:t xml:space="preserve"> </w:t>
      </w:r>
      <w:r w:rsidRPr="002F6E9A">
        <w:rPr>
          <w:rFonts w:ascii="Times New Roman" w:hAnsi="Times New Roman" w:cs="Times New Roman"/>
          <w:sz w:val="24"/>
          <w:szCs w:val="24"/>
        </w:rPr>
        <w:t>before the commencement of the Regulations</w:t>
      </w:r>
      <w:r>
        <w:rPr>
          <w:rFonts w:ascii="Times New Roman" w:hAnsi="Times New Roman" w:cs="Times New Roman"/>
          <w:sz w:val="24"/>
          <w:szCs w:val="24"/>
        </w:rPr>
        <w:t xml:space="preserve">, for example by a local government, from a person who used the product for personal, domestic, or </w:t>
      </w:r>
      <w:r w:rsidRPr="00330E69">
        <w:rPr>
          <w:rFonts w:ascii="Times New Roman" w:hAnsi="Times New Roman" w:cs="Times New Roman"/>
          <w:sz w:val="24"/>
          <w:szCs w:val="24"/>
        </w:rPr>
        <w:t>household purposes</w:t>
      </w:r>
      <w:r>
        <w:rPr>
          <w:rFonts w:ascii="Times New Roman" w:hAnsi="Times New Roman" w:cs="Times New Roman"/>
          <w:sz w:val="24"/>
          <w:szCs w:val="24"/>
        </w:rPr>
        <w:t>, or for small business purposes, and the person was charged a fee for collection of that product,</w:t>
      </w:r>
      <w:r w:rsidRPr="002F6E9A">
        <w:rPr>
          <w:rFonts w:ascii="Times New Roman" w:hAnsi="Times New Roman" w:cs="Times New Roman"/>
          <w:sz w:val="24"/>
          <w:szCs w:val="24"/>
        </w:rPr>
        <w:t xml:space="preserve"> a co-regulatory arrangement </w:t>
      </w:r>
      <w:r>
        <w:rPr>
          <w:rFonts w:ascii="Times New Roman" w:hAnsi="Times New Roman" w:cs="Times New Roman"/>
          <w:sz w:val="24"/>
          <w:szCs w:val="24"/>
        </w:rPr>
        <w:t xml:space="preserve">may accept these stockpiles of </w:t>
      </w:r>
      <w:r w:rsidRPr="002F6E9A">
        <w:rPr>
          <w:rFonts w:ascii="Times New Roman" w:hAnsi="Times New Roman" w:cs="Times New Roman"/>
          <w:sz w:val="24"/>
          <w:szCs w:val="24"/>
        </w:rPr>
        <w:t>product</w:t>
      </w:r>
      <w:r>
        <w:rPr>
          <w:rFonts w:ascii="Times New Roman" w:hAnsi="Times New Roman" w:cs="Times New Roman"/>
          <w:sz w:val="24"/>
          <w:szCs w:val="24"/>
        </w:rPr>
        <w:t>s</w:t>
      </w:r>
      <w:r w:rsidRPr="002F6E9A">
        <w:rPr>
          <w:rFonts w:ascii="Times New Roman" w:hAnsi="Times New Roman" w:cs="Times New Roman"/>
          <w:sz w:val="24"/>
          <w:szCs w:val="24"/>
        </w:rPr>
        <w:t>.</w:t>
      </w:r>
      <w:r w:rsidRPr="00D50AEA">
        <w:rPr>
          <w:rFonts w:ascii="Times New Roman" w:hAnsi="Times New Roman" w:cs="Times New Roman"/>
          <w:sz w:val="24"/>
          <w:szCs w:val="24"/>
        </w:rPr>
        <w:t xml:space="preserve"> </w:t>
      </w:r>
    </w:p>
    <w:p w:rsidR="003F4567" w:rsidRPr="00D50AEA"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Paragraph 3.01(2)(b) provides</w:t>
      </w:r>
      <w:r>
        <w:rPr>
          <w:rFonts w:ascii="Times New Roman" w:hAnsi="Times New Roman" w:cs="Times New Roman"/>
          <w:sz w:val="24"/>
          <w:szCs w:val="24"/>
        </w:rPr>
        <w:t xml:space="preserve"> that</w:t>
      </w:r>
      <w:r w:rsidRPr="00330E69">
        <w:rPr>
          <w:rFonts w:ascii="Times New Roman" w:hAnsi="Times New Roman" w:cs="Times New Roman"/>
          <w:sz w:val="24"/>
          <w:szCs w:val="24"/>
        </w:rPr>
        <w:t xml:space="preserve"> a product </w:t>
      </w:r>
      <w:r>
        <w:rPr>
          <w:rFonts w:ascii="Times New Roman" w:hAnsi="Times New Roman" w:cs="Times New Roman"/>
          <w:sz w:val="24"/>
          <w:szCs w:val="24"/>
        </w:rPr>
        <w:t>with</w:t>
      </w:r>
      <w:r w:rsidRPr="00330E69">
        <w:rPr>
          <w:rFonts w:ascii="Times New Roman" w:hAnsi="Times New Roman" w:cs="Times New Roman"/>
          <w:sz w:val="24"/>
          <w:szCs w:val="24"/>
        </w:rPr>
        <w:t xml:space="preserve">in </w:t>
      </w:r>
      <w:r>
        <w:rPr>
          <w:rFonts w:ascii="Times New Roman" w:hAnsi="Times New Roman" w:cs="Times New Roman"/>
          <w:sz w:val="24"/>
          <w:szCs w:val="24"/>
        </w:rPr>
        <w:t xml:space="preserve">a </w:t>
      </w:r>
      <w:r w:rsidRPr="00330E69">
        <w:rPr>
          <w:rFonts w:ascii="Times New Roman" w:hAnsi="Times New Roman" w:cs="Times New Roman"/>
          <w:sz w:val="24"/>
          <w:szCs w:val="24"/>
        </w:rPr>
        <w:t>class of products must not be refused</w:t>
      </w:r>
      <w:r>
        <w:rPr>
          <w:rFonts w:ascii="Times New Roman" w:hAnsi="Times New Roman" w:cs="Times New Roman"/>
          <w:sz w:val="24"/>
          <w:szCs w:val="24"/>
        </w:rPr>
        <w:t xml:space="preserve"> for collection</w:t>
      </w:r>
      <w:r w:rsidRPr="00330E69">
        <w:rPr>
          <w:rFonts w:ascii="Times New Roman" w:hAnsi="Times New Roman" w:cs="Times New Roman"/>
          <w:sz w:val="24"/>
          <w:szCs w:val="24"/>
        </w:rPr>
        <w:t>. This is intended to ensure that an administrator of a co-regulatory arrangement cannot refuse to accept products</w:t>
      </w:r>
      <w:r>
        <w:rPr>
          <w:rFonts w:ascii="Times New Roman" w:hAnsi="Times New Roman" w:cs="Times New Roman"/>
          <w:sz w:val="24"/>
          <w:szCs w:val="24"/>
        </w:rPr>
        <w:t xml:space="preserve"> within a class of products for which that arrangement has a recycling target</w:t>
      </w:r>
      <w:r w:rsidRPr="00330E69">
        <w:rPr>
          <w:rFonts w:ascii="Times New Roman" w:hAnsi="Times New Roman" w:cs="Times New Roman"/>
          <w:sz w:val="24"/>
          <w:szCs w:val="24"/>
        </w:rPr>
        <w:t xml:space="preserve"> on the </w:t>
      </w:r>
      <w:r>
        <w:rPr>
          <w:rFonts w:ascii="Times New Roman" w:hAnsi="Times New Roman" w:cs="Times New Roman"/>
          <w:sz w:val="24"/>
          <w:szCs w:val="24"/>
        </w:rPr>
        <w:t>grounds of the type of product or brand of product within that class</w:t>
      </w:r>
      <w:r w:rsidRPr="00330E69">
        <w:rPr>
          <w:rFonts w:ascii="Times New Roman" w:hAnsi="Times New Roman" w:cs="Times New Roman"/>
          <w:sz w:val="24"/>
          <w:szCs w:val="24"/>
        </w:rPr>
        <w:t>.</w:t>
      </w:r>
    </w:p>
    <w:p w:rsidR="003F4567" w:rsidRPr="00330E69" w:rsidRDefault="003F4567" w:rsidP="003F4567">
      <w:pPr>
        <w:spacing w:after="0" w:line="240" w:lineRule="auto"/>
        <w:rPr>
          <w:rFonts w:ascii="Times New Roman" w:hAnsi="Times New Roman" w:cs="Times New Roman"/>
          <w:b/>
          <w:sz w:val="24"/>
          <w:szCs w:val="24"/>
        </w:rPr>
      </w:pPr>
    </w:p>
    <w:p w:rsidR="003F4567" w:rsidRPr="00FA536A" w:rsidRDefault="003F4567" w:rsidP="003F4567">
      <w:pPr>
        <w:spacing w:after="0" w:line="240" w:lineRule="auto"/>
        <w:rPr>
          <w:rFonts w:ascii="Times New Roman" w:hAnsi="Times New Roman" w:cs="Times New Roman"/>
          <w:b/>
          <w:sz w:val="24"/>
          <w:szCs w:val="24"/>
        </w:rPr>
      </w:pPr>
      <w:r w:rsidRPr="00FA536A">
        <w:rPr>
          <w:rFonts w:ascii="Times New Roman" w:hAnsi="Times New Roman" w:cs="Times New Roman"/>
          <w:b/>
          <w:sz w:val="24"/>
          <w:szCs w:val="24"/>
        </w:rPr>
        <w:t>Division 3.2 Collection</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Regulation 3.02 – Collection services</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This regulation provides a non-exhaustive list of types of collection services. Consistent with the co-regulation philosophy, it makes clear that administrators of co-regulatory arrangement</w:t>
      </w:r>
      <w:r>
        <w:rPr>
          <w:rFonts w:ascii="Times New Roman" w:hAnsi="Times New Roman" w:cs="Times New Roman"/>
          <w:sz w:val="24"/>
          <w:szCs w:val="24"/>
        </w:rPr>
        <w:t>s</w:t>
      </w:r>
      <w:r w:rsidRPr="00330E69">
        <w:rPr>
          <w:rFonts w:ascii="Times New Roman" w:hAnsi="Times New Roman" w:cs="Times New Roman"/>
          <w:sz w:val="24"/>
          <w:szCs w:val="24"/>
        </w:rPr>
        <w:t xml:space="preserve"> have flexibility in the type of collection services they can provide. In addition to fixed collection sites, collection services can include, among other examples, take-back events and mail-back programs.</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Regulation 3.03 – Reasonable access – general requirements</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Regulation 3.03 provides that access to a collection service is reasonable if access is provided in accordance with the regulation. The regulation sets out metrics that seek to provide a consistent, measurable basis for determining whether reasonable access has been provided, without being prescriptive as to the exact locations</w:t>
      </w:r>
      <w:r>
        <w:rPr>
          <w:rFonts w:ascii="Times New Roman" w:hAnsi="Times New Roman" w:cs="Times New Roman"/>
          <w:sz w:val="24"/>
          <w:szCs w:val="24"/>
        </w:rPr>
        <w:t xml:space="preserve"> or types</w:t>
      </w:r>
      <w:r w:rsidRPr="00330E69">
        <w:rPr>
          <w:rFonts w:ascii="Times New Roman" w:hAnsi="Times New Roman" w:cs="Times New Roman"/>
          <w:sz w:val="24"/>
          <w:szCs w:val="24"/>
        </w:rPr>
        <w:t xml:space="preserve"> of collection services.</w:t>
      </w:r>
    </w:p>
    <w:p w:rsidR="003F4567" w:rsidRPr="00330E69" w:rsidRDefault="003F4567" w:rsidP="003F4567">
      <w:pPr>
        <w:spacing w:after="0" w:line="240" w:lineRule="auto"/>
        <w:rPr>
          <w:rFonts w:ascii="Times New Roman" w:hAnsi="Times New Roman" w:cs="Times New Roman"/>
          <w:sz w:val="24"/>
          <w:szCs w:val="24"/>
        </w:rPr>
      </w:pPr>
    </w:p>
    <w:p w:rsidR="003F4567" w:rsidRPr="00BC312D"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Regulation 3.03 refers to “metropolitan areas”, “inner regional”, “outer regional” and “remote areas”.  Regulation 1.03 provides that these terms have the meaning given by the document </w:t>
      </w:r>
      <w:r w:rsidRPr="00330E69">
        <w:rPr>
          <w:rFonts w:ascii="Times New Roman" w:hAnsi="Times New Roman" w:cs="Times New Roman"/>
          <w:i/>
          <w:sz w:val="24"/>
          <w:szCs w:val="24"/>
        </w:rPr>
        <w:t xml:space="preserve">Statistical Geography Volume 1 - Australian Standard Geographical Classification (AGSC) </w:t>
      </w:r>
      <w:r w:rsidRPr="00330E69">
        <w:rPr>
          <w:rFonts w:ascii="Times New Roman" w:hAnsi="Times New Roman" w:cs="Times New Roman"/>
          <w:sz w:val="24"/>
          <w:szCs w:val="24"/>
        </w:rPr>
        <w:t xml:space="preserve">(ABS catalogue number 1216.0) published by the Australian </w:t>
      </w:r>
      <w:r>
        <w:rPr>
          <w:rFonts w:ascii="Times New Roman" w:hAnsi="Times New Roman" w:cs="Times New Roman"/>
          <w:sz w:val="24"/>
          <w:szCs w:val="24"/>
        </w:rPr>
        <w:t>Bureau of Statistics</w:t>
      </w:r>
      <w:r w:rsidRPr="00330E69">
        <w:rPr>
          <w:rFonts w:ascii="Times New Roman" w:hAnsi="Times New Roman" w:cs="Times New Roman"/>
          <w:sz w:val="24"/>
          <w:szCs w:val="24"/>
        </w:rPr>
        <w:t xml:space="preserve"> in July 2006</w:t>
      </w:r>
      <w:r>
        <w:rPr>
          <w:rFonts w:ascii="Times New Roman" w:hAnsi="Times New Roman" w:cs="Times New Roman"/>
          <w:sz w:val="24"/>
          <w:szCs w:val="24"/>
        </w:rPr>
        <w:t xml:space="preserve">, </w:t>
      </w:r>
      <w:r w:rsidRPr="00BC312D">
        <w:rPr>
          <w:rFonts w:ascii="Times New Roman" w:hAnsi="Times New Roman" w:cs="Times New Roman"/>
          <w:sz w:val="24"/>
          <w:szCs w:val="24"/>
        </w:rPr>
        <w:t xml:space="preserve">available at </w:t>
      </w:r>
      <w:hyperlink r:id="rId13" w:history="1">
        <w:r w:rsidRPr="002B1A08">
          <w:rPr>
            <w:rStyle w:val="Hyperlink"/>
            <w:rFonts w:ascii="Times New Roman" w:hAnsi="Times New Roman"/>
            <w:sz w:val="24"/>
            <w:szCs w:val="24"/>
          </w:rPr>
          <w:t>www.abs.gov.au</w:t>
        </w:r>
      </w:hyperlink>
      <w:r>
        <w:rPr>
          <w:rFonts w:ascii="Times New Roman" w:hAnsi="Times New Roman" w:cs="Times New Roman"/>
          <w:sz w:val="24"/>
          <w:szCs w:val="24"/>
        </w:rPr>
        <w:t>.</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A reference in regulation 3.03 to:</w:t>
      </w:r>
    </w:p>
    <w:p w:rsidR="003F4567" w:rsidRDefault="003F4567" w:rsidP="003F4567">
      <w:pPr>
        <w:spacing w:after="0" w:line="240" w:lineRule="auto"/>
        <w:rPr>
          <w:rFonts w:ascii="Times New Roman" w:hAnsi="Times New Roman" w:cs="Times New Roman"/>
          <w:sz w:val="24"/>
          <w:szCs w:val="24"/>
        </w:rPr>
      </w:pPr>
    </w:p>
    <w:p w:rsidR="003F4567" w:rsidRPr="005004C0" w:rsidRDefault="003F4567" w:rsidP="003F4567">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5004C0">
        <w:rPr>
          <w:rFonts w:ascii="Times New Roman" w:hAnsi="Times New Roman" w:cs="Times New Roman"/>
          <w:sz w:val="24"/>
          <w:szCs w:val="24"/>
        </w:rPr>
        <w:t xml:space="preserve"> distance is a distance by road</w:t>
      </w:r>
      <w:r>
        <w:rPr>
          <w:rFonts w:ascii="Times New Roman" w:hAnsi="Times New Roman" w:cs="Times New Roman"/>
          <w:sz w:val="24"/>
          <w:szCs w:val="24"/>
        </w:rPr>
        <w:t>;</w:t>
      </w:r>
    </w:p>
    <w:p w:rsidR="003F4567"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5004C0">
        <w:rPr>
          <w:rFonts w:ascii="Times New Roman" w:hAnsi="Times New Roman" w:cs="Times New Roman"/>
          <w:sz w:val="24"/>
          <w:szCs w:val="24"/>
        </w:rPr>
        <w:t xml:space="preserve">he population of an area or town is the population of the area or town as determined in the 2006 Census of Population and Housing, published by the </w:t>
      </w:r>
      <w:r>
        <w:rPr>
          <w:rFonts w:ascii="Times New Roman" w:hAnsi="Times New Roman" w:cs="Times New Roman"/>
          <w:sz w:val="24"/>
          <w:szCs w:val="24"/>
        </w:rPr>
        <w:t xml:space="preserve">Australian Bureau of Statistics, </w:t>
      </w:r>
      <w:r w:rsidRPr="005004C0">
        <w:rPr>
          <w:rFonts w:ascii="Times New Roman" w:hAnsi="Times New Roman" w:cs="Times New Roman"/>
          <w:sz w:val="24"/>
          <w:szCs w:val="24"/>
        </w:rPr>
        <w:t xml:space="preserve">available at </w:t>
      </w:r>
      <w:hyperlink r:id="rId14" w:history="1">
        <w:r w:rsidRPr="005004C0">
          <w:rPr>
            <w:rStyle w:val="Hyperlink"/>
            <w:rFonts w:ascii="Times New Roman" w:hAnsi="Times New Roman"/>
            <w:sz w:val="24"/>
            <w:szCs w:val="24"/>
          </w:rPr>
          <w:t>www.abs.gov.au</w:t>
        </w:r>
      </w:hyperlink>
      <w:r w:rsidRPr="005004C0">
        <w:rPr>
          <w:rFonts w:ascii="Times New Roman" w:hAnsi="Times New Roman" w:cs="Times New Roman"/>
          <w:sz w:val="24"/>
          <w:szCs w:val="24"/>
        </w:rPr>
        <w:t xml:space="preserve">; and  </w:t>
      </w:r>
    </w:p>
    <w:p w:rsidR="003F4567" w:rsidRPr="005004C0" w:rsidRDefault="003F4567" w:rsidP="003F4567">
      <w:pPr>
        <w:pStyle w:val="ListParagraph"/>
        <w:spacing w:after="0" w:line="240" w:lineRule="auto"/>
        <w:ind w:left="360"/>
        <w:rPr>
          <w:rFonts w:ascii="Times New Roman" w:hAnsi="Times New Roman" w:cs="Times New Roman"/>
          <w:sz w:val="24"/>
          <w:szCs w:val="24"/>
        </w:rPr>
      </w:pPr>
    </w:p>
    <w:p w:rsidR="003F4567" w:rsidRPr="005004C0" w:rsidRDefault="003F4567" w:rsidP="003F4567">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5004C0">
        <w:rPr>
          <w:rFonts w:ascii="Times New Roman" w:hAnsi="Times New Roman" w:cs="Times New Roman"/>
          <w:sz w:val="24"/>
          <w:szCs w:val="24"/>
        </w:rPr>
        <w:t xml:space="preserve">he centre point of a town is the point of intersection of the latitude and longitude identified as the location of the town in the </w:t>
      </w:r>
      <w:r w:rsidRPr="005004C0">
        <w:rPr>
          <w:rFonts w:ascii="Times New Roman" w:hAnsi="Times New Roman" w:cs="Times New Roman"/>
          <w:i/>
          <w:sz w:val="24"/>
          <w:szCs w:val="24"/>
        </w:rPr>
        <w:t>Gazetteer of Australia 2010 Release</w:t>
      </w:r>
      <w:r w:rsidRPr="005004C0">
        <w:rPr>
          <w:rFonts w:ascii="Times New Roman" w:hAnsi="Times New Roman" w:cs="Times New Roman"/>
          <w:sz w:val="24"/>
          <w:szCs w:val="24"/>
        </w:rPr>
        <w:t xml:space="preserve"> published by </w:t>
      </w:r>
      <w:proofErr w:type="spellStart"/>
      <w:r w:rsidRPr="005004C0">
        <w:rPr>
          <w:rFonts w:ascii="Times New Roman" w:hAnsi="Times New Roman" w:cs="Times New Roman"/>
          <w:sz w:val="24"/>
          <w:szCs w:val="24"/>
        </w:rPr>
        <w:t>Geoscience</w:t>
      </w:r>
      <w:proofErr w:type="spellEnd"/>
      <w:r w:rsidRPr="005004C0">
        <w:rPr>
          <w:rFonts w:ascii="Times New Roman" w:hAnsi="Times New Roman" w:cs="Times New Roman"/>
          <w:sz w:val="24"/>
          <w:szCs w:val="24"/>
        </w:rPr>
        <w:t xml:space="preserve"> Australia</w:t>
      </w:r>
      <w:r>
        <w:rPr>
          <w:rFonts w:ascii="Times New Roman" w:hAnsi="Times New Roman" w:cs="Times New Roman"/>
          <w:sz w:val="24"/>
          <w:szCs w:val="24"/>
        </w:rPr>
        <w:t xml:space="preserve"> in February 2011</w:t>
      </w:r>
      <w:r w:rsidRPr="005004C0">
        <w:rPr>
          <w:rFonts w:ascii="Times New Roman" w:hAnsi="Times New Roman" w:cs="Times New Roman"/>
          <w:sz w:val="24"/>
          <w:szCs w:val="24"/>
        </w:rPr>
        <w:t xml:space="preserve">, available at </w:t>
      </w:r>
      <w:hyperlink r:id="rId15" w:history="1">
        <w:r w:rsidRPr="005004C0">
          <w:rPr>
            <w:rStyle w:val="Hyperlink"/>
            <w:rFonts w:ascii="Times New Roman" w:eastAsia="Times New Roman" w:hAnsi="Times New Roman"/>
            <w:bCs/>
            <w:sz w:val="24"/>
            <w:szCs w:val="24"/>
            <w:lang w:eastAsia="en-AU"/>
          </w:rPr>
          <w:t>www.ga.gov.au</w:t>
        </w:r>
      </w:hyperlink>
      <w:r>
        <w:t>.</w:t>
      </w:r>
      <w:r w:rsidRPr="005004C0">
        <w:rPr>
          <w:rFonts w:ascii="Times New Roman" w:hAnsi="Times New Roman" w:cs="Times New Roman"/>
          <w:sz w:val="24"/>
          <w:szCs w:val="24"/>
        </w:rPr>
        <w:t xml:space="preserve">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684B1D">
        <w:rPr>
          <w:rFonts w:ascii="Times New Roman" w:hAnsi="Times New Roman" w:cs="Times New Roman"/>
          <w:sz w:val="24"/>
          <w:szCs w:val="24"/>
        </w:rPr>
        <w:t>Subregulation</w:t>
      </w:r>
      <w:proofErr w:type="spellEnd"/>
      <w:r w:rsidRPr="00684B1D">
        <w:rPr>
          <w:rFonts w:ascii="Times New Roman" w:hAnsi="Times New Roman" w:cs="Times New Roman"/>
          <w:sz w:val="24"/>
          <w:szCs w:val="24"/>
        </w:rPr>
        <w:t xml:space="preserve"> 3.03(3) </w:t>
      </w:r>
      <w:r>
        <w:rPr>
          <w:rFonts w:ascii="Times New Roman" w:hAnsi="Times New Roman" w:cs="Times New Roman"/>
          <w:sz w:val="24"/>
          <w:szCs w:val="24"/>
        </w:rPr>
        <w:t>sets out the metric</w:t>
      </w:r>
      <w:r w:rsidRPr="00684B1D">
        <w:rPr>
          <w:rFonts w:ascii="Times New Roman" w:hAnsi="Times New Roman" w:cs="Times New Roman"/>
          <w:sz w:val="24"/>
          <w:szCs w:val="24"/>
        </w:rPr>
        <w:t xml:space="preserve"> for metropolitan areas</w:t>
      </w:r>
      <w:r>
        <w:rPr>
          <w:rFonts w:ascii="Times New Roman" w:hAnsi="Times New Roman" w:cs="Times New Roman"/>
          <w:sz w:val="24"/>
          <w:szCs w:val="24"/>
        </w:rPr>
        <w:t>. T</w:t>
      </w:r>
      <w:r w:rsidRPr="00684B1D">
        <w:rPr>
          <w:rFonts w:ascii="Times New Roman" w:hAnsi="Times New Roman" w:cs="Times New Roman"/>
          <w:sz w:val="24"/>
          <w:szCs w:val="24"/>
        </w:rPr>
        <w:t xml:space="preserve">he number of services to be provided </w:t>
      </w:r>
      <w:r>
        <w:rPr>
          <w:rFonts w:ascii="Times New Roman" w:hAnsi="Times New Roman" w:cs="Times New Roman"/>
          <w:sz w:val="24"/>
          <w:szCs w:val="24"/>
        </w:rPr>
        <w:t>in each financial year</w:t>
      </w:r>
      <w:r w:rsidRPr="00684B1D">
        <w:rPr>
          <w:rFonts w:ascii="Times New Roman" w:hAnsi="Times New Roman" w:cs="Times New Roman"/>
          <w:sz w:val="24"/>
          <w:szCs w:val="24"/>
        </w:rPr>
        <w:t xml:space="preserve"> is calculated by dividing the population of the metropolitan area by 250,000 and rounding up to the nearest whole number.</w:t>
      </w:r>
      <w:r w:rsidRPr="00330E69">
        <w:rPr>
          <w:rFonts w:ascii="Times New Roman" w:hAnsi="Times New Roman" w:cs="Times New Roman"/>
          <w:sz w:val="24"/>
          <w:szCs w:val="24"/>
        </w:rPr>
        <w:t xml:space="preserve">  </w:t>
      </w:r>
    </w:p>
    <w:p w:rsidR="003F4567" w:rsidRPr="00330E69" w:rsidRDefault="003F4567" w:rsidP="003F4567">
      <w:pPr>
        <w:spacing w:after="0" w:line="240" w:lineRule="auto"/>
        <w:ind w:left="720"/>
        <w:rPr>
          <w:rFonts w:ascii="Times New Roman" w:hAnsi="Times New Roman" w:cs="Times New Roman"/>
          <w:i/>
          <w:sz w:val="24"/>
          <w:szCs w:val="24"/>
        </w:rPr>
      </w:pPr>
    </w:p>
    <w:p w:rsidR="003F4567" w:rsidRPr="00330E69" w:rsidRDefault="003F4567" w:rsidP="003F4567">
      <w:pPr>
        <w:spacing w:after="0" w:line="240" w:lineRule="auto"/>
        <w:ind w:left="720"/>
        <w:rPr>
          <w:rFonts w:ascii="Times New Roman" w:hAnsi="Times New Roman" w:cs="Times New Roman"/>
          <w:i/>
          <w:sz w:val="24"/>
          <w:szCs w:val="24"/>
        </w:rPr>
      </w:pPr>
      <w:r w:rsidRPr="00C34DEB">
        <w:rPr>
          <w:rFonts w:ascii="Times New Roman" w:hAnsi="Times New Roman" w:cs="Times New Roman"/>
          <w:i/>
          <w:iCs/>
          <w:sz w:val="24"/>
          <w:szCs w:val="24"/>
        </w:rPr>
        <w:t xml:space="preserve">Example: Melbourne’s metropolitan area population (using the 2006 Census data and with reference to the Australian Standard Geographical Classification on major cities) was 3,519,601. This number, divided by 250,000 and rounded up to the nearest whole number, is 15. This means that </w:t>
      </w:r>
      <w:r>
        <w:rPr>
          <w:rFonts w:ascii="Times New Roman" w:hAnsi="Times New Roman" w:cs="Times New Roman"/>
          <w:i/>
          <w:iCs/>
          <w:sz w:val="24"/>
          <w:szCs w:val="24"/>
        </w:rPr>
        <w:t>by 31 December 201</w:t>
      </w:r>
      <w:r w:rsidR="00A543CF">
        <w:rPr>
          <w:rFonts w:ascii="Times New Roman" w:hAnsi="Times New Roman" w:cs="Times New Roman"/>
          <w:i/>
          <w:iCs/>
          <w:sz w:val="24"/>
          <w:szCs w:val="24"/>
        </w:rPr>
        <w:t>3</w:t>
      </w:r>
      <w:r>
        <w:rPr>
          <w:rFonts w:ascii="Times New Roman" w:hAnsi="Times New Roman" w:cs="Times New Roman"/>
          <w:i/>
          <w:iCs/>
          <w:sz w:val="24"/>
          <w:szCs w:val="24"/>
        </w:rPr>
        <w:t xml:space="preserve"> </w:t>
      </w:r>
      <w:r w:rsidRPr="00C34DEB">
        <w:rPr>
          <w:rFonts w:ascii="Times New Roman" w:hAnsi="Times New Roman" w:cs="Times New Roman"/>
          <w:i/>
          <w:iCs/>
          <w:sz w:val="24"/>
          <w:szCs w:val="24"/>
        </w:rPr>
        <w:t>each approved arrangement must take all reasonable steps to ensure that at least 15 collection services are available in Melbourne.</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Subregulations</w:t>
      </w:r>
      <w:proofErr w:type="spellEnd"/>
      <w:r>
        <w:rPr>
          <w:rFonts w:ascii="Times New Roman" w:hAnsi="Times New Roman" w:cs="Times New Roman"/>
          <w:sz w:val="24"/>
          <w:szCs w:val="24"/>
        </w:rPr>
        <w:t xml:space="preserve"> 3.03(4) and (5) set out the metric f</w:t>
      </w:r>
      <w:r w:rsidRPr="00330E69">
        <w:rPr>
          <w:rFonts w:ascii="Times New Roman" w:hAnsi="Times New Roman" w:cs="Times New Roman"/>
          <w:sz w:val="24"/>
          <w:szCs w:val="24"/>
        </w:rPr>
        <w:t>or inner regional areas</w:t>
      </w:r>
      <w:r>
        <w:rPr>
          <w:rFonts w:ascii="Times New Roman" w:hAnsi="Times New Roman" w:cs="Times New Roman"/>
          <w:sz w:val="24"/>
          <w:szCs w:val="24"/>
        </w:rPr>
        <w:t>. A</w:t>
      </w:r>
      <w:r w:rsidRPr="00330E69">
        <w:rPr>
          <w:rFonts w:ascii="Times New Roman" w:hAnsi="Times New Roman" w:cs="Times New Roman"/>
          <w:sz w:val="24"/>
          <w:szCs w:val="24"/>
        </w:rPr>
        <w:t xml:space="preserve">t least one service must be provided for every town of 10,000 people or more in a financial year. This requirement will be met if a service is available within 100km of the centre point of the town.  </w:t>
      </w:r>
    </w:p>
    <w:p w:rsidR="003F4567" w:rsidRPr="00330E69" w:rsidRDefault="003F4567" w:rsidP="003F4567">
      <w:pPr>
        <w:spacing w:after="0" w:line="240" w:lineRule="auto"/>
        <w:ind w:left="720"/>
        <w:rPr>
          <w:rFonts w:ascii="Times New Roman" w:hAnsi="Times New Roman" w:cs="Times New Roman"/>
          <w:i/>
          <w:sz w:val="24"/>
          <w:szCs w:val="24"/>
        </w:rPr>
      </w:pPr>
    </w:p>
    <w:p w:rsidR="003F4567" w:rsidRPr="00330E69" w:rsidRDefault="003F4567" w:rsidP="003F4567">
      <w:pPr>
        <w:spacing w:after="0" w:line="240" w:lineRule="auto"/>
        <w:ind w:left="720"/>
        <w:rPr>
          <w:rFonts w:ascii="Times New Roman" w:hAnsi="Times New Roman" w:cs="Times New Roman"/>
          <w:sz w:val="24"/>
          <w:szCs w:val="24"/>
        </w:rPr>
      </w:pPr>
      <w:r w:rsidRPr="00330E69">
        <w:rPr>
          <w:rFonts w:ascii="Times New Roman" w:hAnsi="Times New Roman" w:cs="Times New Roman"/>
          <w:i/>
          <w:sz w:val="24"/>
          <w:szCs w:val="24"/>
        </w:rPr>
        <w:t xml:space="preserve">Example: Dubbo is in an inner regional area and had a population of 30,575 in the 2006 Census. This means that </w:t>
      </w:r>
      <w:r>
        <w:rPr>
          <w:rFonts w:ascii="Times New Roman" w:hAnsi="Times New Roman" w:cs="Times New Roman"/>
          <w:i/>
          <w:iCs/>
          <w:sz w:val="24"/>
          <w:szCs w:val="24"/>
        </w:rPr>
        <w:t>by 31 December 201</w:t>
      </w:r>
      <w:r w:rsidR="00A543CF">
        <w:rPr>
          <w:rFonts w:ascii="Times New Roman" w:hAnsi="Times New Roman" w:cs="Times New Roman"/>
          <w:i/>
          <w:iCs/>
          <w:sz w:val="24"/>
          <w:szCs w:val="24"/>
        </w:rPr>
        <w:t>3</w:t>
      </w:r>
      <w:r>
        <w:rPr>
          <w:rFonts w:ascii="Times New Roman" w:hAnsi="Times New Roman" w:cs="Times New Roman"/>
          <w:i/>
          <w:iCs/>
          <w:sz w:val="24"/>
          <w:szCs w:val="24"/>
        </w:rPr>
        <w:t xml:space="preserve"> </w:t>
      </w:r>
      <w:r w:rsidRPr="00330E69">
        <w:rPr>
          <w:rFonts w:ascii="Times New Roman" w:hAnsi="Times New Roman" w:cs="Times New Roman"/>
          <w:i/>
          <w:sz w:val="24"/>
          <w:szCs w:val="24"/>
        </w:rPr>
        <w:t>each approved arrangement must take all reasonable steps to ensure that at least one collection service is provided within 100km of the town.</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Subregulations</w:t>
      </w:r>
      <w:proofErr w:type="spellEnd"/>
      <w:r>
        <w:rPr>
          <w:rFonts w:ascii="Times New Roman" w:hAnsi="Times New Roman" w:cs="Times New Roman"/>
          <w:sz w:val="24"/>
          <w:szCs w:val="24"/>
        </w:rPr>
        <w:t xml:space="preserve"> 3.03(6) and (7) set out the </w:t>
      </w:r>
      <w:r w:rsidRPr="00330E69">
        <w:rPr>
          <w:rFonts w:ascii="Times New Roman" w:hAnsi="Times New Roman" w:cs="Times New Roman"/>
          <w:sz w:val="24"/>
          <w:szCs w:val="24"/>
        </w:rPr>
        <w:t>metric for outer regional areas</w:t>
      </w:r>
      <w:r>
        <w:rPr>
          <w:rFonts w:ascii="Times New Roman" w:hAnsi="Times New Roman" w:cs="Times New Roman"/>
          <w:sz w:val="24"/>
          <w:szCs w:val="24"/>
        </w:rPr>
        <w:t>. A</w:t>
      </w:r>
      <w:r w:rsidRPr="00330E69">
        <w:rPr>
          <w:rFonts w:ascii="Times New Roman" w:hAnsi="Times New Roman" w:cs="Times New Roman"/>
          <w:sz w:val="24"/>
          <w:szCs w:val="24"/>
        </w:rPr>
        <w:t xml:space="preserve">t least one service must be provided for every town of </w:t>
      </w:r>
      <w:r>
        <w:rPr>
          <w:rFonts w:ascii="Times New Roman" w:hAnsi="Times New Roman" w:cs="Times New Roman"/>
          <w:sz w:val="24"/>
          <w:szCs w:val="24"/>
        </w:rPr>
        <w:t>4,000</w:t>
      </w:r>
      <w:r w:rsidRPr="00330E69">
        <w:rPr>
          <w:rFonts w:ascii="Times New Roman" w:hAnsi="Times New Roman" w:cs="Times New Roman"/>
          <w:sz w:val="24"/>
          <w:szCs w:val="24"/>
        </w:rPr>
        <w:t xml:space="preserve"> people or more in a financial year. This requirement will be met if a service is available within </w:t>
      </w:r>
      <w:r>
        <w:rPr>
          <w:rFonts w:ascii="Times New Roman" w:hAnsi="Times New Roman" w:cs="Times New Roman"/>
          <w:sz w:val="24"/>
          <w:szCs w:val="24"/>
        </w:rPr>
        <w:t>150</w:t>
      </w:r>
      <w:r w:rsidRPr="00330E69">
        <w:rPr>
          <w:rFonts w:ascii="Times New Roman" w:hAnsi="Times New Roman" w:cs="Times New Roman"/>
          <w:sz w:val="24"/>
          <w:szCs w:val="24"/>
        </w:rPr>
        <w:t>km of the centre point of the town</w:t>
      </w:r>
      <w:r>
        <w:rPr>
          <w:rFonts w:ascii="Times New Roman" w:hAnsi="Times New Roman" w:cs="Times New Roman"/>
          <w:sz w:val="24"/>
          <w:szCs w:val="24"/>
        </w:rPr>
        <w:t xml:space="preserve">. </w:t>
      </w:r>
      <w:r w:rsidRPr="00330E69">
        <w:rPr>
          <w:rFonts w:ascii="Times New Roman" w:hAnsi="Times New Roman" w:cs="Times New Roman"/>
          <w:sz w:val="24"/>
          <w:szCs w:val="24"/>
        </w:rPr>
        <w:t xml:space="preserve">The greater distance </w:t>
      </w:r>
      <w:r>
        <w:rPr>
          <w:rFonts w:ascii="Times New Roman" w:hAnsi="Times New Roman" w:cs="Times New Roman"/>
          <w:sz w:val="24"/>
          <w:szCs w:val="24"/>
        </w:rPr>
        <w:t xml:space="preserve">for outer regional areas </w:t>
      </w:r>
      <w:r w:rsidRPr="00330E69">
        <w:rPr>
          <w:rFonts w:ascii="Times New Roman" w:hAnsi="Times New Roman" w:cs="Times New Roman"/>
          <w:sz w:val="24"/>
          <w:szCs w:val="24"/>
        </w:rPr>
        <w:t>recognises that it tends to be more costly to provide services in outer regional areas as well as the longer distances that residents are likely to travel on average in order to access goods and services.</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Subregulations</w:t>
      </w:r>
      <w:proofErr w:type="spellEnd"/>
      <w:r>
        <w:rPr>
          <w:rFonts w:ascii="Times New Roman" w:hAnsi="Times New Roman" w:cs="Times New Roman"/>
          <w:sz w:val="24"/>
          <w:szCs w:val="24"/>
        </w:rPr>
        <w:t xml:space="preserve"> 3.03(8) and (9) set out the metric for </w:t>
      </w:r>
      <w:r w:rsidRPr="00330E69">
        <w:rPr>
          <w:rFonts w:ascii="Times New Roman" w:hAnsi="Times New Roman" w:cs="Times New Roman"/>
          <w:sz w:val="24"/>
          <w:szCs w:val="24"/>
        </w:rPr>
        <w:t>remote areas</w:t>
      </w:r>
      <w:r>
        <w:rPr>
          <w:rFonts w:ascii="Times New Roman" w:hAnsi="Times New Roman" w:cs="Times New Roman"/>
          <w:sz w:val="24"/>
          <w:szCs w:val="24"/>
        </w:rPr>
        <w:t>. A</w:t>
      </w:r>
      <w:r w:rsidRPr="00330E69">
        <w:rPr>
          <w:rFonts w:ascii="Times New Roman" w:hAnsi="Times New Roman" w:cs="Times New Roman"/>
          <w:sz w:val="24"/>
          <w:szCs w:val="24"/>
        </w:rPr>
        <w:t xml:space="preserve">t least one service must be provided for every town of </w:t>
      </w:r>
      <w:r>
        <w:rPr>
          <w:rFonts w:ascii="Times New Roman" w:hAnsi="Times New Roman" w:cs="Times New Roman"/>
          <w:sz w:val="24"/>
          <w:szCs w:val="24"/>
        </w:rPr>
        <w:t>2</w:t>
      </w:r>
      <w:r w:rsidRPr="00330E69">
        <w:rPr>
          <w:rFonts w:ascii="Times New Roman" w:hAnsi="Times New Roman" w:cs="Times New Roman"/>
          <w:sz w:val="24"/>
          <w:szCs w:val="24"/>
        </w:rPr>
        <w:t>,000 people or more</w:t>
      </w:r>
      <w:r>
        <w:rPr>
          <w:rFonts w:ascii="Times New Roman" w:hAnsi="Times New Roman" w:cs="Times New Roman"/>
          <w:sz w:val="24"/>
          <w:szCs w:val="24"/>
        </w:rPr>
        <w:t>, once every 2 financial years.</w:t>
      </w:r>
      <w:r w:rsidRPr="00330E69">
        <w:rPr>
          <w:rFonts w:ascii="Times New Roman" w:hAnsi="Times New Roman" w:cs="Times New Roman"/>
          <w:sz w:val="24"/>
          <w:szCs w:val="24"/>
        </w:rPr>
        <w:t xml:space="preserve"> Unlike the other metrics, which refer to services being provided within a financial year, the remote metric provides that a service must be provided every two financial years. This provides flexibility for registration services or occasional take-back events to be used to service remote areas. </w:t>
      </w:r>
    </w:p>
    <w:p w:rsidR="003F4567" w:rsidRPr="00330E69" w:rsidRDefault="003F4567" w:rsidP="003F4567">
      <w:pPr>
        <w:spacing w:after="0" w:line="240" w:lineRule="auto"/>
        <w:rPr>
          <w:rFonts w:ascii="Times New Roman" w:hAnsi="Times New Roman" w:cs="Times New Roman"/>
          <w:b/>
          <w:sz w:val="24"/>
          <w:szCs w:val="24"/>
        </w:rPr>
      </w:pPr>
    </w:p>
    <w:p w:rsidR="003F4567" w:rsidRPr="00FA536A" w:rsidRDefault="003F4567" w:rsidP="003F4567">
      <w:pPr>
        <w:spacing w:after="0" w:line="240" w:lineRule="auto"/>
        <w:rPr>
          <w:rFonts w:ascii="Times New Roman" w:hAnsi="Times New Roman" w:cs="Times New Roman"/>
          <w:b/>
          <w:sz w:val="24"/>
          <w:szCs w:val="24"/>
        </w:rPr>
      </w:pPr>
      <w:r w:rsidRPr="00C34DEB">
        <w:rPr>
          <w:rFonts w:ascii="Times New Roman" w:hAnsi="Times New Roman" w:cs="Times New Roman"/>
          <w:b/>
          <w:sz w:val="24"/>
          <w:szCs w:val="24"/>
        </w:rPr>
        <w:t>Division 3.3 Recycling</w:t>
      </w:r>
      <w:r w:rsidRPr="00FA536A">
        <w:rPr>
          <w:rFonts w:ascii="Times New Roman" w:hAnsi="Times New Roman" w:cs="Times New Roman"/>
          <w:b/>
          <w:sz w:val="24"/>
          <w:szCs w:val="24"/>
        </w:rPr>
        <w:t xml:space="preserve"> </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Regulation 3.04 – Working out recycling targets</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Regulation 3.04 sets out how recycling targets are to be calculated for co-regulatory arrangements.</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Recycling targets start in financial year 2012-2013 and are expressed in weight.</w:t>
      </w:r>
    </w:p>
    <w:p w:rsidR="003F4567" w:rsidRPr="00330E69" w:rsidRDefault="003F4567" w:rsidP="003F4567">
      <w:pPr>
        <w:spacing w:after="0" w:line="240" w:lineRule="auto"/>
        <w:ind w:left="720"/>
        <w:rPr>
          <w:rFonts w:ascii="Times New Roman" w:hAnsi="Times New Roman" w:cs="Times New Roman"/>
          <w:i/>
          <w:sz w:val="24"/>
          <w:szCs w:val="24"/>
        </w:rPr>
      </w:pPr>
    </w:p>
    <w:p w:rsidR="003F4567" w:rsidRPr="00330E69" w:rsidRDefault="003F4567" w:rsidP="003F4567">
      <w:pPr>
        <w:spacing w:after="0" w:line="240" w:lineRule="auto"/>
        <w:ind w:left="720"/>
        <w:rPr>
          <w:rFonts w:ascii="Times New Roman" w:hAnsi="Times New Roman" w:cs="Times New Roman"/>
          <w:i/>
          <w:sz w:val="24"/>
          <w:szCs w:val="24"/>
        </w:rPr>
      </w:pPr>
      <w:r w:rsidRPr="00330E69">
        <w:rPr>
          <w:rFonts w:ascii="Times New Roman" w:hAnsi="Times New Roman" w:cs="Times New Roman"/>
          <w:i/>
          <w:sz w:val="24"/>
          <w:szCs w:val="24"/>
        </w:rPr>
        <w:t xml:space="preserve">Example: In </w:t>
      </w:r>
      <w:r>
        <w:rPr>
          <w:rFonts w:ascii="Times New Roman" w:hAnsi="Times New Roman" w:cs="Times New Roman"/>
          <w:i/>
          <w:sz w:val="24"/>
          <w:szCs w:val="24"/>
        </w:rPr>
        <w:t xml:space="preserve">financial year </w:t>
      </w:r>
      <w:r w:rsidRPr="00330E69">
        <w:rPr>
          <w:rFonts w:ascii="Times New Roman" w:hAnsi="Times New Roman" w:cs="Times New Roman"/>
          <w:i/>
          <w:sz w:val="24"/>
          <w:szCs w:val="24"/>
        </w:rPr>
        <w:t>2012-</w:t>
      </w:r>
      <w:r>
        <w:rPr>
          <w:rFonts w:ascii="Times New Roman" w:hAnsi="Times New Roman" w:cs="Times New Roman"/>
          <w:i/>
          <w:sz w:val="24"/>
          <w:szCs w:val="24"/>
        </w:rPr>
        <w:t>20</w:t>
      </w:r>
      <w:r w:rsidRPr="00330E69">
        <w:rPr>
          <w:rFonts w:ascii="Times New Roman" w:hAnsi="Times New Roman" w:cs="Times New Roman"/>
          <w:i/>
          <w:sz w:val="24"/>
          <w:szCs w:val="24"/>
        </w:rPr>
        <w:t>13, a co-regulatory arrangement’s recycling target may be 10,000 tonnes of end-of-life televisions.</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3.04(1) describes, at the highest level, how a recycling target is calculated.  If it were expressed as a formula, </w:t>
      </w: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3.04(1) would look like this:</w:t>
      </w:r>
    </w:p>
    <w:p w:rsidR="003F4567" w:rsidRPr="00330E69" w:rsidRDefault="003F4567" w:rsidP="003F4567">
      <w:pPr>
        <w:spacing w:after="0" w:line="240" w:lineRule="auto"/>
        <w:rPr>
          <w:rFonts w:ascii="Times New Roman" w:hAnsi="Times New Roman" w:cs="Times New Roman"/>
          <w:sz w:val="24"/>
          <w:szCs w:val="24"/>
        </w:rPr>
      </w:pPr>
    </w:p>
    <w:tbl>
      <w:tblPr>
        <w:tblStyle w:val="TableGrid"/>
        <w:tblW w:w="804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283"/>
        <w:gridCol w:w="1134"/>
        <w:gridCol w:w="425"/>
        <w:gridCol w:w="2977"/>
      </w:tblGrid>
      <w:tr w:rsidR="003F4567" w:rsidRPr="00D568E8" w:rsidTr="00A543CF">
        <w:trPr>
          <w:trHeight w:val="828"/>
        </w:trPr>
        <w:tc>
          <w:tcPr>
            <w:tcW w:w="3227" w:type="dxa"/>
          </w:tcPr>
          <w:p w:rsidR="003F4567" w:rsidRPr="00D568E8" w:rsidRDefault="003F4567" w:rsidP="00A543CF">
            <w:pPr>
              <w:ind w:left="-108"/>
              <w:jc w:val="center"/>
              <w:rPr>
                <w:i/>
                <w:sz w:val="24"/>
                <w:szCs w:val="24"/>
                <w:lang w:val="en-US"/>
              </w:rPr>
            </w:pPr>
            <w:r w:rsidRPr="00D568E8">
              <w:rPr>
                <w:i/>
                <w:sz w:val="24"/>
                <w:szCs w:val="24"/>
                <w:lang w:val="en-US"/>
              </w:rPr>
              <w:lastRenderedPageBreak/>
              <w:t xml:space="preserve">Recycling target for </w:t>
            </w:r>
            <w:r w:rsidRPr="00D568E8">
              <w:rPr>
                <w:i/>
                <w:sz w:val="24"/>
                <w:szCs w:val="24"/>
                <w:lang w:val="en-US"/>
              </w:rPr>
              <w:br/>
              <w:t>Co-regulatory Arrangement</w:t>
            </w:r>
          </w:p>
        </w:tc>
        <w:tc>
          <w:tcPr>
            <w:tcW w:w="283" w:type="dxa"/>
            <w:vAlign w:val="center"/>
          </w:tcPr>
          <w:p w:rsidR="003F4567" w:rsidRPr="00D568E8" w:rsidRDefault="003F4567" w:rsidP="00A543CF">
            <w:pPr>
              <w:ind w:left="-108"/>
              <w:jc w:val="center"/>
              <w:rPr>
                <w:i/>
                <w:sz w:val="24"/>
                <w:szCs w:val="24"/>
                <w:lang w:val="en-US"/>
              </w:rPr>
            </w:pPr>
            <w:r w:rsidRPr="00D568E8">
              <w:rPr>
                <w:i/>
                <w:sz w:val="24"/>
                <w:szCs w:val="24"/>
                <w:lang w:val="en-US"/>
              </w:rPr>
              <w:t>=</w:t>
            </w:r>
          </w:p>
        </w:tc>
        <w:tc>
          <w:tcPr>
            <w:tcW w:w="1134" w:type="dxa"/>
            <w:vAlign w:val="center"/>
          </w:tcPr>
          <w:p w:rsidR="003F4567" w:rsidRPr="00D568E8" w:rsidRDefault="003F4567" w:rsidP="00A543CF">
            <w:pPr>
              <w:ind w:left="-108"/>
              <w:jc w:val="center"/>
              <w:rPr>
                <w:i/>
                <w:sz w:val="24"/>
                <w:szCs w:val="24"/>
                <w:lang w:val="en-US"/>
              </w:rPr>
            </w:pPr>
            <w:r w:rsidRPr="00D568E8">
              <w:rPr>
                <w:i/>
                <w:sz w:val="24"/>
                <w:szCs w:val="24"/>
                <w:lang w:val="en-US"/>
              </w:rPr>
              <w:t>Scheme Target</w:t>
            </w:r>
          </w:p>
        </w:tc>
        <w:tc>
          <w:tcPr>
            <w:tcW w:w="425" w:type="dxa"/>
            <w:vAlign w:val="center"/>
          </w:tcPr>
          <w:p w:rsidR="003F4567" w:rsidRPr="00D568E8" w:rsidRDefault="003F4567" w:rsidP="00A543CF">
            <w:pPr>
              <w:ind w:left="-108"/>
              <w:jc w:val="center"/>
              <w:rPr>
                <w:i/>
                <w:sz w:val="24"/>
                <w:szCs w:val="24"/>
                <w:lang w:val="en-US"/>
              </w:rPr>
            </w:pPr>
            <w:r w:rsidRPr="00D568E8">
              <w:rPr>
                <w:i/>
                <w:sz w:val="24"/>
                <w:szCs w:val="24"/>
                <w:lang w:val="en-US"/>
              </w:rPr>
              <w:t>x</w:t>
            </w:r>
          </w:p>
        </w:tc>
        <w:tc>
          <w:tcPr>
            <w:tcW w:w="2977" w:type="dxa"/>
            <w:vAlign w:val="center"/>
          </w:tcPr>
          <w:p w:rsidR="003F4567" w:rsidRPr="00D568E8" w:rsidRDefault="003F4567" w:rsidP="00A543CF">
            <w:pPr>
              <w:ind w:left="-108"/>
              <w:jc w:val="center"/>
              <w:rPr>
                <w:i/>
                <w:sz w:val="24"/>
                <w:szCs w:val="24"/>
                <w:lang w:val="en-US"/>
              </w:rPr>
            </w:pPr>
            <w:r w:rsidRPr="00D568E8">
              <w:rPr>
                <w:i/>
                <w:sz w:val="24"/>
                <w:szCs w:val="24"/>
                <w:lang w:val="en-US"/>
              </w:rPr>
              <w:t>Import/Manufacture Share of Members</w:t>
            </w:r>
          </w:p>
        </w:tc>
      </w:tr>
    </w:tbl>
    <w:p w:rsidR="003F4567" w:rsidRPr="00330E69" w:rsidRDefault="003F4567" w:rsidP="003F4567">
      <w:pPr>
        <w:spacing w:after="0" w:line="240" w:lineRule="auto"/>
        <w:rPr>
          <w:rFonts w:ascii="Times New Roman" w:hAnsi="Times New Roman" w:cs="Times New Roman"/>
          <w:sz w:val="24"/>
          <w:szCs w:val="24"/>
        </w:rPr>
      </w:pPr>
    </w:p>
    <w:p w:rsidR="003F4567" w:rsidRPr="00AB04FA" w:rsidRDefault="003F4567" w:rsidP="003F4567">
      <w:pPr>
        <w:spacing w:after="0" w:line="240" w:lineRule="auto"/>
        <w:rPr>
          <w:rFonts w:ascii="Times New Roman" w:hAnsi="Times New Roman" w:cs="Times New Roman"/>
          <w:i/>
          <w:sz w:val="24"/>
          <w:szCs w:val="24"/>
          <w:u w:val="single"/>
        </w:rPr>
      </w:pPr>
      <w:r w:rsidRPr="00AB04FA">
        <w:rPr>
          <w:rFonts w:ascii="Times New Roman" w:hAnsi="Times New Roman" w:cs="Times New Roman"/>
          <w:i/>
          <w:sz w:val="24"/>
          <w:szCs w:val="24"/>
          <w:u w:val="single"/>
        </w:rPr>
        <w:t>Scheme Target</w:t>
      </w:r>
    </w:p>
    <w:p w:rsidR="003F4567"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3.04(2) describes how the first element, the scheme target, is calculated. The scheme target is the overall target for the National Television and Computer </w:t>
      </w:r>
      <w:r>
        <w:rPr>
          <w:rFonts w:ascii="Times New Roman" w:hAnsi="Times New Roman" w:cs="Times New Roman"/>
          <w:sz w:val="24"/>
          <w:szCs w:val="24"/>
        </w:rPr>
        <w:t xml:space="preserve">Recycling </w:t>
      </w:r>
      <w:r w:rsidRPr="00330E69">
        <w:rPr>
          <w:rFonts w:ascii="Times New Roman" w:hAnsi="Times New Roman" w:cs="Times New Roman"/>
          <w:sz w:val="24"/>
          <w:szCs w:val="24"/>
        </w:rPr>
        <w:t>Scheme as a whole. The Minister will publish the scheme target</w:t>
      </w:r>
      <w:r>
        <w:rPr>
          <w:rFonts w:ascii="Times New Roman" w:hAnsi="Times New Roman" w:cs="Times New Roman"/>
          <w:sz w:val="24"/>
          <w:szCs w:val="24"/>
        </w:rPr>
        <w:t xml:space="preserve"> </w:t>
      </w:r>
      <w:r w:rsidRPr="00330E69">
        <w:rPr>
          <w:rFonts w:ascii="Times New Roman" w:hAnsi="Times New Roman" w:cs="Times New Roman"/>
          <w:sz w:val="24"/>
          <w:szCs w:val="24"/>
        </w:rPr>
        <w:t>each year</w:t>
      </w:r>
      <w:r>
        <w:rPr>
          <w:rFonts w:ascii="Times New Roman" w:hAnsi="Times New Roman" w:cs="Times New Roman"/>
          <w:sz w:val="24"/>
          <w:szCs w:val="24"/>
        </w:rPr>
        <w:t xml:space="preserve"> on the Department’s website</w:t>
      </w:r>
      <w:r w:rsidRPr="00330E69">
        <w:rPr>
          <w:rFonts w:ascii="Times New Roman" w:hAnsi="Times New Roman" w:cs="Times New Roman"/>
          <w:sz w:val="24"/>
          <w:szCs w:val="24"/>
        </w:rPr>
        <w:t>. In practice the publication functions of these Regulations may be performed by a delegate of the Minister provided for under section 110 of the Act.</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If it were expressed as a formula, </w:t>
      </w: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3.04(2) would look like this:</w:t>
      </w:r>
    </w:p>
    <w:p w:rsidR="003F4567" w:rsidRPr="00D568E8" w:rsidRDefault="003F4567" w:rsidP="003F4567">
      <w:pPr>
        <w:spacing w:after="0" w:line="240" w:lineRule="auto"/>
        <w:rPr>
          <w:rFonts w:ascii="Times New Roman" w:hAnsi="Times New Roman" w:cs="Times New Roman"/>
          <w:sz w:val="24"/>
          <w:szCs w:val="24"/>
        </w:rPr>
      </w:pPr>
    </w:p>
    <w:tbl>
      <w:tblPr>
        <w:tblStyle w:val="TableGrid"/>
        <w:tblW w:w="8111"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284"/>
        <w:gridCol w:w="3150"/>
        <w:gridCol w:w="425"/>
        <w:gridCol w:w="3118"/>
      </w:tblGrid>
      <w:tr w:rsidR="003F4567" w:rsidRPr="00D568E8" w:rsidTr="00A543CF">
        <w:trPr>
          <w:trHeight w:val="904"/>
        </w:trPr>
        <w:tc>
          <w:tcPr>
            <w:tcW w:w="1134" w:type="dxa"/>
            <w:vAlign w:val="center"/>
          </w:tcPr>
          <w:p w:rsidR="003F4567" w:rsidRPr="00D568E8" w:rsidRDefault="003F4567" w:rsidP="00A543CF">
            <w:pPr>
              <w:ind w:left="-249"/>
              <w:jc w:val="center"/>
              <w:rPr>
                <w:i/>
                <w:sz w:val="24"/>
                <w:szCs w:val="24"/>
                <w:lang w:val="en-US"/>
              </w:rPr>
            </w:pPr>
            <w:r w:rsidRPr="00D568E8">
              <w:rPr>
                <w:i/>
                <w:sz w:val="24"/>
                <w:szCs w:val="24"/>
                <w:lang w:val="en-US"/>
              </w:rPr>
              <w:t xml:space="preserve">  Scheme Target</w:t>
            </w:r>
          </w:p>
        </w:tc>
        <w:tc>
          <w:tcPr>
            <w:tcW w:w="284" w:type="dxa"/>
            <w:vAlign w:val="center"/>
          </w:tcPr>
          <w:p w:rsidR="003F4567" w:rsidRPr="00D568E8" w:rsidRDefault="003F4567" w:rsidP="00A543CF">
            <w:pPr>
              <w:ind w:left="1276"/>
              <w:jc w:val="center"/>
              <w:rPr>
                <w:i/>
                <w:sz w:val="24"/>
                <w:szCs w:val="24"/>
                <w:lang w:val="en-US"/>
              </w:rPr>
            </w:pPr>
            <w:r w:rsidRPr="00D568E8">
              <w:rPr>
                <w:i/>
                <w:sz w:val="24"/>
                <w:szCs w:val="24"/>
                <w:lang w:val="en-US"/>
              </w:rPr>
              <w:t>=</w:t>
            </w:r>
          </w:p>
          <w:p w:rsidR="003F4567" w:rsidRPr="00D568E8" w:rsidRDefault="003F4567" w:rsidP="00A543CF">
            <w:pPr>
              <w:jc w:val="center"/>
              <w:rPr>
                <w:i/>
                <w:sz w:val="24"/>
                <w:szCs w:val="24"/>
                <w:lang w:val="en-US"/>
              </w:rPr>
            </w:pPr>
            <w:r w:rsidRPr="00D568E8">
              <w:rPr>
                <w:i/>
                <w:sz w:val="24"/>
                <w:szCs w:val="24"/>
                <w:lang w:val="en-US"/>
              </w:rPr>
              <w:t>=</w:t>
            </w:r>
          </w:p>
        </w:tc>
        <w:tc>
          <w:tcPr>
            <w:tcW w:w="3150" w:type="dxa"/>
            <w:vAlign w:val="center"/>
          </w:tcPr>
          <w:p w:rsidR="003F4567" w:rsidRPr="00D568E8" w:rsidRDefault="003F4567" w:rsidP="00A543CF">
            <w:pPr>
              <w:jc w:val="center"/>
              <w:rPr>
                <w:i/>
                <w:sz w:val="24"/>
                <w:szCs w:val="24"/>
                <w:lang w:val="en-US"/>
              </w:rPr>
            </w:pPr>
            <w:r w:rsidRPr="00D568E8">
              <w:rPr>
                <w:i/>
                <w:sz w:val="24"/>
                <w:szCs w:val="24"/>
                <w:lang w:val="en-US"/>
              </w:rPr>
              <w:t>Percentage target for the year</w:t>
            </w:r>
          </w:p>
          <w:p w:rsidR="003F4567" w:rsidRPr="00D568E8" w:rsidRDefault="003F4567" w:rsidP="00A543CF">
            <w:pPr>
              <w:jc w:val="center"/>
              <w:rPr>
                <w:i/>
                <w:sz w:val="24"/>
                <w:szCs w:val="24"/>
                <w:lang w:val="en-US"/>
              </w:rPr>
            </w:pPr>
            <w:r w:rsidRPr="00D568E8">
              <w:rPr>
                <w:sz w:val="24"/>
                <w:szCs w:val="24"/>
                <w:lang w:val="en-US"/>
              </w:rPr>
              <w:t>(set out in Schedule 2)</w:t>
            </w:r>
          </w:p>
        </w:tc>
        <w:tc>
          <w:tcPr>
            <w:tcW w:w="425" w:type="dxa"/>
            <w:vAlign w:val="center"/>
          </w:tcPr>
          <w:p w:rsidR="003F4567" w:rsidRPr="00D568E8" w:rsidRDefault="003F4567" w:rsidP="00A543CF">
            <w:pPr>
              <w:jc w:val="center"/>
              <w:rPr>
                <w:i/>
                <w:sz w:val="24"/>
                <w:szCs w:val="24"/>
                <w:lang w:val="en-US"/>
              </w:rPr>
            </w:pPr>
            <w:r w:rsidRPr="00D568E8">
              <w:rPr>
                <w:i/>
                <w:sz w:val="24"/>
                <w:szCs w:val="24"/>
                <w:lang w:val="en-US"/>
              </w:rPr>
              <w:t>x</w:t>
            </w:r>
          </w:p>
        </w:tc>
        <w:tc>
          <w:tcPr>
            <w:tcW w:w="3118" w:type="dxa"/>
            <w:vAlign w:val="center"/>
          </w:tcPr>
          <w:p w:rsidR="003F4567" w:rsidRPr="00D568E8" w:rsidRDefault="003F4567" w:rsidP="00A543CF">
            <w:pPr>
              <w:jc w:val="center"/>
              <w:rPr>
                <w:sz w:val="24"/>
                <w:szCs w:val="24"/>
                <w:lang w:val="en-US"/>
              </w:rPr>
            </w:pPr>
            <w:r w:rsidRPr="00D568E8">
              <w:rPr>
                <w:i/>
                <w:sz w:val="24"/>
                <w:szCs w:val="24"/>
                <w:lang w:val="en-US"/>
              </w:rPr>
              <w:t>Waste arising</w:t>
            </w:r>
          </w:p>
          <w:p w:rsidR="003F4567" w:rsidRPr="00D568E8" w:rsidRDefault="003F4567" w:rsidP="00A543CF">
            <w:pPr>
              <w:jc w:val="center"/>
              <w:rPr>
                <w:sz w:val="24"/>
                <w:szCs w:val="24"/>
                <w:lang w:val="en-US"/>
              </w:rPr>
            </w:pPr>
            <w:r w:rsidRPr="00D568E8">
              <w:rPr>
                <w:sz w:val="24"/>
                <w:szCs w:val="24"/>
                <w:lang w:val="en-US"/>
              </w:rPr>
              <w:t xml:space="preserve">(calculated under </w:t>
            </w:r>
          </w:p>
          <w:p w:rsidR="003F4567" w:rsidRPr="00D568E8" w:rsidRDefault="003F4567" w:rsidP="00A543CF">
            <w:pPr>
              <w:jc w:val="center"/>
              <w:rPr>
                <w:i/>
                <w:sz w:val="24"/>
                <w:szCs w:val="24"/>
                <w:lang w:val="en-US"/>
              </w:rPr>
            </w:pPr>
            <w:proofErr w:type="spellStart"/>
            <w:r w:rsidRPr="00D568E8">
              <w:rPr>
                <w:sz w:val="24"/>
                <w:szCs w:val="24"/>
                <w:lang w:val="en-US"/>
              </w:rPr>
              <w:t>subregulation</w:t>
            </w:r>
            <w:proofErr w:type="spellEnd"/>
            <w:r w:rsidRPr="00D568E8">
              <w:rPr>
                <w:sz w:val="24"/>
                <w:szCs w:val="24"/>
                <w:lang w:val="en-US"/>
              </w:rPr>
              <w:t xml:space="preserve"> 3.04(3))</w:t>
            </w:r>
          </w:p>
        </w:tc>
      </w:tr>
    </w:tbl>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br/>
        <w:t xml:space="preserve">The percentage targets in Schedule 2 start at 30% in financial year 2012-2013 and increase to 80% in financial year 2021-2022. There is no target for </w:t>
      </w:r>
      <w:r>
        <w:rPr>
          <w:rFonts w:ascii="Times New Roman" w:hAnsi="Times New Roman" w:cs="Times New Roman"/>
          <w:sz w:val="24"/>
          <w:szCs w:val="24"/>
        </w:rPr>
        <w:t xml:space="preserve">financial year </w:t>
      </w:r>
      <w:r w:rsidRPr="00330E69">
        <w:rPr>
          <w:rFonts w:ascii="Times New Roman" w:hAnsi="Times New Roman" w:cs="Times New Roman"/>
          <w:sz w:val="24"/>
          <w:szCs w:val="24"/>
        </w:rPr>
        <w:t xml:space="preserve">2011-2012, but recycling in 2011-2012 may be counted towards the </w:t>
      </w:r>
      <w:r>
        <w:rPr>
          <w:rFonts w:ascii="Times New Roman" w:hAnsi="Times New Roman" w:cs="Times New Roman"/>
          <w:sz w:val="24"/>
          <w:szCs w:val="24"/>
        </w:rPr>
        <w:t xml:space="preserve">financial year </w:t>
      </w:r>
      <w:r w:rsidRPr="00330E69">
        <w:rPr>
          <w:rFonts w:ascii="Times New Roman" w:hAnsi="Times New Roman" w:cs="Times New Roman"/>
          <w:sz w:val="24"/>
          <w:szCs w:val="24"/>
        </w:rPr>
        <w:t>2012-2013 recycling target (see regulation 3.05).</w:t>
      </w:r>
    </w:p>
    <w:p w:rsidR="003F4567" w:rsidRPr="00330E69" w:rsidRDefault="003F4567" w:rsidP="003F4567">
      <w:pPr>
        <w:spacing w:after="0" w:line="240" w:lineRule="auto"/>
        <w:rPr>
          <w:rFonts w:ascii="Times New Roman" w:hAnsi="Times New Roman" w:cs="Times New Roman"/>
          <w:sz w:val="24"/>
          <w:szCs w:val="24"/>
        </w:rPr>
      </w:pPr>
    </w:p>
    <w:p w:rsidR="003F4567" w:rsidRPr="00AB04FA" w:rsidRDefault="003F4567" w:rsidP="003F4567">
      <w:pPr>
        <w:spacing w:after="0" w:line="240" w:lineRule="auto"/>
        <w:rPr>
          <w:rFonts w:ascii="Times New Roman" w:hAnsi="Times New Roman" w:cs="Times New Roman"/>
          <w:i/>
          <w:sz w:val="24"/>
          <w:szCs w:val="24"/>
          <w:u w:val="single"/>
        </w:rPr>
      </w:pPr>
      <w:r w:rsidRPr="00AB04FA">
        <w:rPr>
          <w:rFonts w:ascii="Times New Roman" w:hAnsi="Times New Roman" w:cs="Times New Roman"/>
          <w:i/>
          <w:sz w:val="24"/>
          <w:szCs w:val="24"/>
          <w:u w:val="single"/>
        </w:rPr>
        <w:t>Waste arising</w:t>
      </w:r>
    </w:p>
    <w:p w:rsidR="003F4567"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Waste arising represents the weight of additional waste products that are expected to be generated in any financial year. </w:t>
      </w: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3.04(3) describes how waste arising is to be calculated.  If it were expressed as a formula, </w:t>
      </w: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3.04(3) would look like this:</w:t>
      </w:r>
    </w:p>
    <w:p w:rsidR="003F4567" w:rsidRPr="00330E69" w:rsidRDefault="003F4567" w:rsidP="003F4567">
      <w:pPr>
        <w:spacing w:after="0" w:line="240" w:lineRule="auto"/>
        <w:rPr>
          <w:rFonts w:ascii="Times New Roman" w:hAnsi="Times New Roman" w:cs="Times New Roman"/>
          <w:sz w:val="24"/>
          <w:szCs w:val="24"/>
        </w:rPr>
      </w:pPr>
    </w:p>
    <w:tbl>
      <w:tblPr>
        <w:tblStyle w:val="TableGrid"/>
        <w:tblW w:w="5529"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61"/>
        <w:gridCol w:w="284"/>
        <w:gridCol w:w="2299"/>
        <w:gridCol w:w="709"/>
        <w:gridCol w:w="1276"/>
      </w:tblGrid>
      <w:tr w:rsidR="003F4567" w:rsidRPr="00D568E8" w:rsidTr="00A543CF">
        <w:trPr>
          <w:trHeight w:val="1436"/>
        </w:trPr>
        <w:tc>
          <w:tcPr>
            <w:tcW w:w="961" w:type="dxa"/>
            <w:vMerge w:val="restart"/>
            <w:vAlign w:val="center"/>
          </w:tcPr>
          <w:p w:rsidR="003F4567" w:rsidRPr="00D568E8" w:rsidRDefault="003F4567" w:rsidP="00A543CF">
            <w:pPr>
              <w:rPr>
                <w:i/>
                <w:sz w:val="24"/>
                <w:szCs w:val="24"/>
                <w:lang w:val="en-US"/>
              </w:rPr>
            </w:pPr>
          </w:p>
          <w:p w:rsidR="003F4567" w:rsidRPr="00D568E8" w:rsidRDefault="003F4567" w:rsidP="00A543CF">
            <w:pPr>
              <w:jc w:val="center"/>
              <w:rPr>
                <w:i/>
                <w:sz w:val="24"/>
                <w:szCs w:val="24"/>
                <w:lang w:val="en-US"/>
              </w:rPr>
            </w:pPr>
          </w:p>
          <w:p w:rsidR="003F4567" w:rsidRPr="00D568E8" w:rsidRDefault="003F4567" w:rsidP="00A543CF">
            <w:pPr>
              <w:jc w:val="center"/>
              <w:rPr>
                <w:i/>
                <w:sz w:val="24"/>
                <w:szCs w:val="24"/>
                <w:lang w:val="en-US"/>
              </w:rPr>
            </w:pPr>
          </w:p>
          <w:p w:rsidR="003F4567" w:rsidRPr="00D568E8" w:rsidRDefault="003F4567" w:rsidP="00A543CF">
            <w:pPr>
              <w:ind w:left="-108"/>
              <w:jc w:val="center"/>
              <w:rPr>
                <w:i/>
                <w:sz w:val="24"/>
                <w:szCs w:val="24"/>
                <w:lang w:val="en-US"/>
              </w:rPr>
            </w:pPr>
            <w:r w:rsidRPr="00D568E8">
              <w:rPr>
                <w:i/>
                <w:sz w:val="24"/>
                <w:szCs w:val="24"/>
                <w:lang w:val="en-US"/>
              </w:rPr>
              <w:t>Waste arising</w:t>
            </w:r>
          </w:p>
        </w:tc>
        <w:tc>
          <w:tcPr>
            <w:tcW w:w="284" w:type="dxa"/>
            <w:vMerge w:val="restart"/>
            <w:vAlign w:val="center"/>
          </w:tcPr>
          <w:p w:rsidR="003F4567" w:rsidRPr="00D568E8" w:rsidRDefault="003F4567" w:rsidP="00A543CF">
            <w:pPr>
              <w:ind w:left="1276"/>
              <w:rPr>
                <w:i/>
                <w:sz w:val="24"/>
                <w:szCs w:val="24"/>
                <w:lang w:val="en-US"/>
              </w:rPr>
            </w:pPr>
            <w:r w:rsidRPr="00D568E8">
              <w:rPr>
                <w:i/>
                <w:sz w:val="24"/>
                <w:szCs w:val="24"/>
                <w:lang w:val="en-US"/>
              </w:rPr>
              <w:t>=</w:t>
            </w:r>
          </w:p>
          <w:p w:rsidR="003F4567" w:rsidRPr="00D568E8" w:rsidRDefault="003F4567" w:rsidP="00A543CF">
            <w:pPr>
              <w:rPr>
                <w:i/>
                <w:sz w:val="24"/>
                <w:szCs w:val="24"/>
                <w:lang w:val="en-US"/>
              </w:rPr>
            </w:pPr>
          </w:p>
          <w:p w:rsidR="003F4567" w:rsidRPr="00D568E8" w:rsidRDefault="003F4567" w:rsidP="00A543CF">
            <w:pPr>
              <w:rPr>
                <w:i/>
                <w:sz w:val="24"/>
                <w:szCs w:val="24"/>
                <w:lang w:val="en-US"/>
              </w:rPr>
            </w:pPr>
          </w:p>
          <w:p w:rsidR="003F4567" w:rsidRPr="00D568E8" w:rsidRDefault="003F4567" w:rsidP="00A543CF">
            <w:pPr>
              <w:ind w:hanging="76"/>
              <w:rPr>
                <w:i/>
                <w:sz w:val="24"/>
                <w:szCs w:val="24"/>
                <w:lang w:val="en-US"/>
              </w:rPr>
            </w:pPr>
            <w:r w:rsidRPr="00D568E8">
              <w:rPr>
                <w:i/>
                <w:sz w:val="24"/>
                <w:szCs w:val="24"/>
                <w:lang w:val="en-US"/>
              </w:rPr>
              <w:t>=</w:t>
            </w:r>
          </w:p>
        </w:tc>
        <w:tc>
          <w:tcPr>
            <w:tcW w:w="2299" w:type="dxa"/>
            <w:tcBorders>
              <w:bottom w:val="single" w:sz="4" w:space="0" w:color="auto"/>
            </w:tcBorders>
            <w:vAlign w:val="center"/>
          </w:tcPr>
          <w:p w:rsidR="003F4567" w:rsidRPr="00D568E8" w:rsidRDefault="003F4567" w:rsidP="00A543CF">
            <w:pPr>
              <w:jc w:val="center"/>
              <w:rPr>
                <w:i/>
                <w:sz w:val="24"/>
                <w:szCs w:val="24"/>
                <w:lang w:val="en-US"/>
              </w:rPr>
            </w:pPr>
            <w:r w:rsidRPr="00D568E8">
              <w:rPr>
                <w:i/>
                <w:sz w:val="24"/>
                <w:szCs w:val="24"/>
                <w:lang w:val="en-US"/>
              </w:rPr>
              <w:t xml:space="preserve">Total converted weight of products in the product class </w:t>
            </w:r>
          </w:p>
          <w:p w:rsidR="003F4567" w:rsidRPr="00D568E8" w:rsidRDefault="003F4567" w:rsidP="00A543CF">
            <w:pPr>
              <w:jc w:val="center"/>
              <w:rPr>
                <w:i/>
                <w:sz w:val="24"/>
                <w:szCs w:val="24"/>
                <w:lang w:val="en-US"/>
              </w:rPr>
            </w:pPr>
            <w:r w:rsidRPr="00D568E8">
              <w:rPr>
                <w:i/>
                <w:sz w:val="24"/>
                <w:szCs w:val="24"/>
                <w:lang w:val="en-US"/>
              </w:rPr>
              <w:t xml:space="preserve">over the last 3 </w:t>
            </w:r>
          </w:p>
          <w:p w:rsidR="003F4567" w:rsidRPr="00D568E8" w:rsidRDefault="003F4567" w:rsidP="00A543CF">
            <w:pPr>
              <w:jc w:val="center"/>
              <w:rPr>
                <w:i/>
                <w:sz w:val="24"/>
                <w:szCs w:val="24"/>
                <w:lang w:val="en-US"/>
              </w:rPr>
            </w:pPr>
            <w:r w:rsidRPr="00D568E8">
              <w:rPr>
                <w:i/>
                <w:sz w:val="24"/>
                <w:szCs w:val="24"/>
                <w:lang w:val="en-US"/>
              </w:rPr>
              <w:t>financial years</w:t>
            </w:r>
          </w:p>
        </w:tc>
        <w:tc>
          <w:tcPr>
            <w:tcW w:w="709" w:type="dxa"/>
            <w:vMerge w:val="restart"/>
            <w:vAlign w:val="center"/>
          </w:tcPr>
          <w:p w:rsidR="003F4567" w:rsidRPr="00D568E8" w:rsidRDefault="003F4567" w:rsidP="00A543CF">
            <w:pPr>
              <w:jc w:val="center"/>
              <w:rPr>
                <w:i/>
                <w:sz w:val="24"/>
                <w:szCs w:val="24"/>
                <w:lang w:val="en-US"/>
              </w:rPr>
            </w:pPr>
          </w:p>
          <w:p w:rsidR="003F4567" w:rsidRPr="00D568E8" w:rsidRDefault="003F4567" w:rsidP="00A543CF">
            <w:pPr>
              <w:jc w:val="center"/>
              <w:rPr>
                <w:i/>
                <w:sz w:val="24"/>
                <w:szCs w:val="24"/>
                <w:lang w:val="en-US"/>
              </w:rPr>
            </w:pPr>
          </w:p>
          <w:p w:rsidR="003F4567" w:rsidRPr="00D568E8" w:rsidRDefault="003F4567" w:rsidP="00A543CF">
            <w:pPr>
              <w:jc w:val="center"/>
              <w:rPr>
                <w:i/>
                <w:sz w:val="24"/>
                <w:szCs w:val="24"/>
                <w:lang w:val="en-US"/>
              </w:rPr>
            </w:pPr>
          </w:p>
          <w:p w:rsidR="003F4567" w:rsidRPr="00D568E8" w:rsidRDefault="003F4567" w:rsidP="00A543CF">
            <w:pPr>
              <w:jc w:val="center"/>
              <w:rPr>
                <w:i/>
                <w:sz w:val="24"/>
                <w:szCs w:val="24"/>
                <w:lang w:val="en-US"/>
              </w:rPr>
            </w:pPr>
            <w:r w:rsidRPr="00D568E8">
              <w:rPr>
                <w:i/>
                <w:sz w:val="24"/>
                <w:szCs w:val="24"/>
                <w:lang w:val="en-US"/>
              </w:rPr>
              <w:t>x</w:t>
            </w:r>
          </w:p>
        </w:tc>
        <w:tc>
          <w:tcPr>
            <w:tcW w:w="1276" w:type="dxa"/>
            <w:vMerge w:val="restart"/>
            <w:vAlign w:val="center"/>
          </w:tcPr>
          <w:p w:rsidR="003F4567" w:rsidRPr="00D568E8" w:rsidRDefault="003F4567" w:rsidP="00A543CF">
            <w:pPr>
              <w:jc w:val="center"/>
              <w:rPr>
                <w:sz w:val="24"/>
                <w:szCs w:val="24"/>
                <w:lang w:val="en-US"/>
              </w:rPr>
            </w:pPr>
          </w:p>
          <w:p w:rsidR="003F4567" w:rsidRPr="00D568E8" w:rsidRDefault="003F4567" w:rsidP="00A543CF">
            <w:pPr>
              <w:jc w:val="center"/>
              <w:rPr>
                <w:sz w:val="24"/>
                <w:szCs w:val="24"/>
                <w:lang w:val="en-US"/>
              </w:rPr>
            </w:pPr>
          </w:p>
          <w:p w:rsidR="003F4567" w:rsidRPr="00D568E8" w:rsidRDefault="003F4567" w:rsidP="00A543CF">
            <w:pPr>
              <w:jc w:val="center"/>
              <w:rPr>
                <w:sz w:val="24"/>
                <w:szCs w:val="24"/>
                <w:lang w:val="en-US"/>
              </w:rPr>
            </w:pPr>
          </w:p>
          <w:p w:rsidR="003F4567" w:rsidRPr="00D568E8" w:rsidRDefault="003F4567" w:rsidP="00A543CF">
            <w:pPr>
              <w:jc w:val="center"/>
              <w:rPr>
                <w:i/>
                <w:sz w:val="24"/>
                <w:szCs w:val="24"/>
                <w:lang w:val="en-US"/>
              </w:rPr>
            </w:pPr>
            <w:r w:rsidRPr="00D568E8">
              <w:rPr>
                <w:sz w:val="24"/>
                <w:szCs w:val="24"/>
                <w:lang w:val="en-US"/>
              </w:rPr>
              <w:t>0.9</w:t>
            </w:r>
          </w:p>
        </w:tc>
      </w:tr>
      <w:tr w:rsidR="003F4567" w:rsidRPr="00330E69" w:rsidTr="00A543CF">
        <w:trPr>
          <w:trHeight w:val="319"/>
        </w:trPr>
        <w:tc>
          <w:tcPr>
            <w:tcW w:w="961" w:type="dxa"/>
            <w:vMerge/>
            <w:vAlign w:val="center"/>
          </w:tcPr>
          <w:p w:rsidR="003F4567" w:rsidRPr="00330E69" w:rsidRDefault="003F4567" w:rsidP="00A543CF">
            <w:pPr>
              <w:jc w:val="center"/>
              <w:rPr>
                <w:b/>
                <w:i/>
                <w:sz w:val="24"/>
                <w:szCs w:val="24"/>
                <w:lang w:val="en-US"/>
              </w:rPr>
            </w:pPr>
          </w:p>
        </w:tc>
        <w:tc>
          <w:tcPr>
            <w:tcW w:w="284" w:type="dxa"/>
            <w:vMerge/>
            <w:vAlign w:val="center"/>
          </w:tcPr>
          <w:p w:rsidR="003F4567" w:rsidRPr="00330E69" w:rsidRDefault="003F4567" w:rsidP="00A543CF">
            <w:pPr>
              <w:ind w:left="1276"/>
              <w:jc w:val="center"/>
              <w:rPr>
                <w:b/>
                <w:i/>
                <w:sz w:val="24"/>
                <w:szCs w:val="24"/>
                <w:lang w:val="en-US"/>
              </w:rPr>
            </w:pPr>
          </w:p>
        </w:tc>
        <w:tc>
          <w:tcPr>
            <w:tcW w:w="2299" w:type="dxa"/>
            <w:tcBorders>
              <w:top w:val="single" w:sz="4" w:space="0" w:color="auto"/>
            </w:tcBorders>
            <w:vAlign w:val="center"/>
          </w:tcPr>
          <w:p w:rsidR="003F4567" w:rsidRPr="00D568E8" w:rsidRDefault="003F4567" w:rsidP="00A543CF">
            <w:pPr>
              <w:jc w:val="center"/>
              <w:rPr>
                <w:i/>
                <w:sz w:val="24"/>
                <w:szCs w:val="24"/>
                <w:lang w:val="en-US"/>
              </w:rPr>
            </w:pPr>
            <w:r w:rsidRPr="00D568E8">
              <w:rPr>
                <w:i/>
                <w:sz w:val="24"/>
                <w:szCs w:val="24"/>
                <w:lang w:val="en-US"/>
              </w:rPr>
              <w:t>3</w:t>
            </w:r>
          </w:p>
        </w:tc>
        <w:tc>
          <w:tcPr>
            <w:tcW w:w="709" w:type="dxa"/>
            <w:vMerge/>
            <w:vAlign w:val="center"/>
          </w:tcPr>
          <w:p w:rsidR="003F4567" w:rsidRPr="00330E69" w:rsidRDefault="003F4567" w:rsidP="00A543CF">
            <w:pPr>
              <w:jc w:val="center"/>
              <w:rPr>
                <w:b/>
                <w:i/>
                <w:sz w:val="24"/>
                <w:szCs w:val="24"/>
                <w:lang w:val="en-US"/>
              </w:rPr>
            </w:pPr>
          </w:p>
        </w:tc>
        <w:tc>
          <w:tcPr>
            <w:tcW w:w="1276" w:type="dxa"/>
            <w:vMerge/>
            <w:vAlign w:val="center"/>
          </w:tcPr>
          <w:p w:rsidR="003F4567" w:rsidRPr="00330E69" w:rsidRDefault="003F4567" w:rsidP="00A543CF">
            <w:pPr>
              <w:jc w:val="center"/>
              <w:rPr>
                <w:b/>
                <w:sz w:val="24"/>
                <w:szCs w:val="24"/>
                <w:lang w:val="en-US"/>
              </w:rPr>
            </w:pPr>
          </w:p>
        </w:tc>
      </w:tr>
    </w:tbl>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“Converted weight” is defined in regulation 1.03(2).  It is the weight of a product arrived at by multiplying the number of units of the product by the conversion factor for th</w:t>
      </w:r>
      <w:r>
        <w:rPr>
          <w:rFonts w:ascii="Times New Roman" w:hAnsi="Times New Roman" w:cs="Times New Roman"/>
          <w:sz w:val="24"/>
          <w:szCs w:val="24"/>
        </w:rPr>
        <w:t>e product listed in Schedule 3.</w:t>
      </w:r>
      <w:r w:rsidRPr="00330E69">
        <w:rPr>
          <w:rFonts w:ascii="Times New Roman" w:hAnsi="Times New Roman" w:cs="Times New Roman"/>
          <w:sz w:val="24"/>
          <w:szCs w:val="24"/>
        </w:rPr>
        <w:t xml:space="preserve"> Using these conversion factors, which have been developed with the benefit of sampling the weight of imported products under each product definition and related code, data on the number of units imported can be converted into weight. </w:t>
      </w:r>
    </w:p>
    <w:p w:rsidR="003F4567"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logic of the waste arising formula is that when a product is imported it usually replaces another pro</w:t>
      </w:r>
      <w:r>
        <w:rPr>
          <w:rFonts w:ascii="Times New Roman" w:hAnsi="Times New Roman" w:cs="Times New Roman"/>
          <w:sz w:val="24"/>
          <w:szCs w:val="24"/>
        </w:rPr>
        <w:t>duct, which then becomes waste.</w:t>
      </w:r>
      <w:r w:rsidRPr="00330E69">
        <w:rPr>
          <w:rFonts w:ascii="Times New Roman" w:hAnsi="Times New Roman" w:cs="Times New Roman"/>
          <w:sz w:val="24"/>
          <w:szCs w:val="24"/>
        </w:rPr>
        <w:t xml:space="preserve"> Because imports are volatile, the formula averages imports over the past 3 years. The scaling factor of 0.9 takes into account that some products that are imported are subsequently exported, and that not all imported prod</w:t>
      </w:r>
      <w:r>
        <w:rPr>
          <w:rFonts w:ascii="Times New Roman" w:hAnsi="Times New Roman" w:cs="Times New Roman"/>
          <w:sz w:val="24"/>
          <w:szCs w:val="24"/>
        </w:rPr>
        <w:t>ucts replace existing products.</w:t>
      </w:r>
      <w:r w:rsidRPr="00330E69">
        <w:rPr>
          <w:rFonts w:ascii="Times New Roman" w:hAnsi="Times New Roman" w:cs="Times New Roman"/>
          <w:sz w:val="24"/>
          <w:szCs w:val="24"/>
        </w:rPr>
        <w:t xml:space="preserve"> Modelling indicates that this formula is a good proxy of the amount of waste products entering the waste stream each year.</w:t>
      </w:r>
    </w:p>
    <w:p w:rsidR="003F4567"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lastRenderedPageBreak/>
        <w:t>The Minister will annually publish the total converted weight of each product in a class of products imported or manufactured in each of the last 3 financial years</w:t>
      </w:r>
      <w:r>
        <w:rPr>
          <w:rFonts w:ascii="Times New Roman" w:hAnsi="Times New Roman" w:cs="Times New Roman"/>
          <w:sz w:val="24"/>
          <w:szCs w:val="24"/>
        </w:rPr>
        <w:t xml:space="preserve"> on the Department’s website</w:t>
      </w:r>
      <w:r w:rsidRPr="00330E69">
        <w:rPr>
          <w:rFonts w:ascii="Times New Roman" w:hAnsi="Times New Roman" w:cs="Times New Roman"/>
          <w:sz w:val="24"/>
          <w:szCs w:val="24"/>
        </w:rPr>
        <w:t xml:space="preserve">. </w:t>
      </w:r>
      <w:r>
        <w:rPr>
          <w:rFonts w:ascii="Times New Roman" w:hAnsi="Times New Roman" w:cs="Times New Roman"/>
          <w:sz w:val="24"/>
          <w:szCs w:val="24"/>
        </w:rPr>
        <w:t xml:space="preserve">The figure published for each product is final in order to provide certainty to administrators for the operation of a co-regulatory arrangement. </w:t>
      </w:r>
    </w:p>
    <w:p w:rsidR="003F4567"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Minister will determine these figures using reported and available sources of information including: </w:t>
      </w:r>
    </w:p>
    <w:p w:rsidR="003F4567"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Import data provided by the Australian Customs and Border Protection Service; </w:t>
      </w:r>
    </w:p>
    <w:p w:rsidR="003F4567"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Manufacturing data reported under regulation 5.09; </w:t>
      </w:r>
    </w:p>
    <w:p w:rsidR="003F4567" w:rsidRDefault="003F4567" w:rsidP="003F4567">
      <w:pPr>
        <w:pStyle w:val="ListParagraph"/>
        <w:spacing w:after="0" w:line="240" w:lineRule="auto"/>
        <w:ind w:left="360"/>
        <w:rPr>
          <w:rFonts w:ascii="Times New Roman" w:hAnsi="Times New Roman" w:cs="Times New Roman"/>
          <w:sz w:val="24"/>
          <w:szCs w:val="24"/>
        </w:rPr>
      </w:pPr>
    </w:p>
    <w:p w:rsidR="003F4567" w:rsidRPr="00AC68DA" w:rsidRDefault="003F4567" w:rsidP="003F4567">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Conversion factors for each product code in Schedule 3.</w:t>
      </w:r>
    </w:p>
    <w:p w:rsidR="003F4567" w:rsidRDefault="003F4567" w:rsidP="003F4567">
      <w:pPr>
        <w:spacing w:after="0" w:line="240" w:lineRule="auto"/>
        <w:rPr>
          <w:rFonts w:ascii="Times New Roman" w:hAnsi="Times New Roman" w:cs="Times New Roman"/>
          <w:sz w:val="24"/>
          <w:szCs w:val="24"/>
        </w:rPr>
      </w:pPr>
    </w:p>
    <w:p w:rsidR="003F4567" w:rsidRPr="00AB04FA" w:rsidRDefault="003F4567" w:rsidP="003F4567">
      <w:pPr>
        <w:spacing w:after="0" w:line="240" w:lineRule="auto"/>
        <w:rPr>
          <w:rFonts w:ascii="Times New Roman" w:hAnsi="Times New Roman" w:cs="Times New Roman"/>
          <w:i/>
          <w:sz w:val="24"/>
          <w:szCs w:val="24"/>
          <w:u w:val="single"/>
        </w:rPr>
      </w:pPr>
      <w:r w:rsidRPr="00AB04FA">
        <w:rPr>
          <w:rFonts w:ascii="Times New Roman" w:hAnsi="Times New Roman" w:cs="Times New Roman"/>
          <w:i/>
          <w:sz w:val="24"/>
          <w:szCs w:val="24"/>
          <w:u w:val="single"/>
        </w:rPr>
        <w:t>Import or manufacture share of a co-regulatory arrangement</w:t>
      </w:r>
    </w:p>
    <w:p w:rsidR="003F4567"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3.04(4) describes how the import or manufacture share of a co-regulatory arrangement is calculated.  If it were expressed as a formula, </w:t>
      </w: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3.04(4) would look like this:</w:t>
      </w:r>
    </w:p>
    <w:p w:rsidR="003F4567" w:rsidRPr="00330E69" w:rsidRDefault="003F4567" w:rsidP="003F4567">
      <w:pPr>
        <w:spacing w:after="0" w:line="240" w:lineRule="auto"/>
        <w:rPr>
          <w:rFonts w:ascii="Times New Roman" w:hAnsi="Times New Roman" w:cs="Times New Roman"/>
          <w:sz w:val="24"/>
          <w:szCs w:val="24"/>
        </w:rPr>
      </w:pPr>
    </w:p>
    <w:tbl>
      <w:tblPr>
        <w:tblStyle w:val="TableGrid"/>
        <w:tblW w:w="7513"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27"/>
        <w:gridCol w:w="284"/>
        <w:gridCol w:w="5102"/>
      </w:tblGrid>
      <w:tr w:rsidR="003F4567" w:rsidRPr="00330E69" w:rsidTr="00A543CF">
        <w:trPr>
          <w:cantSplit/>
          <w:trHeight w:val="904"/>
        </w:trPr>
        <w:tc>
          <w:tcPr>
            <w:tcW w:w="2127" w:type="dxa"/>
            <w:vMerge w:val="restart"/>
            <w:vAlign w:val="center"/>
          </w:tcPr>
          <w:p w:rsidR="003F4567" w:rsidRPr="00D568E8" w:rsidRDefault="003F4567" w:rsidP="00A543CF">
            <w:pPr>
              <w:ind w:left="-108"/>
              <w:jc w:val="center"/>
              <w:rPr>
                <w:i/>
                <w:sz w:val="24"/>
                <w:szCs w:val="24"/>
                <w:lang w:val="en-US"/>
              </w:rPr>
            </w:pPr>
            <w:r w:rsidRPr="00D568E8">
              <w:rPr>
                <w:i/>
                <w:sz w:val="24"/>
                <w:szCs w:val="24"/>
                <w:lang w:val="en-US"/>
              </w:rPr>
              <w:t>Import or Manufacture Share of Members</w:t>
            </w:r>
          </w:p>
        </w:tc>
        <w:tc>
          <w:tcPr>
            <w:tcW w:w="284" w:type="dxa"/>
            <w:vMerge w:val="restart"/>
          </w:tcPr>
          <w:p w:rsidR="003F4567" w:rsidRPr="00D568E8" w:rsidRDefault="003F4567" w:rsidP="00A543CF">
            <w:pPr>
              <w:ind w:left="1276"/>
              <w:rPr>
                <w:i/>
                <w:sz w:val="24"/>
                <w:szCs w:val="24"/>
                <w:lang w:val="en-US"/>
              </w:rPr>
            </w:pPr>
            <w:r w:rsidRPr="00D568E8">
              <w:rPr>
                <w:i/>
                <w:sz w:val="24"/>
                <w:szCs w:val="24"/>
                <w:lang w:val="en-US"/>
              </w:rPr>
              <w:t>=</w:t>
            </w:r>
          </w:p>
          <w:p w:rsidR="003F4567" w:rsidRPr="00D568E8" w:rsidRDefault="003F4567" w:rsidP="00A543CF">
            <w:pPr>
              <w:rPr>
                <w:i/>
                <w:sz w:val="24"/>
                <w:szCs w:val="24"/>
                <w:lang w:val="en-US"/>
              </w:rPr>
            </w:pPr>
          </w:p>
          <w:p w:rsidR="003F4567" w:rsidRPr="00D568E8" w:rsidRDefault="003F4567" w:rsidP="00A543CF">
            <w:pPr>
              <w:rPr>
                <w:i/>
                <w:sz w:val="24"/>
                <w:szCs w:val="24"/>
                <w:lang w:val="en-US"/>
              </w:rPr>
            </w:pPr>
          </w:p>
          <w:p w:rsidR="003F4567" w:rsidRPr="00D568E8" w:rsidRDefault="003F4567" w:rsidP="00A543CF">
            <w:pPr>
              <w:ind w:hanging="108"/>
              <w:rPr>
                <w:i/>
                <w:sz w:val="24"/>
                <w:szCs w:val="24"/>
                <w:lang w:val="en-US"/>
              </w:rPr>
            </w:pPr>
            <w:r w:rsidRPr="00D568E8">
              <w:rPr>
                <w:i/>
                <w:sz w:val="24"/>
                <w:szCs w:val="24"/>
                <w:lang w:val="en-US"/>
              </w:rPr>
              <w:t>=</w:t>
            </w:r>
          </w:p>
        </w:tc>
        <w:tc>
          <w:tcPr>
            <w:tcW w:w="5102" w:type="dxa"/>
            <w:tcBorders>
              <w:bottom w:val="single" w:sz="4" w:space="0" w:color="auto"/>
            </w:tcBorders>
            <w:vAlign w:val="center"/>
          </w:tcPr>
          <w:p w:rsidR="003F4567" w:rsidRPr="00D568E8" w:rsidRDefault="003F4567" w:rsidP="00A543CF">
            <w:pPr>
              <w:jc w:val="center"/>
              <w:rPr>
                <w:i/>
                <w:sz w:val="24"/>
                <w:szCs w:val="24"/>
                <w:lang w:val="en-US"/>
              </w:rPr>
            </w:pPr>
            <w:r w:rsidRPr="00D568E8">
              <w:rPr>
                <w:i/>
                <w:sz w:val="24"/>
                <w:szCs w:val="24"/>
                <w:lang w:val="en-US"/>
              </w:rPr>
              <w:t>Converted weight of units imported/manufactured by members of the arrangement (less exports) in the previous financial year</w:t>
            </w:r>
          </w:p>
        </w:tc>
      </w:tr>
      <w:tr w:rsidR="003F4567" w:rsidRPr="00330E69" w:rsidTr="00A543CF">
        <w:trPr>
          <w:cantSplit/>
          <w:trHeight w:val="904"/>
        </w:trPr>
        <w:tc>
          <w:tcPr>
            <w:tcW w:w="2127" w:type="dxa"/>
            <w:vMerge/>
            <w:vAlign w:val="center"/>
          </w:tcPr>
          <w:p w:rsidR="003F4567" w:rsidRPr="00D568E8" w:rsidRDefault="003F4567" w:rsidP="00A543CF">
            <w:pPr>
              <w:ind w:left="-108"/>
              <w:jc w:val="center"/>
              <w:rPr>
                <w:i/>
                <w:sz w:val="24"/>
                <w:szCs w:val="24"/>
                <w:lang w:val="en-US"/>
              </w:rPr>
            </w:pPr>
          </w:p>
        </w:tc>
        <w:tc>
          <w:tcPr>
            <w:tcW w:w="284" w:type="dxa"/>
            <w:vMerge/>
            <w:vAlign w:val="center"/>
          </w:tcPr>
          <w:p w:rsidR="003F4567" w:rsidRPr="00D568E8" w:rsidRDefault="003F4567" w:rsidP="00A543CF">
            <w:pPr>
              <w:ind w:left="1276"/>
              <w:jc w:val="center"/>
              <w:rPr>
                <w:i/>
                <w:sz w:val="24"/>
                <w:szCs w:val="24"/>
                <w:lang w:val="en-US"/>
              </w:rPr>
            </w:pPr>
          </w:p>
        </w:tc>
        <w:tc>
          <w:tcPr>
            <w:tcW w:w="5102" w:type="dxa"/>
            <w:tcBorders>
              <w:top w:val="single" w:sz="4" w:space="0" w:color="auto"/>
            </w:tcBorders>
            <w:vAlign w:val="center"/>
          </w:tcPr>
          <w:p w:rsidR="003F4567" w:rsidRPr="00D568E8" w:rsidRDefault="003F4567" w:rsidP="00A543CF">
            <w:pPr>
              <w:jc w:val="center"/>
              <w:rPr>
                <w:i/>
                <w:sz w:val="24"/>
                <w:szCs w:val="24"/>
                <w:lang w:val="en-US"/>
              </w:rPr>
            </w:pPr>
            <w:r w:rsidRPr="00D568E8">
              <w:rPr>
                <w:i/>
                <w:sz w:val="24"/>
                <w:szCs w:val="24"/>
                <w:lang w:val="en-US"/>
              </w:rPr>
              <w:t>Converted weight of units imported/manufactured by all liable parties (less exports) in the previous financial year</w:t>
            </w:r>
          </w:p>
        </w:tc>
      </w:tr>
    </w:tbl>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The Minister will </w:t>
      </w:r>
      <w:r>
        <w:rPr>
          <w:rFonts w:ascii="Times New Roman" w:hAnsi="Times New Roman" w:cs="Times New Roman"/>
          <w:sz w:val="24"/>
          <w:szCs w:val="24"/>
        </w:rPr>
        <w:t xml:space="preserve">annually </w:t>
      </w:r>
      <w:r w:rsidRPr="00330E69">
        <w:rPr>
          <w:rFonts w:ascii="Times New Roman" w:hAnsi="Times New Roman" w:cs="Times New Roman"/>
          <w:sz w:val="24"/>
          <w:szCs w:val="24"/>
        </w:rPr>
        <w:t xml:space="preserve">publish the </w:t>
      </w:r>
      <w:r>
        <w:rPr>
          <w:rFonts w:ascii="Times New Roman" w:hAnsi="Times New Roman" w:cs="Times New Roman"/>
          <w:sz w:val="24"/>
          <w:szCs w:val="24"/>
        </w:rPr>
        <w:t>total converted weight of products in</w:t>
      </w:r>
      <w:r w:rsidRPr="00330E69">
        <w:rPr>
          <w:rFonts w:ascii="Times New Roman" w:hAnsi="Times New Roman" w:cs="Times New Roman"/>
          <w:sz w:val="24"/>
          <w:szCs w:val="24"/>
        </w:rPr>
        <w:t xml:space="preserve"> each class of products imported or manufactured </w:t>
      </w:r>
      <w:r>
        <w:rPr>
          <w:rFonts w:ascii="Times New Roman" w:hAnsi="Times New Roman" w:cs="Times New Roman"/>
          <w:sz w:val="24"/>
          <w:szCs w:val="24"/>
        </w:rPr>
        <w:t xml:space="preserve">by </w:t>
      </w:r>
      <w:r w:rsidRPr="00330E69">
        <w:rPr>
          <w:rFonts w:ascii="Times New Roman" w:hAnsi="Times New Roman" w:cs="Times New Roman"/>
          <w:sz w:val="24"/>
          <w:szCs w:val="24"/>
        </w:rPr>
        <w:t>liable parties</w:t>
      </w:r>
      <w:r>
        <w:rPr>
          <w:rFonts w:ascii="Times New Roman" w:hAnsi="Times New Roman" w:cs="Times New Roman"/>
          <w:sz w:val="24"/>
          <w:szCs w:val="24"/>
        </w:rPr>
        <w:t>, less products exported, during a financial year on the Department’s website</w:t>
      </w:r>
      <w:r w:rsidRPr="00330E69">
        <w:rPr>
          <w:rFonts w:ascii="Times New Roman" w:hAnsi="Times New Roman" w:cs="Times New Roman"/>
          <w:sz w:val="24"/>
          <w:szCs w:val="24"/>
        </w:rPr>
        <w:t>, so that administrators of co-regulatory arrangements can work out their share of the scheme target.</w:t>
      </w:r>
      <w:r>
        <w:rPr>
          <w:rFonts w:ascii="Times New Roman" w:hAnsi="Times New Roman" w:cs="Times New Roman"/>
          <w:sz w:val="24"/>
          <w:szCs w:val="24"/>
        </w:rPr>
        <w:t xml:space="preserve"> The figure published for each class of products is final in order to provide certainty to administrators for the operation of a co-regulatory arrangement. </w:t>
      </w:r>
    </w:p>
    <w:p w:rsidR="003F4567"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Minister will determine these figures using reported and available sources of information including: </w:t>
      </w:r>
    </w:p>
    <w:p w:rsidR="003F4567"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Import data provided by the Australian Customs and Border Protection Service;</w:t>
      </w:r>
    </w:p>
    <w:p w:rsidR="003F4567"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Export data reported under regulation 3.04(7);</w:t>
      </w:r>
    </w:p>
    <w:p w:rsidR="003F4567" w:rsidRPr="00710190" w:rsidRDefault="003F4567" w:rsidP="003F4567">
      <w:pPr>
        <w:spacing w:after="0" w:line="240" w:lineRule="auto"/>
        <w:rPr>
          <w:rFonts w:ascii="Times New Roman" w:hAnsi="Times New Roman" w:cs="Times New Roman"/>
          <w:sz w:val="24"/>
          <w:szCs w:val="24"/>
        </w:rPr>
      </w:pPr>
    </w:p>
    <w:p w:rsidR="003F4567" w:rsidRPr="005C0399" w:rsidRDefault="003F4567" w:rsidP="003F4567">
      <w:pPr>
        <w:pStyle w:val="ListParagraph"/>
        <w:numPr>
          <w:ilvl w:val="0"/>
          <w:numId w:val="36"/>
        </w:numPr>
        <w:spacing w:after="0" w:line="240" w:lineRule="auto"/>
        <w:rPr>
          <w:rFonts w:ascii="Times New Roman" w:hAnsi="Times New Roman" w:cs="Times New Roman"/>
          <w:sz w:val="24"/>
          <w:szCs w:val="24"/>
        </w:rPr>
      </w:pPr>
      <w:r w:rsidRPr="005C0399">
        <w:rPr>
          <w:rFonts w:ascii="Times New Roman" w:hAnsi="Times New Roman" w:cs="Times New Roman"/>
          <w:sz w:val="24"/>
          <w:szCs w:val="24"/>
        </w:rPr>
        <w:t>Manufacturing data reported under regulation 5.09</w:t>
      </w:r>
      <w:r>
        <w:rPr>
          <w:rFonts w:ascii="Times New Roman" w:hAnsi="Times New Roman" w:cs="Times New Roman"/>
          <w:sz w:val="24"/>
          <w:szCs w:val="24"/>
        </w:rPr>
        <w:t>;</w:t>
      </w:r>
      <w:r w:rsidRPr="005C0399">
        <w:rPr>
          <w:rFonts w:ascii="Times New Roman" w:hAnsi="Times New Roman" w:cs="Times New Roman"/>
          <w:sz w:val="24"/>
          <w:szCs w:val="24"/>
        </w:rPr>
        <w:t xml:space="preserve"> </w:t>
      </w:r>
    </w:p>
    <w:p w:rsidR="003F4567" w:rsidRPr="00710190" w:rsidRDefault="003F4567" w:rsidP="003F4567">
      <w:pPr>
        <w:spacing w:after="0" w:line="240" w:lineRule="auto"/>
        <w:rPr>
          <w:rFonts w:ascii="Times New Roman" w:hAnsi="Times New Roman" w:cs="Times New Roman"/>
          <w:sz w:val="24"/>
          <w:szCs w:val="24"/>
        </w:rPr>
      </w:pPr>
    </w:p>
    <w:p w:rsidR="003F4567" w:rsidRPr="00777130" w:rsidRDefault="003F4567" w:rsidP="003F4567">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Conversion factors for each product code in Schedule 3.</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Subregulations</w:t>
      </w:r>
      <w:proofErr w:type="spellEnd"/>
      <w:r w:rsidRPr="00330E69">
        <w:rPr>
          <w:rFonts w:ascii="Times New Roman" w:hAnsi="Times New Roman" w:cs="Times New Roman"/>
          <w:sz w:val="24"/>
          <w:szCs w:val="24"/>
        </w:rPr>
        <w:t xml:space="preserve"> 3.04(5) and (6) anticipate the possibility that a non-compliant liable party may fail to be a member of an approved co-regulatory arrangement in a financial year. The effect of these </w:t>
      </w:r>
      <w:proofErr w:type="spellStart"/>
      <w:r w:rsidRPr="00330E69">
        <w:rPr>
          <w:rFonts w:ascii="Times New Roman" w:hAnsi="Times New Roman" w:cs="Times New Roman"/>
          <w:sz w:val="24"/>
          <w:szCs w:val="24"/>
        </w:rPr>
        <w:t>subregulations</w:t>
      </w:r>
      <w:proofErr w:type="spellEnd"/>
      <w:r w:rsidRPr="00330E69">
        <w:rPr>
          <w:rFonts w:ascii="Times New Roman" w:hAnsi="Times New Roman" w:cs="Times New Roman"/>
          <w:sz w:val="24"/>
          <w:szCs w:val="24"/>
        </w:rPr>
        <w:t xml:space="preserve"> is that the units imported, manufactured or exported by that liable party should be taken into account in the first subsequent financial year when the liable party </w:t>
      </w:r>
      <w:r w:rsidRPr="00330E69">
        <w:rPr>
          <w:rFonts w:ascii="Times New Roman" w:hAnsi="Times New Roman" w:cs="Times New Roman"/>
          <w:sz w:val="24"/>
          <w:szCs w:val="24"/>
        </w:rPr>
        <w:lastRenderedPageBreak/>
        <w:t xml:space="preserve">is a member of a co-regulatory arrangement in calculating the recycling target for the arrangement that it joins, notwithstanding the fact that the relevant activity did not take place in the previous financial year. </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3.04(7</w:t>
      </w:r>
      <w:r>
        <w:rPr>
          <w:rFonts w:ascii="Times New Roman" w:hAnsi="Times New Roman" w:cs="Times New Roman"/>
          <w:sz w:val="24"/>
          <w:szCs w:val="24"/>
        </w:rPr>
        <w:t>) is an accountability measure.</w:t>
      </w:r>
      <w:r w:rsidRPr="00330E69">
        <w:rPr>
          <w:rFonts w:ascii="Times New Roman" w:hAnsi="Times New Roman" w:cs="Times New Roman"/>
          <w:sz w:val="24"/>
          <w:szCs w:val="24"/>
        </w:rPr>
        <w:t xml:space="preserve"> It ensures that exports can only be taken into account where they are units that were imported or manufactured by a member of the arrangement within the last year. This </w:t>
      </w:r>
      <w:r>
        <w:rPr>
          <w:rFonts w:ascii="Times New Roman" w:hAnsi="Times New Roman" w:cs="Times New Roman"/>
          <w:sz w:val="24"/>
          <w:szCs w:val="24"/>
        </w:rPr>
        <w:t xml:space="preserve">provides that export of new products in accordance with this </w:t>
      </w: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may be taken into account in calculating the import or manufacture share of a co-regulatory arrangement.</w:t>
      </w:r>
      <w:r w:rsidRPr="00330E69">
        <w:rPr>
          <w:rFonts w:ascii="Times New Roman" w:hAnsi="Times New Roman" w:cs="Times New Roman"/>
          <w:sz w:val="24"/>
          <w:szCs w:val="24"/>
        </w:rPr>
        <w:t xml:space="preserve"> The </w:t>
      </w: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also provides for an audit report to confirm that these conditions have been met. The requirements related to an audit report seek to ensure that an audit is conducted, and an accurate audit report is prepared, in a proper and independent way by an appropriately qualified auditor. </w:t>
      </w:r>
    </w:p>
    <w:p w:rsidR="003F4567"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export and audit reports are required by 15 September of the financial year for which the recycling target is being worked out in order for exports to be taken into account under </w:t>
      </w: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3.04(4) by an arrangement in working out the converted weight  of products exported by members of the co-regulatory arrangement in the previous financial year at Step 2, and by the Minister in publishing the annual total converted weight of products in each class of products imported or manufactured by liable parties during that financial year at Step 5.</w:t>
      </w:r>
    </w:p>
    <w:p w:rsidR="003F4567" w:rsidRPr="00330E69" w:rsidRDefault="003F4567" w:rsidP="003F4567">
      <w:pPr>
        <w:spacing w:after="0" w:line="240" w:lineRule="auto"/>
        <w:rPr>
          <w:rFonts w:ascii="Times New Roman" w:hAnsi="Times New Roman" w:cs="Times New Roman"/>
          <w:color w:val="000000"/>
          <w:sz w:val="24"/>
          <w:szCs w:val="24"/>
        </w:rPr>
      </w:pPr>
    </w:p>
    <w:p w:rsidR="003F4567" w:rsidRPr="00330E69" w:rsidRDefault="003F4567" w:rsidP="003F4567">
      <w:pPr>
        <w:spacing w:after="0" w:line="240" w:lineRule="auto"/>
        <w:rPr>
          <w:rFonts w:ascii="Times New Roman" w:hAnsi="Times New Roman" w:cs="Times New Roman"/>
          <w:sz w:val="24"/>
          <w:szCs w:val="24"/>
          <w:u w:val="single"/>
        </w:rPr>
      </w:pPr>
      <w:r w:rsidRPr="00A055C7">
        <w:rPr>
          <w:rFonts w:ascii="Times New Roman" w:hAnsi="Times New Roman" w:cs="Times New Roman"/>
          <w:sz w:val="24"/>
          <w:szCs w:val="24"/>
          <w:u w:val="single"/>
        </w:rPr>
        <w:t>Regulation 3.05 – How recycling targets may be met</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Paragraph 3.05(1)(a) provides that a product in a class of products will be taken to be recycled if it is recycled under a co-regulatory arrangement. This will ordinarily be done by an administrator of a co-regulatory arrangement entering into a contract with a recycler to recycle relevant products.</w:t>
      </w:r>
      <w:r>
        <w:rPr>
          <w:rFonts w:ascii="Times New Roman" w:hAnsi="Times New Roman" w:cs="Times New Roman"/>
          <w:sz w:val="24"/>
          <w:szCs w:val="24"/>
        </w:rPr>
        <w:t xml:space="preserve"> </w:t>
      </w:r>
    </w:p>
    <w:p w:rsidR="003F4567"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Recycling undertaken by a member of a co-regulatory arrangement is considered to be recycled under that co-regulatory arrangement, where the arrangement takes this recycling into account to meet the recycling target.</w:t>
      </w:r>
      <w:r w:rsidRPr="0015236C">
        <w:rPr>
          <w:rFonts w:ascii="Times New Roman" w:hAnsi="Times New Roman" w:cs="Times New Roman"/>
          <w:sz w:val="24"/>
          <w:szCs w:val="24"/>
        </w:rPr>
        <w:t xml:space="preserve"> </w:t>
      </w:r>
      <w:r>
        <w:rPr>
          <w:rFonts w:ascii="Times New Roman" w:hAnsi="Times New Roman" w:cs="Times New Roman"/>
          <w:sz w:val="24"/>
          <w:szCs w:val="24"/>
        </w:rPr>
        <w:t xml:space="preserve">This means where a member of an arrangement has a commercial agreement with a third party that requires the member to recycle products within a class of products, an arrangement may take this recycling into account as recycling under paragraph 3.05(1)(a). Recycling undertaken by a member that is taken into account by an arrangement to meet the recycling target is considered part of the operation of the co-regulatory arrangement and must meet the reporting requirements under regulation 5.13.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Paragraph 3.05(1)(b) provides that a product is also taken to be recycled if it is recycled after the Regulations commence by a liable party who subsequently becomes a member of a co-regulatory arrangement. This is intended to encourage early action by importers of relevant products.  Without this provision, there would be an incentive for companies that currently undertake recycling take-back events on a voluntary basis to stop those events.</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r>
        <w:rPr>
          <w:rFonts w:ascii="Times New Roman" w:hAnsi="Times New Roman" w:cs="Times New Roman"/>
          <w:sz w:val="24"/>
          <w:szCs w:val="24"/>
        </w:rPr>
        <w:t>s</w:t>
      </w:r>
      <w:proofErr w:type="spellEnd"/>
      <w:r w:rsidRPr="00330E69">
        <w:rPr>
          <w:rFonts w:ascii="Times New Roman" w:hAnsi="Times New Roman" w:cs="Times New Roman"/>
          <w:sz w:val="24"/>
          <w:szCs w:val="24"/>
        </w:rPr>
        <w:t xml:space="preserve"> 3.05(2) </w:t>
      </w:r>
      <w:r>
        <w:rPr>
          <w:rFonts w:ascii="Times New Roman" w:hAnsi="Times New Roman" w:cs="Times New Roman"/>
          <w:sz w:val="24"/>
          <w:szCs w:val="24"/>
        </w:rPr>
        <w:t xml:space="preserve">and (3) </w:t>
      </w:r>
      <w:r w:rsidRPr="00330E69">
        <w:rPr>
          <w:rFonts w:ascii="Times New Roman" w:hAnsi="Times New Roman" w:cs="Times New Roman"/>
          <w:sz w:val="24"/>
          <w:szCs w:val="24"/>
        </w:rPr>
        <w:t xml:space="preserve">relate to the situation in which a co-regulatory arrangement exceeds its recycling target.  In this situation the overachievement can be counted towards targets in future years. However, from financial year 2013-2014 only 25% of the target in a financial year can be met from overachievement in previous years. This is intended to ensure that overachievement does not lead to an arrangement being able to shut its operations down in future years.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lastRenderedPageBreak/>
        <w:t>Subregulation</w:t>
      </w:r>
      <w:proofErr w:type="spellEnd"/>
      <w:r w:rsidRPr="00330E69">
        <w:rPr>
          <w:rFonts w:ascii="Times New Roman" w:hAnsi="Times New Roman" w:cs="Times New Roman"/>
          <w:sz w:val="24"/>
          <w:szCs w:val="24"/>
        </w:rPr>
        <w:t xml:space="preserve"> 3.05(4) ensures that any recycling undertaken in financial year 2011-2012 after the Regulations commence can be counted towards meeting the target for financial year 2012-2013. This is intended to provide an incentive for early recycling action as there is no target for financial year 2011-2012.</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i/>
          <w:sz w:val="24"/>
          <w:szCs w:val="24"/>
        </w:rPr>
      </w:pPr>
      <w:r w:rsidRPr="00330E69">
        <w:rPr>
          <w:rFonts w:ascii="Times New Roman" w:hAnsi="Times New Roman" w:cs="Times New Roman"/>
          <w:sz w:val="24"/>
          <w:szCs w:val="24"/>
        </w:rPr>
        <w:t>Paragraph 3.05(5)(a) provides that where a recycling target is not achieved in a particular year, the co-regulatory arrangement is taken not to have achieved its target in that year.  This provides the basis for an improvement notice, audit notice or even cancellation of the arrangement’s approval (see sections 28-30 of the Act).  In addition, paragraph 3.05(5)(b) makes clear that the underachievement is added on to the arrangement’s target for the following financial year.</w:t>
      </w:r>
    </w:p>
    <w:p w:rsidR="003F4567" w:rsidRPr="00330E69" w:rsidRDefault="003F4567" w:rsidP="003F4567">
      <w:pPr>
        <w:spacing w:after="0" w:line="240" w:lineRule="auto"/>
        <w:rPr>
          <w:rFonts w:ascii="Times New Roman" w:hAnsi="Times New Roman" w:cs="Times New Roman"/>
          <w:b/>
          <w:bCs/>
          <w:color w:val="000000"/>
          <w:sz w:val="24"/>
          <w:szCs w:val="24"/>
        </w:rPr>
      </w:pPr>
    </w:p>
    <w:p w:rsidR="003F4567" w:rsidRPr="00FA536A" w:rsidRDefault="003F4567" w:rsidP="003F4567">
      <w:pPr>
        <w:spacing w:after="0" w:line="240" w:lineRule="auto"/>
        <w:rPr>
          <w:rFonts w:ascii="Times New Roman" w:hAnsi="Times New Roman" w:cs="Times New Roman"/>
          <w:b/>
          <w:bCs/>
          <w:color w:val="000000"/>
          <w:sz w:val="24"/>
          <w:szCs w:val="24"/>
        </w:rPr>
      </w:pPr>
      <w:r w:rsidRPr="00FA536A">
        <w:rPr>
          <w:rFonts w:ascii="Times New Roman" w:hAnsi="Times New Roman" w:cs="Times New Roman"/>
          <w:b/>
          <w:bCs/>
          <w:color w:val="000000"/>
          <w:sz w:val="24"/>
          <w:szCs w:val="24"/>
        </w:rPr>
        <w:t xml:space="preserve">Part 4 </w:t>
      </w:r>
      <w:r w:rsidRPr="00FA536A">
        <w:rPr>
          <w:rFonts w:ascii="Times New Roman" w:hAnsi="Times New Roman" w:cs="Times New Roman"/>
          <w:b/>
          <w:bCs/>
          <w:color w:val="000000"/>
          <w:sz w:val="24"/>
          <w:szCs w:val="24"/>
        </w:rPr>
        <w:tab/>
        <w:t>Matters to be dealt with by co-regulatory arrangements</w:t>
      </w:r>
    </w:p>
    <w:p w:rsidR="003F4567" w:rsidRPr="00330E69" w:rsidRDefault="003F4567" w:rsidP="003F4567">
      <w:pPr>
        <w:spacing w:after="0" w:line="240" w:lineRule="auto"/>
        <w:rPr>
          <w:rFonts w:ascii="Times New Roman" w:hAnsi="Times New Roman" w:cs="Times New Roman"/>
          <w:b/>
          <w:bCs/>
          <w:color w:val="000000"/>
          <w:sz w:val="24"/>
          <w:szCs w:val="24"/>
        </w:rPr>
      </w:pPr>
    </w:p>
    <w:p w:rsidR="003F4567" w:rsidRPr="00330E69" w:rsidRDefault="003F4567" w:rsidP="003F4567">
      <w:pPr>
        <w:spacing w:after="0" w:line="240" w:lineRule="auto"/>
        <w:rPr>
          <w:rFonts w:ascii="Times New Roman" w:hAnsi="Times New Roman" w:cs="Times New Roman"/>
          <w:color w:val="000000"/>
          <w:sz w:val="24"/>
          <w:szCs w:val="24"/>
          <w:u w:val="single"/>
        </w:rPr>
      </w:pPr>
      <w:r w:rsidRPr="00330E69">
        <w:rPr>
          <w:rFonts w:ascii="Times New Roman" w:hAnsi="Times New Roman" w:cs="Times New Roman"/>
          <w:sz w:val="24"/>
          <w:szCs w:val="24"/>
          <w:u w:val="single"/>
        </w:rPr>
        <w:t xml:space="preserve">Regulation </w:t>
      </w:r>
      <w:r w:rsidRPr="00330E69">
        <w:rPr>
          <w:rFonts w:ascii="Times New Roman" w:hAnsi="Times New Roman" w:cs="Times New Roman"/>
          <w:color w:val="000000"/>
          <w:sz w:val="24"/>
          <w:szCs w:val="24"/>
          <w:u w:val="single"/>
        </w:rPr>
        <w:t>4.01 – Matters to be dealt with in co-regulatory arrangements</w:t>
      </w:r>
    </w:p>
    <w:p w:rsidR="003F4567" w:rsidRPr="00330E69" w:rsidRDefault="003F4567" w:rsidP="003F4567">
      <w:pPr>
        <w:spacing w:after="0" w:line="240" w:lineRule="auto"/>
        <w:rPr>
          <w:rFonts w:ascii="Times New Roman" w:hAnsi="Times New Roman" w:cs="Times New Roman"/>
          <w:color w:val="000000"/>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Subsection 2</w:t>
      </w:r>
      <w:r>
        <w:rPr>
          <w:rFonts w:ascii="Times New Roman" w:hAnsi="Times New Roman" w:cs="Times New Roman"/>
          <w:sz w:val="24"/>
          <w:szCs w:val="24"/>
        </w:rPr>
        <w:t>2</w:t>
      </w:r>
      <w:r w:rsidRPr="00330E69">
        <w:rPr>
          <w:rFonts w:ascii="Times New Roman" w:hAnsi="Times New Roman" w:cs="Times New Roman"/>
          <w:sz w:val="24"/>
          <w:szCs w:val="24"/>
        </w:rPr>
        <w:t>(1) of the Act provides that the regulations may specify matters to be dealt with by a co-regulatory arrangement.  The Minister must refuse to approve a co-regulatory arrangement if the Minister is satisfied that the arrangement does not adequately deal with any of these matters (</w:t>
      </w:r>
      <w:r>
        <w:rPr>
          <w:rFonts w:ascii="Times New Roman" w:hAnsi="Times New Roman" w:cs="Times New Roman"/>
          <w:sz w:val="24"/>
          <w:szCs w:val="24"/>
        </w:rPr>
        <w:t>see paragraph</w:t>
      </w:r>
      <w:r w:rsidRPr="00330E69">
        <w:rPr>
          <w:rFonts w:ascii="Times New Roman" w:hAnsi="Times New Roman" w:cs="Times New Roman"/>
          <w:sz w:val="24"/>
          <w:szCs w:val="24"/>
        </w:rPr>
        <w:t xml:space="preserve"> 26(2)(c)</w:t>
      </w:r>
      <w:r>
        <w:rPr>
          <w:rFonts w:ascii="Times New Roman" w:hAnsi="Times New Roman" w:cs="Times New Roman"/>
          <w:sz w:val="24"/>
          <w:szCs w:val="24"/>
        </w:rPr>
        <w:t xml:space="preserve"> of the Act</w:t>
      </w:r>
      <w:r w:rsidRPr="00330E69">
        <w:rPr>
          <w:rFonts w:ascii="Times New Roman" w:hAnsi="Times New Roman" w:cs="Times New Roman"/>
          <w:sz w:val="24"/>
          <w:szCs w:val="24"/>
        </w:rPr>
        <w:t>) and may cancel an arrangement’s approval on the same grounds (</w:t>
      </w:r>
      <w:r>
        <w:rPr>
          <w:rFonts w:ascii="Times New Roman" w:hAnsi="Times New Roman" w:cs="Times New Roman"/>
          <w:sz w:val="24"/>
          <w:szCs w:val="24"/>
        </w:rPr>
        <w:t xml:space="preserve">see paragraph </w:t>
      </w:r>
      <w:r w:rsidRPr="00330E69">
        <w:rPr>
          <w:rFonts w:ascii="Times New Roman" w:hAnsi="Times New Roman" w:cs="Times New Roman"/>
          <w:sz w:val="24"/>
          <w:szCs w:val="24"/>
        </w:rPr>
        <w:t>28(1)(c)</w:t>
      </w:r>
      <w:r>
        <w:rPr>
          <w:rFonts w:ascii="Times New Roman" w:hAnsi="Times New Roman" w:cs="Times New Roman"/>
          <w:sz w:val="24"/>
          <w:szCs w:val="24"/>
        </w:rPr>
        <w:t xml:space="preserve"> of the Act</w:t>
      </w:r>
      <w:r w:rsidRPr="00330E69">
        <w:rPr>
          <w:rFonts w:ascii="Times New Roman" w:hAnsi="Times New Roman" w:cs="Times New Roman"/>
          <w:sz w:val="24"/>
          <w:szCs w:val="24"/>
        </w:rPr>
        <w:t>).</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For the purpose of </w:t>
      </w:r>
      <w:r w:rsidRPr="00330E69">
        <w:rPr>
          <w:rFonts w:ascii="Times New Roman" w:hAnsi="Times New Roman" w:cs="Times New Roman"/>
          <w:color w:val="000000"/>
          <w:sz w:val="24"/>
          <w:szCs w:val="24"/>
        </w:rPr>
        <w:t>subsection 2</w:t>
      </w:r>
      <w:r>
        <w:rPr>
          <w:rFonts w:ascii="Times New Roman" w:hAnsi="Times New Roman" w:cs="Times New Roman"/>
          <w:color w:val="000000"/>
          <w:sz w:val="24"/>
          <w:szCs w:val="24"/>
        </w:rPr>
        <w:t>2</w:t>
      </w:r>
      <w:r w:rsidRPr="00330E69">
        <w:rPr>
          <w:rFonts w:ascii="Times New Roman" w:hAnsi="Times New Roman" w:cs="Times New Roman"/>
          <w:color w:val="000000"/>
          <w:sz w:val="24"/>
          <w:szCs w:val="24"/>
        </w:rPr>
        <w:t xml:space="preserve">(1) of the Act, regulation 4.01 </w:t>
      </w:r>
      <w:r>
        <w:rPr>
          <w:rFonts w:ascii="Times New Roman" w:hAnsi="Times New Roman" w:cs="Times New Roman"/>
          <w:color w:val="000000"/>
          <w:sz w:val="24"/>
          <w:szCs w:val="24"/>
        </w:rPr>
        <w:t>specifies</w:t>
      </w:r>
      <w:r w:rsidRPr="00330E69">
        <w:rPr>
          <w:rFonts w:ascii="Times New Roman" w:hAnsi="Times New Roman" w:cs="Times New Roman"/>
          <w:color w:val="000000"/>
          <w:sz w:val="24"/>
          <w:szCs w:val="24"/>
        </w:rPr>
        <w:t xml:space="preserve"> the matters </w:t>
      </w:r>
      <w:r>
        <w:rPr>
          <w:rFonts w:ascii="Times New Roman" w:hAnsi="Times New Roman" w:cs="Times New Roman"/>
          <w:color w:val="000000"/>
          <w:sz w:val="24"/>
          <w:szCs w:val="24"/>
        </w:rPr>
        <w:t xml:space="preserve">that </w:t>
      </w:r>
      <w:r w:rsidRPr="00330E69">
        <w:rPr>
          <w:rFonts w:ascii="Times New Roman" w:hAnsi="Times New Roman" w:cs="Times New Roman"/>
          <w:color w:val="000000"/>
          <w:sz w:val="24"/>
          <w:szCs w:val="24"/>
        </w:rPr>
        <w:t>must be dealt with by a co-regulatory arrangement</w:t>
      </w:r>
      <w:r>
        <w:rPr>
          <w:rFonts w:ascii="Times New Roman" w:hAnsi="Times New Roman" w:cs="Times New Roman"/>
          <w:color w:val="000000"/>
          <w:sz w:val="24"/>
          <w:szCs w:val="24"/>
        </w:rPr>
        <w:t>, including</w:t>
      </w:r>
      <w:r w:rsidRPr="00330E69">
        <w:rPr>
          <w:rFonts w:ascii="Times New Roman" w:hAnsi="Times New Roman" w:cs="Times New Roman"/>
          <w:color w:val="000000"/>
          <w:sz w:val="24"/>
          <w:szCs w:val="24"/>
        </w:rPr>
        <w:t xml:space="preserve">: </w:t>
      </w:r>
    </w:p>
    <w:p w:rsidR="003F4567" w:rsidRPr="00330E69" w:rsidRDefault="003F4567" w:rsidP="003F4567">
      <w:pPr>
        <w:spacing w:after="0" w:line="240" w:lineRule="auto"/>
        <w:rPr>
          <w:rFonts w:ascii="Times New Roman" w:hAnsi="Times New Roman" w:cs="Times New Roman"/>
          <w:color w:val="000000"/>
          <w:sz w:val="24"/>
          <w:szCs w:val="24"/>
        </w:rPr>
      </w:pPr>
    </w:p>
    <w:p w:rsidR="003F4567" w:rsidRPr="00330E69" w:rsidRDefault="003F4567" w:rsidP="003F4567">
      <w:pPr>
        <w:pStyle w:val="ListParagraph"/>
        <w:numPr>
          <w:ilvl w:val="0"/>
          <w:numId w:val="8"/>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Governance systems, including systems for:</w:t>
      </w:r>
    </w:p>
    <w:p w:rsidR="003F4567" w:rsidRPr="00330E69" w:rsidRDefault="003F4567" w:rsidP="003F4567">
      <w:pPr>
        <w:pStyle w:val="ListParagraph"/>
        <w:numPr>
          <w:ilvl w:val="1"/>
          <w:numId w:val="8"/>
        </w:numPr>
        <w:spacing w:after="0" w:line="240" w:lineRule="auto"/>
        <w:ind w:left="709"/>
        <w:rPr>
          <w:rFonts w:ascii="Times New Roman" w:hAnsi="Times New Roman" w:cs="Times New Roman"/>
          <w:sz w:val="24"/>
          <w:szCs w:val="24"/>
        </w:rPr>
      </w:pPr>
      <w:r w:rsidRPr="00330E69">
        <w:rPr>
          <w:rFonts w:ascii="Times New Roman" w:hAnsi="Times New Roman" w:cs="Times New Roman"/>
          <w:sz w:val="24"/>
          <w:szCs w:val="24"/>
        </w:rPr>
        <w:t>Achieving the outcomes and meeting the requirements in these Regulations; and</w:t>
      </w:r>
    </w:p>
    <w:p w:rsidR="003F4567" w:rsidRPr="00330E69" w:rsidRDefault="003F4567" w:rsidP="003F4567">
      <w:pPr>
        <w:pStyle w:val="ListParagraph"/>
        <w:numPr>
          <w:ilvl w:val="1"/>
          <w:numId w:val="8"/>
        </w:numPr>
        <w:spacing w:after="0" w:line="240" w:lineRule="auto"/>
        <w:ind w:left="709"/>
        <w:rPr>
          <w:rFonts w:ascii="Times New Roman" w:hAnsi="Times New Roman" w:cs="Times New Roman"/>
          <w:sz w:val="24"/>
          <w:szCs w:val="24"/>
        </w:rPr>
      </w:pPr>
      <w:r w:rsidRPr="00330E69">
        <w:rPr>
          <w:rFonts w:ascii="Times New Roman" w:hAnsi="Times New Roman" w:cs="Times New Roman"/>
          <w:sz w:val="24"/>
          <w:szCs w:val="24"/>
        </w:rPr>
        <w:t>Managing risk; and</w:t>
      </w:r>
    </w:p>
    <w:p w:rsidR="003F4567" w:rsidRPr="00330E69" w:rsidRDefault="003F4567" w:rsidP="003F4567">
      <w:pPr>
        <w:pStyle w:val="ListParagraph"/>
        <w:numPr>
          <w:ilvl w:val="1"/>
          <w:numId w:val="8"/>
        </w:numPr>
        <w:spacing w:after="0" w:line="240" w:lineRule="auto"/>
        <w:ind w:left="709"/>
        <w:rPr>
          <w:rFonts w:ascii="Times New Roman" w:hAnsi="Times New Roman" w:cs="Times New Roman"/>
          <w:sz w:val="24"/>
          <w:szCs w:val="24"/>
        </w:rPr>
      </w:pPr>
      <w:r w:rsidRPr="00330E69">
        <w:rPr>
          <w:rFonts w:ascii="Times New Roman" w:hAnsi="Times New Roman" w:cs="Times New Roman"/>
          <w:sz w:val="24"/>
          <w:szCs w:val="24"/>
        </w:rPr>
        <w:t>Resolving disputes; and</w:t>
      </w:r>
    </w:p>
    <w:p w:rsidR="003F4567" w:rsidRPr="00330E69" w:rsidRDefault="003F4567" w:rsidP="003F4567">
      <w:pPr>
        <w:pStyle w:val="ListParagraph"/>
        <w:numPr>
          <w:ilvl w:val="1"/>
          <w:numId w:val="8"/>
        </w:numPr>
        <w:spacing w:after="0" w:line="240" w:lineRule="auto"/>
        <w:ind w:left="709"/>
        <w:rPr>
          <w:rFonts w:ascii="Times New Roman" w:hAnsi="Times New Roman" w:cs="Times New Roman"/>
          <w:sz w:val="24"/>
          <w:szCs w:val="24"/>
        </w:rPr>
      </w:pPr>
      <w:r w:rsidRPr="00330E69">
        <w:rPr>
          <w:rFonts w:ascii="Times New Roman" w:hAnsi="Times New Roman" w:cs="Times New Roman"/>
          <w:sz w:val="24"/>
          <w:szCs w:val="24"/>
        </w:rPr>
        <w:t>Replacing the administrator;</w:t>
      </w:r>
    </w:p>
    <w:p w:rsidR="003F4567"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8"/>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Financial arrangements and funding to achieve the outcomes and requirements in these Regulations;</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8"/>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Procedures in relation to membership of the arrangement, including</w:t>
      </w:r>
      <w:r>
        <w:rPr>
          <w:rFonts w:ascii="Times New Roman" w:hAnsi="Times New Roman" w:cs="Times New Roman"/>
          <w:sz w:val="24"/>
          <w:szCs w:val="24"/>
        </w:rPr>
        <w:t>:</w:t>
      </w:r>
    </w:p>
    <w:p w:rsidR="003F4567" w:rsidRPr="00330E69" w:rsidRDefault="003F4567" w:rsidP="003F4567">
      <w:pPr>
        <w:pStyle w:val="ListParagraph"/>
        <w:numPr>
          <w:ilvl w:val="1"/>
          <w:numId w:val="8"/>
        </w:numPr>
        <w:tabs>
          <w:tab w:val="left" w:pos="709"/>
        </w:tabs>
        <w:spacing w:after="0" w:line="240" w:lineRule="auto"/>
        <w:ind w:left="709"/>
        <w:rPr>
          <w:rFonts w:ascii="Times New Roman" w:hAnsi="Times New Roman" w:cs="Times New Roman"/>
          <w:sz w:val="24"/>
          <w:szCs w:val="24"/>
        </w:rPr>
      </w:pPr>
      <w:r w:rsidRPr="00330E69">
        <w:rPr>
          <w:rFonts w:ascii="Times New Roman" w:hAnsi="Times New Roman" w:cs="Times New Roman"/>
          <w:sz w:val="24"/>
          <w:szCs w:val="24"/>
        </w:rPr>
        <w:t xml:space="preserve">Requirements related to becoming or ceasing to be a member; and </w:t>
      </w:r>
    </w:p>
    <w:p w:rsidR="003F4567" w:rsidRDefault="003F4567" w:rsidP="003F4567">
      <w:pPr>
        <w:pStyle w:val="ListParagraph"/>
        <w:numPr>
          <w:ilvl w:val="1"/>
          <w:numId w:val="8"/>
        </w:numPr>
        <w:tabs>
          <w:tab w:val="left" w:pos="709"/>
        </w:tabs>
        <w:spacing w:after="0" w:line="240" w:lineRule="auto"/>
        <w:ind w:left="709"/>
        <w:rPr>
          <w:rFonts w:ascii="Times New Roman" w:hAnsi="Times New Roman" w:cs="Times New Roman"/>
          <w:sz w:val="24"/>
          <w:szCs w:val="24"/>
        </w:rPr>
      </w:pPr>
      <w:r w:rsidRPr="00330E69">
        <w:rPr>
          <w:rFonts w:ascii="Times New Roman" w:hAnsi="Times New Roman" w:cs="Times New Roman"/>
          <w:sz w:val="24"/>
          <w:szCs w:val="24"/>
        </w:rPr>
        <w:t>Maintenance of confidential information about members;</w:t>
      </w:r>
    </w:p>
    <w:p w:rsidR="003F4567" w:rsidRPr="00330E69" w:rsidRDefault="003F4567" w:rsidP="003F4567">
      <w:pPr>
        <w:pStyle w:val="ListParagraph"/>
        <w:tabs>
          <w:tab w:val="left" w:pos="709"/>
        </w:tabs>
        <w:spacing w:after="0" w:line="240" w:lineRule="auto"/>
        <w:ind w:left="709"/>
        <w:rPr>
          <w:rFonts w:ascii="Times New Roman" w:hAnsi="Times New Roman" w:cs="Times New Roman"/>
          <w:sz w:val="24"/>
          <w:szCs w:val="24"/>
        </w:rPr>
      </w:pPr>
    </w:p>
    <w:p w:rsidR="003F4567" w:rsidRDefault="003F4567" w:rsidP="003F4567">
      <w:pPr>
        <w:pStyle w:val="ListParagraph"/>
        <w:numPr>
          <w:ilvl w:val="0"/>
          <w:numId w:val="8"/>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Communicating information to the public about the arrangement, including the activities of the arrangement and how its services can be accessed;</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8"/>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Assessing the adequacy of environmental, health and safety policies and practices in relation to the collection, storage, transportation, or recycling of products undertaken under the co-regulatory arrangement.</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i/>
          <w:sz w:val="24"/>
          <w:szCs w:val="24"/>
        </w:rPr>
      </w:pPr>
      <w:r w:rsidRPr="00330E69">
        <w:rPr>
          <w:rFonts w:ascii="Times New Roman" w:hAnsi="Times New Roman" w:cs="Times New Roman"/>
          <w:sz w:val="24"/>
          <w:szCs w:val="24"/>
        </w:rPr>
        <w:t xml:space="preserve">The matters to be dealt with are governance and administration requirements that are important to the viability of a co-regulatory arrangement. These matters complement </w:t>
      </w:r>
      <w:r w:rsidRPr="00330E69">
        <w:rPr>
          <w:rFonts w:ascii="Times New Roman" w:hAnsi="Times New Roman" w:cs="Times New Roman"/>
          <w:sz w:val="24"/>
          <w:szCs w:val="24"/>
          <w:lang w:val="en-US"/>
        </w:rPr>
        <w:t>governance requirements that apply to corporate bodies under other legislation</w:t>
      </w:r>
      <w:r w:rsidRPr="00330E69">
        <w:rPr>
          <w:rFonts w:ascii="Times New Roman" w:hAnsi="Times New Roman" w:cs="Times New Roman"/>
          <w:sz w:val="24"/>
          <w:szCs w:val="24"/>
        </w:rPr>
        <w:t xml:space="preserve"> such as the </w:t>
      </w:r>
      <w:r w:rsidRPr="00330E69">
        <w:rPr>
          <w:rFonts w:ascii="Times New Roman" w:hAnsi="Times New Roman" w:cs="Times New Roman"/>
          <w:i/>
          <w:sz w:val="24"/>
          <w:szCs w:val="24"/>
        </w:rPr>
        <w:t>Corporations Act 2001 (</w:t>
      </w:r>
      <w:proofErr w:type="spellStart"/>
      <w:r w:rsidRPr="00330E69">
        <w:rPr>
          <w:rFonts w:ascii="Times New Roman" w:hAnsi="Times New Roman" w:cs="Times New Roman"/>
          <w:i/>
          <w:sz w:val="24"/>
          <w:szCs w:val="24"/>
        </w:rPr>
        <w:t>Cth</w:t>
      </w:r>
      <w:proofErr w:type="spellEnd"/>
      <w:r w:rsidRPr="00330E69">
        <w:rPr>
          <w:rFonts w:ascii="Times New Roman" w:hAnsi="Times New Roman" w:cs="Times New Roman"/>
          <w:i/>
          <w:sz w:val="24"/>
          <w:szCs w:val="24"/>
        </w:rPr>
        <w:t>).</w:t>
      </w:r>
    </w:p>
    <w:p w:rsidR="003F4567" w:rsidRPr="00330E69" w:rsidRDefault="003F4567" w:rsidP="003F4567">
      <w:pPr>
        <w:spacing w:after="0" w:line="240" w:lineRule="auto"/>
        <w:rPr>
          <w:rFonts w:ascii="Times New Roman" w:hAnsi="Times New Roman" w:cs="Times New Roman"/>
          <w:b/>
          <w:bCs/>
          <w:color w:val="000000"/>
          <w:sz w:val="24"/>
          <w:szCs w:val="24"/>
        </w:rPr>
      </w:pPr>
    </w:p>
    <w:p w:rsidR="003F4567" w:rsidRPr="00330E69" w:rsidRDefault="003F4567" w:rsidP="003F4567">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r w:rsidRPr="00FA536A">
        <w:rPr>
          <w:rFonts w:ascii="Times New Roman" w:hAnsi="Times New Roman" w:cs="Times New Roman"/>
          <w:b/>
          <w:bCs/>
          <w:color w:val="000000"/>
          <w:sz w:val="24"/>
          <w:szCs w:val="24"/>
        </w:rPr>
        <w:lastRenderedPageBreak/>
        <w:t xml:space="preserve">Part 5 </w:t>
      </w:r>
      <w:r w:rsidRPr="00FA536A">
        <w:rPr>
          <w:rFonts w:ascii="Times New Roman" w:hAnsi="Times New Roman" w:cs="Times New Roman"/>
          <w:b/>
          <w:bCs/>
          <w:color w:val="000000"/>
          <w:sz w:val="24"/>
          <w:szCs w:val="24"/>
        </w:rPr>
        <w:tab/>
        <w:t>Record keeping, giving information and reporting</w:t>
      </w:r>
    </w:p>
    <w:p w:rsidR="003F4567" w:rsidRPr="00330E69" w:rsidRDefault="003F4567" w:rsidP="003F4567">
      <w:p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 xml:space="preserve">This Part outlines the requirements for record keeping, giving information and reporting by liable parties and administrators of co-regulatory arrangements in accordance with section 24 of the Act. The first division relates to requirements for administrators </w:t>
      </w:r>
      <w:r>
        <w:rPr>
          <w:rFonts w:ascii="Times New Roman" w:hAnsi="Times New Roman" w:cs="Times New Roman"/>
          <w:color w:val="000000"/>
          <w:sz w:val="24"/>
          <w:szCs w:val="24"/>
        </w:rPr>
        <w:t xml:space="preserve">of co-regulatory arrangements </w:t>
      </w:r>
      <w:r w:rsidRPr="00330E69">
        <w:rPr>
          <w:rFonts w:ascii="Times New Roman" w:hAnsi="Times New Roman" w:cs="Times New Roman"/>
          <w:color w:val="000000"/>
          <w:sz w:val="24"/>
          <w:szCs w:val="24"/>
        </w:rPr>
        <w:t>and liable parties to give information. The second division relate</w:t>
      </w:r>
      <w:r>
        <w:rPr>
          <w:rFonts w:ascii="Times New Roman" w:hAnsi="Times New Roman" w:cs="Times New Roman"/>
          <w:color w:val="000000"/>
          <w:sz w:val="24"/>
          <w:szCs w:val="24"/>
        </w:rPr>
        <w:t>s</w:t>
      </w:r>
      <w:r w:rsidRPr="00330E69">
        <w:rPr>
          <w:rFonts w:ascii="Times New Roman" w:hAnsi="Times New Roman" w:cs="Times New Roman"/>
          <w:color w:val="000000"/>
          <w:sz w:val="24"/>
          <w:szCs w:val="24"/>
        </w:rPr>
        <w:t xml:space="preserve"> to the requirements for administrators and liable parties to give information to the Minister. The third division relates to the requirements and matters for inclusion for an annual report, and for an audit report </w:t>
      </w:r>
      <w:r>
        <w:rPr>
          <w:rFonts w:ascii="Times New Roman" w:hAnsi="Times New Roman" w:cs="Times New Roman"/>
          <w:color w:val="000000"/>
          <w:sz w:val="24"/>
          <w:szCs w:val="24"/>
        </w:rPr>
        <w:t xml:space="preserve">to </w:t>
      </w:r>
      <w:r w:rsidRPr="00330E69">
        <w:rPr>
          <w:rFonts w:ascii="Times New Roman" w:hAnsi="Times New Roman" w:cs="Times New Roman"/>
          <w:color w:val="000000"/>
          <w:sz w:val="24"/>
          <w:szCs w:val="24"/>
        </w:rPr>
        <w:t xml:space="preserve">accompany an annual report. </w:t>
      </w:r>
    </w:p>
    <w:p w:rsidR="003F4567" w:rsidRPr="00330E69" w:rsidRDefault="003F4567" w:rsidP="003F4567">
      <w:pPr>
        <w:spacing w:after="0" w:line="240" w:lineRule="auto"/>
        <w:rPr>
          <w:rFonts w:ascii="Times New Roman" w:hAnsi="Times New Roman" w:cs="Times New Roman"/>
          <w:color w:val="000000"/>
          <w:sz w:val="24"/>
          <w:szCs w:val="24"/>
        </w:rPr>
      </w:pPr>
    </w:p>
    <w:p w:rsidR="003F4567" w:rsidRDefault="003F4567" w:rsidP="003F4567">
      <w:pPr>
        <w:spacing w:after="0" w:line="240" w:lineRule="auto"/>
        <w:rPr>
          <w:rFonts w:ascii="Times New Roman" w:hAnsi="Times New Roman" w:cs="Times New Roman"/>
          <w:b/>
          <w:sz w:val="24"/>
          <w:szCs w:val="24"/>
        </w:rPr>
      </w:pPr>
      <w:r w:rsidRPr="00FA536A">
        <w:rPr>
          <w:rFonts w:ascii="Times New Roman" w:hAnsi="Times New Roman" w:cs="Times New Roman"/>
          <w:b/>
          <w:sz w:val="24"/>
          <w:szCs w:val="24"/>
        </w:rPr>
        <w:t xml:space="preserve">Division 5.1 Record keeping </w:t>
      </w:r>
    </w:p>
    <w:p w:rsidR="003F4567" w:rsidRDefault="003F4567" w:rsidP="003F4567">
      <w:pPr>
        <w:spacing w:after="0" w:line="240" w:lineRule="auto"/>
        <w:rPr>
          <w:rFonts w:ascii="Times New Roman" w:hAnsi="Times New Roman" w:cs="Times New Roman"/>
          <w:b/>
          <w:sz w:val="24"/>
          <w:szCs w:val="24"/>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Regulation 5.01 – Administrator to keep records</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 xml:space="preserve">Regulation 5.01 is concerned with an administrator </w:t>
      </w:r>
      <w:r>
        <w:rPr>
          <w:rFonts w:ascii="Times New Roman" w:hAnsi="Times New Roman" w:cs="Times New Roman"/>
          <w:color w:val="000000"/>
          <w:sz w:val="24"/>
          <w:szCs w:val="24"/>
        </w:rPr>
        <w:t xml:space="preserve">of a co-regulatory </w:t>
      </w:r>
      <w:r w:rsidRPr="00330E69">
        <w:rPr>
          <w:rFonts w:ascii="Times New Roman" w:hAnsi="Times New Roman" w:cs="Times New Roman"/>
          <w:color w:val="000000"/>
          <w:sz w:val="24"/>
          <w:szCs w:val="24"/>
        </w:rPr>
        <w:t>arrangement maintaining accurate records relevant to the administration and operation of activities undertaken by that arrangement. These records will assist in enabling verification of the accuracy of information and reports given under Divisions 5.2 and 5.3 of the Regulations.</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5.01(1) requires </w:t>
      </w:r>
      <w:r>
        <w:rPr>
          <w:rFonts w:ascii="Times New Roman" w:hAnsi="Times New Roman" w:cs="Times New Roman"/>
          <w:sz w:val="24"/>
          <w:szCs w:val="24"/>
        </w:rPr>
        <w:t>an</w:t>
      </w:r>
      <w:r w:rsidRPr="00330E69">
        <w:rPr>
          <w:rFonts w:ascii="Times New Roman" w:hAnsi="Times New Roman" w:cs="Times New Roman"/>
          <w:sz w:val="24"/>
          <w:szCs w:val="24"/>
        </w:rPr>
        <w:t xml:space="preserve"> administrator of a co-regulatory arrangement to make records relating to the administration or operation of the</w:t>
      </w:r>
      <w:r>
        <w:rPr>
          <w:rFonts w:ascii="Times New Roman" w:hAnsi="Times New Roman" w:cs="Times New Roman"/>
          <w:sz w:val="24"/>
          <w:szCs w:val="24"/>
        </w:rPr>
        <w:t xml:space="preserve"> co-regulatory</w:t>
      </w:r>
      <w:r w:rsidRPr="00330E69">
        <w:rPr>
          <w:rFonts w:ascii="Times New Roman" w:hAnsi="Times New Roman" w:cs="Times New Roman"/>
          <w:sz w:val="24"/>
          <w:szCs w:val="24"/>
        </w:rPr>
        <w:t xml:space="preserve"> arrangement. A civil penalty of 250 penalty units applies to a contravention of this requirement.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5.01(2) requires </w:t>
      </w:r>
      <w:r>
        <w:rPr>
          <w:rFonts w:ascii="Times New Roman" w:hAnsi="Times New Roman" w:cs="Times New Roman"/>
          <w:sz w:val="24"/>
          <w:szCs w:val="24"/>
        </w:rPr>
        <w:t>an</w:t>
      </w:r>
      <w:r w:rsidRPr="00330E69">
        <w:rPr>
          <w:rFonts w:ascii="Times New Roman" w:hAnsi="Times New Roman" w:cs="Times New Roman"/>
          <w:sz w:val="24"/>
          <w:szCs w:val="24"/>
        </w:rPr>
        <w:t xml:space="preserve"> administrator of a co-regulatory arrangement to keep </w:t>
      </w:r>
      <w:r>
        <w:rPr>
          <w:rFonts w:ascii="Times New Roman" w:hAnsi="Times New Roman" w:cs="Times New Roman"/>
          <w:sz w:val="24"/>
          <w:szCs w:val="24"/>
        </w:rPr>
        <w:t>each</w:t>
      </w:r>
      <w:r w:rsidRPr="00330E69">
        <w:rPr>
          <w:rFonts w:ascii="Times New Roman" w:hAnsi="Times New Roman" w:cs="Times New Roman"/>
          <w:sz w:val="24"/>
          <w:szCs w:val="24"/>
        </w:rPr>
        <w:t xml:space="preserve"> record for 5 years from the day of creation of that record. A civil penalty of 250 penalty units applies to a contravention of this requirement.</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color w:val="000000"/>
          <w:sz w:val="24"/>
          <w:szCs w:val="24"/>
        </w:rPr>
      </w:pPr>
      <w:proofErr w:type="spellStart"/>
      <w:r w:rsidRPr="00330E69">
        <w:rPr>
          <w:rFonts w:ascii="Times New Roman" w:hAnsi="Times New Roman" w:cs="Times New Roman"/>
          <w:color w:val="000000"/>
          <w:sz w:val="24"/>
          <w:szCs w:val="24"/>
        </w:rPr>
        <w:t>Subregulation</w:t>
      </w:r>
      <w:proofErr w:type="spellEnd"/>
      <w:r w:rsidRPr="00330E69">
        <w:rPr>
          <w:rFonts w:ascii="Times New Roman" w:hAnsi="Times New Roman" w:cs="Times New Roman"/>
          <w:color w:val="000000"/>
          <w:sz w:val="24"/>
          <w:szCs w:val="24"/>
        </w:rPr>
        <w:t xml:space="preserve"> 5.01(3) provides some guidance on the types of records contemplated to be </w:t>
      </w:r>
      <w:r>
        <w:rPr>
          <w:rFonts w:ascii="Times New Roman" w:hAnsi="Times New Roman" w:cs="Times New Roman"/>
          <w:color w:val="000000"/>
          <w:sz w:val="24"/>
          <w:szCs w:val="24"/>
        </w:rPr>
        <w:t>maintained</w:t>
      </w:r>
      <w:r w:rsidRPr="00330E69">
        <w:rPr>
          <w:rFonts w:ascii="Times New Roman" w:hAnsi="Times New Roman" w:cs="Times New Roman"/>
          <w:color w:val="000000"/>
          <w:sz w:val="24"/>
          <w:szCs w:val="24"/>
        </w:rPr>
        <w:t xml:space="preserve"> in relation to the administration or operation of an arrangement, including technical data, certifications and inspection records relating to:</w:t>
      </w:r>
    </w:p>
    <w:p w:rsidR="003F4567" w:rsidRPr="00330E69" w:rsidRDefault="003F4567" w:rsidP="003F4567">
      <w:pPr>
        <w:spacing w:after="0" w:line="240" w:lineRule="auto"/>
        <w:rPr>
          <w:rFonts w:ascii="Times New Roman" w:hAnsi="Times New Roman" w:cs="Times New Roman"/>
          <w:color w:val="000000"/>
          <w:sz w:val="24"/>
          <w:szCs w:val="24"/>
        </w:rPr>
      </w:pPr>
    </w:p>
    <w:p w:rsidR="003F4567" w:rsidRDefault="003F4567" w:rsidP="003F4567">
      <w:pPr>
        <w:pStyle w:val="ListParagraph"/>
        <w:numPr>
          <w:ilvl w:val="0"/>
          <w:numId w:val="10"/>
        </w:num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 xml:space="preserve">the outcomes to be achieved </w:t>
      </w:r>
      <w:r>
        <w:rPr>
          <w:rFonts w:ascii="Times New Roman" w:hAnsi="Times New Roman" w:cs="Times New Roman"/>
          <w:color w:val="000000"/>
          <w:sz w:val="24"/>
          <w:szCs w:val="24"/>
        </w:rPr>
        <w:t xml:space="preserve">by the co-regulatory arrangement specified in </w:t>
      </w:r>
      <w:r w:rsidRPr="00330E69">
        <w:rPr>
          <w:rFonts w:ascii="Times New Roman" w:hAnsi="Times New Roman" w:cs="Times New Roman"/>
          <w:color w:val="000000"/>
          <w:sz w:val="24"/>
          <w:szCs w:val="24"/>
        </w:rPr>
        <w:t>Part 3 ;</w:t>
      </w:r>
    </w:p>
    <w:p w:rsidR="003F4567" w:rsidRPr="00330E69" w:rsidRDefault="003F4567" w:rsidP="003F4567">
      <w:pPr>
        <w:pStyle w:val="ListParagraph"/>
        <w:spacing w:after="0" w:line="240" w:lineRule="auto"/>
        <w:ind w:left="360"/>
        <w:rPr>
          <w:rFonts w:ascii="Times New Roman" w:hAnsi="Times New Roman" w:cs="Times New Roman"/>
          <w:color w:val="000000"/>
          <w:sz w:val="24"/>
          <w:szCs w:val="24"/>
        </w:rPr>
      </w:pPr>
    </w:p>
    <w:p w:rsidR="003F4567" w:rsidRDefault="003F4567" w:rsidP="003F4567">
      <w:pPr>
        <w:pStyle w:val="ListParagraph"/>
        <w:numPr>
          <w:ilvl w:val="0"/>
          <w:numId w:val="10"/>
        </w:num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the matters to be dealt with by the</w:t>
      </w:r>
      <w:r>
        <w:rPr>
          <w:rFonts w:ascii="Times New Roman" w:hAnsi="Times New Roman" w:cs="Times New Roman"/>
          <w:color w:val="000000"/>
          <w:sz w:val="24"/>
          <w:szCs w:val="24"/>
        </w:rPr>
        <w:t xml:space="preserve"> co-regulatory</w:t>
      </w:r>
      <w:r w:rsidRPr="00330E69">
        <w:rPr>
          <w:rFonts w:ascii="Times New Roman" w:hAnsi="Times New Roman" w:cs="Times New Roman"/>
          <w:color w:val="000000"/>
          <w:sz w:val="24"/>
          <w:szCs w:val="24"/>
        </w:rPr>
        <w:t xml:space="preserve"> arrangement specified under Part 4 ;</w:t>
      </w:r>
    </w:p>
    <w:p w:rsidR="003F4567" w:rsidRPr="00330E69" w:rsidRDefault="003F4567" w:rsidP="003F4567">
      <w:pPr>
        <w:pStyle w:val="ListParagraph"/>
        <w:spacing w:after="0" w:line="240" w:lineRule="auto"/>
        <w:ind w:left="360"/>
        <w:rPr>
          <w:rFonts w:ascii="Times New Roman" w:hAnsi="Times New Roman" w:cs="Times New Roman"/>
          <w:color w:val="000000"/>
          <w:sz w:val="24"/>
          <w:szCs w:val="24"/>
        </w:rPr>
      </w:pPr>
    </w:p>
    <w:p w:rsidR="003F4567" w:rsidRPr="00330E69" w:rsidRDefault="003F4567" w:rsidP="003F4567">
      <w:pPr>
        <w:pStyle w:val="ListParagraph"/>
        <w:numPr>
          <w:ilvl w:val="0"/>
          <w:numId w:val="10"/>
        </w:num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reporting requirements under Division 5.3.</w:t>
      </w:r>
    </w:p>
    <w:p w:rsidR="003F4567" w:rsidRPr="00FA536A" w:rsidRDefault="003F4567" w:rsidP="003F4567">
      <w:pPr>
        <w:pStyle w:val="ListParagraph"/>
        <w:spacing w:after="0" w:line="240" w:lineRule="auto"/>
        <w:rPr>
          <w:rFonts w:ascii="Times New Roman" w:hAnsi="Times New Roman" w:cs="Times New Roman"/>
          <w:b/>
          <w:color w:val="000000"/>
          <w:sz w:val="24"/>
          <w:szCs w:val="24"/>
        </w:rPr>
      </w:pPr>
    </w:p>
    <w:p w:rsidR="003F4567" w:rsidRPr="00FA536A" w:rsidRDefault="003F4567" w:rsidP="003F4567">
      <w:pPr>
        <w:spacing w:after="0" w:line="240" w:lineRule="auto"/>
        <w:rPr>
          <w:rFonts w:ascii="Times New Roman" w:hAnsi="Times New Roman" w:cs="Times New Roman"/>
          <w:b/>
          <w:sz w:val="24"/>
          <w:szCs w:val="24"/>
        </w:rPr>
      </w:pPr>
      <w:r w:rsidRPr="00FA536A">
        <w:rPr>
          <w:rFonts w:ascii="Times New Roman" w:hAnsi="Times New Roman" w:cs="Times New Roman"/>
          <w:b/>
          <w:sz w:val="24"/>
          <w:szCs w:val="24"/>
        </w:rPr>
        <w:t>Division 5.2 Giving Information</w:t>
      </w:r>
    </w:p>
    <w:p w:rsidR="003F4567" w:rsidRPr="00FA536A" w:rsidRDefault="003F4567" w:rsidP="003F4567">
      <w:pPr>
        <w:spacing w:after="0" w:line="240" w:lineRule="auto"/>
        <w:rPr>
          <w:rFonts w:ascii="Times New Roman" w:hAnsi="Times New Roman" w:cs="Times New Roman"/>
          <w:b/>
          <w:sz w:val="24"/>
          <w:szCs w:val="24"/>
        </w:rPr>
      </w:pPr>
    </w:p>
    <w:p w:rsidR="003F4567" w:rsidRPr="00FA536A" w:rsidRDefault="003F4567" w:rsidP="003F4567">
      <w:pPr>
        <w:tabs>
          <w:tab w:val="left" w:pos="1985"/>
        </w:tabs>
        <w:spacing w:after="0" w:line="240" w:lineRule="auto"/>
        <w:rPr>
          <w:rFonts w:ascii="Times New Roman" w:hAnsi="Times New Roman" w:cs="Times New Roman"/>
          <w:b/>
          <w:sz w:val="24"/>
          <w:szCs w:val="24"/>
        </w:rPr>
      </w:pPr>
      <w:r w:rsidRPr="00FA536A">
        <w:rPr>
          <w:rFonts w:ascii="Times New Roman" w:hAnsi="Times New Roman" w:cs="Times New Roman"/>
          <w:b/>
          <w:sz w:val="24"/>
          <w:szCs w:val="24"/>
        </w:rPr>
        <w:t xml:space="preserve">Subdivision 5.2.1 </w:t>
      </w:r>
      <w:r w:rsidRPr="00FA536A">
        <w:rPr>
          <w:rFonts w:ascii="Times New Roman" w:hAnsi="Times New Roman" w:cs="Times New Roman"/>
          <w:b/>
          <w:sz w:val="24"/>
          <w:szCs w:val="24"/>
        </w:rPr>
        <w:tab/>
        <w:t>Information to be given by administrator</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Regulation 5.02 – Administrator to give information</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Regulation 5.02</w:t>
      </w:r>
      <w:r>
        <w:rPr>
          <w:rFonts w:ascii="Times New Roman" w:hAnsi="Times New Roman" w:cs="Times New Roman"/>
          <w:sz w:val="24"/>
          <w:szCs w:val="24"/>
        </w:rPr>
        <w:t>(1)</w:t>
      </w:r>
      <w:r w:rsidRPr="00330E69">
        <w:rPr>
          <w:rFonts w:ascii="Times New Roman" w:hAnsi="Times New Roman" w:cs="Times New Roman"/>
          <w:sz w:val="24"/>
          <w:szCs w:val="24"/>
        </w:rPr>
        <w:t xml:space="preserve"> </w:t>
      </w:r>
      <w:r>
        <w:rPr>
          <w:rFonts w:ascii="Times New Roman" w:hAnsi="Times New Roman" w:cs="Times New Roman"/>
          <w:sz w:val="24"/>
          <w:szCs w:val="24"/>
        </w:rPr>
        <w:t>imposes an obligation on the administrator of a co-regulatory arrangement to provide information to the Minister, or notify the Minister of, information set out in this subdivision</w:t>
      </w:r>
      <w:r w:rsidRPr="00BA36F6">
        <w:rPr>
          <w:rFonts w:ascii="Times New Roman" w:hAnsi="Times New Roman" w:cs="Times New Roman"/>
          <w:sz w:val="24"/>
          <w:szCs w:val="24"/>
        </w:rPr>
        <w:t xml:space="preserve"> </w:t>
      </w:r>
      <w:r w:rsidRPr="00330E69">
        <w:rPr>
          <w:rFonts w:ascii="Times New Roman" w:hAnsi="Times New Roman" w:cs="Times New Roman"/>
          <w:sz w:val="24"/>
          <w:szCs w:val="24"/>
        </w:rPr>
        <w:t>relating to:</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11"/>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a material change of circumstances </w:t>
      </w:r>
      <w:r>
        <w:rPr>
          <w:rFonts w:ascii="Times New Roman" w:hAnsi="Times New Roman" w:cs="Times New Roman"/>
          <w:sz w:val="24"/>
          <w:szCs w:val="24"/>
        </w:rPr>
        <w:t xml:space="preserve">for a co-regulatory arrangement </w:t>
      </w:r>
      <w:r w:rsidRPr="00330E69">
        <w:rPr>
          <w:rFonts w:ascii="Times New Roman" w:hAnsi="Times New Roman" w:cs="Times New Roman"/>
          <w:sz w:val="24"/>
          <w:szCs w:val="24"/>
        </w:rPr>
        <w:t>pursuant to regulation 5.03;</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1"/>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lastRenderedPageBreak/>
        <w:t>yearly information about the membership of a co-regulatory arrangement pursuant to regulation 5.04;</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1"/>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a change in membership </w:t>
      </w:r>
      <w:r>
        <w:rPr>
          <w:rFonts w:ascii="Times New Roman" w:hAnsi="Times New Roman" w:cs="Times New Roman"/>
          <w:sz w:val="24"/>
          <w:szCs w:val="24"/>
        </w:rPr>
        <w:t xml:space="preserve">of a co-regulatory arrangement </w:t>
      </w:r>
      <w:r w:rsidRPr="00330E69">
        <w:rPr>
          <w:rFonts w:ascii="Times New Roman" w:hAnsi="Times New Roman" w:cs="Times New Roman"/>
          <w:sz w:val="24"/>
          <w:szCs w:val="24"/>
        </w:rPr>
        <w:t>pursuant to regulation 5.05;</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1"/>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fitness and propriety of the administrator pursuant to regulation 5.0</w:t>
      </w:r>
      <w:r>
        <w:rPr>
          <w:rFonts w:ascii="Times New Roman" w:hAnsi="Times New Roman" w:cs="Times New Roman"/>
          <w:sz w:val="24"/>
          <w:szCs w:val="24"/>
        </w:rPr>
        <w:t>6</w:t>
      </w:r>
      <w:r w:rsidRPr="00330E69">
        <w:rPr>
          <w:rFonts w:ascii="Times New Roman" w:hAnsi="Times New Roman" w:cs="Times New Roman"/>
          <w:sz w:val="24"/>
          <w:szCs w:val="24"/>
        </w:rPr>
        <w:t>;</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11"/>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a written request by the Minister for provision of information by an administrator pursuit to regulation 5.07.</w:t>
      </w:r>
    </w:p>
    <w:p w:rsidR="003F4567"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F4567" w:rsidRPr="00330E69"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Failure to provide this information is a contravention of a civil penalty provision which attracts a maximum penalty of 250 penalty units. </w:t>
      </w:r>
      <w:r w:rsidRPr="00330E69">
        <w:rPr>
          <w:rFonts w:ascii="Times New Roman" w:hAnsi="Times New Roman" w:cs="Times New Roman"/>
          <w:sz w:val="24"/>
          <w:szCs w:val="24"/>
        </w:rPr>
        <w:t xml:space="preserve"> </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5.02(</w:t>
      </w:r>
      <w:r>
        <w:rPr>
          <w:rFonts w:ascii="Times New Roman" w:hAnsi="Times New Roman" w:cs="Times New Roman"/>
          <w:sz w:val="24"/>
          <w:szCs w:val="24"/>
        </w:rPr>
        <w:t>2</w:t>
      </w:r>
      <w:r w:rsidRPr="00330E69">
        <w:rPr>
          <w:rFonts w:ascii="Times New Roman" w:hAnsi="Times New Roman" w:cs="Times New Roman"/>
          <w:sz w:val="24"/>
          <w:szCs w:val="24"/>
        </w:rPr>
        <w:t xml:space="preserve">) </w:t>
      </w:r>
      <w:r>
        <w:rPr>
          <w:rFonts w:ascii="Times New Roman" w:hAnsi="Times New Roman" w:cs="Times New Roman"/>
          <w:sz w:val="24"/>
          <w:szCs w:val="24"/>
        </w:rPr>
        <w:t>requires the administrator of a co-regulatory arrangement to provide the information within the time frame specified for the giving or notifying of the information. Failure to provide the information within the time frame specified is a contravention of a civil penalty provision which attracts a maximum penalty of 250 penalty units.</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5.0</w:t>
      </w:r>
      <w:r>
        <w:rPr>
          <w:rFonts w:ascii="Times New Roman" w:hAnsi="Times New Roman" w:cs="Times New Roman"/>
          <w:sz w:val="24"/>
          <w:szCs w:val="24"/>
        </w:rPr>
        <w:t>2</w:t>
      </w:r>
      <w:r w:rsidRPr="00330E69">
        <w:rPr>
          <w:rFonts w:ascii="Times New Roman" w:hAnsi="Times New Roman" w:cs="Times New Roman"/>
          <w:sz w:val="24"/>
          <w:szCs w:val="24"/>
        </w:rPr>
        <w:t>(3) provides that the administrator of a co-regulatory arrangement must give the Minister, or notify the Minister of, information:</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29"/>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in a manner approved by the Minister for information set out in regulation</w:t>
      </w:r>
      <w:r>
        <w:rPr>
          <w:rFonts w:ascii="Times New Roman" w:hAnsi="Times New Roman" w:cs="Times New Roman"/>
          <w:sz w:val="24"/>
          <w:szCs w:val="24"/>
        </w:rPr>
        <w:t>s</w:t>
      </w:r>
      <w:r w:rsidRPr="00330E69">
        <w:rPr>
          <w:rFonts w:ascii="Times New Roman" w:hAnsi="Times New Roman" w:cs="Times New Roman"/>
          <w:sz w:val="24"/>
          <w:szCs w:val="24"/>
        </w:rPr>
        <w:t xml:space="preserve"> </w:t>
      </w:r>
      <w:r>
        <w:rPr>
          <w:rFonts w:ascii="Times New Roman" w:hAnsi="Times New Roman" w:cs="Times New Roman"/>
          <w:sz w:val="24"/>
          <w:szCs w:val="24"/>
        </w:rPr>
        <w:t>5.03 to 5.06</w:t>
      </w:r>
      <w:r w:rsidRPr="00330E69">
        <w:rPr>
          <w:rFonts w:ascii="Times New Roman" w:hAnsi="Times New Roman" w:cs="Times New Roman"/>
          <w:sz w:val="24"/>
          <w:szCs w:val="24"/>
        </w:rPr>
        <w:t>; and</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29"/>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in the specified format for information </w:t>
      </w:r>
      <w:r>
        <w:rPr>
          <w:rFonts w:ascii="Times New Roman" w:hAnsi="Times New Roman" w:cs="Times New Roman"/>
          <w:sz w:val="24"/>
          <w:szCs w:val="24"/>
        </w:rPr>
        <w:t>requested</w:t>
      </w:r>
      <w:r w:rsidRPr="00330E69">
        <w:rPr>
          <w:rFonts w:ascii="Times New Roman" w:hAnsi="Times New Roman" w:cs="Times New Roman"/>
          <w:sz w:val="24"/>
          <w:szCs w:val="24"/>
        </w:rPr>
        <w:t xml:space="preserve"> </w:t>
      </w:r>
      <w:r>
        <w:rPr>
          <w:rFonts w:ascii="Times New Roman" w:hAnsi="Times New Roman" w:cs="Times New Roman"/>
          <w:sz w:val="24"/>
          <w:szCs w:val="24"/>
        </w:rPr>
        <w:t xml:space="preserve">under </w:t>
      </w:r>
      <w:r w:rsidRPr="00330E69">
        <w:rPr>
          <w:rFonts w:ascii="Times New Roman" w:hAnsi="Times New Roman" w:cs="Times New Roman"/>
          <w:sz w:val="24"/>
          <w:szCs w:val="24"/>
        </w:rPr>
        <w:t xml:space="preserve">regulation 5.07. </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A </w:t>
      </w:r>
      <w:r>
        <w:rPr>
          <w:rFonts w:ascii="Times New Roman" w:hAnsi="Times New Roman" w:cs="Times New Roman"/>
          <w:sz w:val="24"/>
          <w:szCs w:val="24"/>
        </w:rPr>
        <w:t>maximum pecuniary penalty of 250 penalty units applies to a contravention of these requirements.</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u w:val="single"/>
        </w:rPr>
      </w:pPr>
      <w:r w:rsidRPr="00FE0993">
        <w:rPr>
          <w:rFonts w:ascii="Times New Roman" w:hAnsi="Times New Roman" w:cs="Times New Roman"/>
          <w:sz w:val="24"/>
          <w:szCs w:val="24"/>
          <w:u w:val="single"/>
        </w:rPr>
        <w:t>Regulation 5.03 – Material change of circumstances for co-regulatory arrangement</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color w:val="000000"/>
          <w:sz w:val="24"/>
          <w:szCs w:val="24"/>
        </w:rPr>
        <w:t xml:space="preserve">Regulation 5.03 requires an administrator </w:t>
      </w:r>
      <w:r w:rsidRPr="00330E69">
        <w:rPr>
          <w:rFonts w:ascii="Times New Roman" w:hAnsi="Times New Roman" w:cs="Times New Roman"/>
          <w:sz w:val="24"/>
          <w:szCs w:val="24"/>
        </w:rPr>
        <w:t xml:space="preserve">of a co-regulatory arrangement </w:t>
      </w:r>
      <w:r w:rsidRPr="00330E69">
        <w:rPr>
          <w:rFonts w:ascii="Times New Roman" w:hAnsi="Times New Roman" w:cs="Times New Roman"/>
          <w:color w:val="000000"/>
          <w:sz w:val="24"/>
          <w:szCs w:val="24"/>
        </w:rPr>
        <w:t>to notify the Minister of any material change of circumstance for the co-regulatory arrangement</w:t>
      </w:r>
      <w:r w:rsidRPr="00330E69">
        <w:rPr>
          <w:rFonts w:ascii="Times New Roman" w:hAnsi="Times New Roman" w:cs="Times New Roman"/>
          <w:sz w:val="24"/>
          <w:szCs w:val="24"/>
        </w:rPr>
        <w:t xml:space="preserve">.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color w:val="000000"/>
          <w:sz w:val="24"/>
          <w:szCs w:val="24"/>
        </w:rPr>
        <w:t xml:space="preserve">This regulation specifies that notification of a material change of circumstance must be given to the Minister </w:t>
      </w:r>
      <w:r>
        <w:rPr>
          <w:rFonts w:ascii="Times New Roman" w:hAnsi="Times New Roman" w:cs="Times New Roman"/>
          <w:color w:val="000000"/>
          <w:sz w:val="24"/>
          <w:szCs w:val="24"/>
        </w:rPr>
        <w:t>by</w:t>
      </w:r>
      <w:r w:rsidRPr="00330E69">
        <w:rPr>
          <w:rFonts w:ascii="Times New Roman" w:hAnsi="Times New Roman" w:cs="Times New Roman"/>
          <w:color w:val="000000"/>
          <w:sz w:val="24"/>
          <w:szCs w:val="24"/>
        </w:rPr>
        <w:t xml:space="preserve"> 28 days </w:t>
      </w:r>
      <w:r>
        <w:rPr>
          <w:rFonts w:ascii="Times New Roman" w:hAnsi="Times New Roman" w:cs="Times New Roman"/>
          <w:color w:val="000000"/>
          <w:sz w:val="24"/>
          <w:szCs w:val="24"/>
        </w:rPr>
        <w:t>after</w:t>
      </w:r>
      <w:r w:rsidRPr="00330E69">
        <w:rPr>
          <w:rFonts w:ascii="Times New Roman" w:hAnsi="Times New Roman" w:cs="Times New Roman"/>
          <w:color w:val="000000"/>
          <w:sz w:val="24"/>
          <w:szCs w:val="24"/>
        </w:rPr>
        <w:t xml:space="preserve"> the material change</w:t>
      </w:r>
      <w:r w:rsidRPr="00330E69">
        <w:rPr>
          <w:rFonts w:ascii="Times New Roman" w:hAnsi="Times New Roman" w:cs="Times New Roman"/>
          <w:sz w:val="24"/>
          <w:szCs w:val="24"/>
        </w:rPr>
        <w:t>.</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 xml:space="preserve">The regulation provides that a change of circumstance will be ‘material’ if it hinders: </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10"/>
        </w:num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the ability of the co-regulatory arrangement to achieve the outcomes specified in Part 3; or</w:t>
      </w:r>
    </w:p>
    <w:p w:rsidR="003F4567" w:rsidRPr="00330E69" w:rsidRDefault="003F4567" w:rsidP="003F4567">
      <w:pPr>
        <w:pStyle w:val="ListParagraph"/>
        <w:spacing w:after="0" w:line="240" w:lineRule="auto"/>
        <w:ind w:left="360"/>
        <w:rPr>
          <w:rFonts w:ascii="Times New Roman" w:hAnsi="Times New Roman" w:cs="Times New Roman"/>
          <w:color w:val="000000"/>
          <w:sz w:val="24"/>
          <w:szCs w:val="24"/>
        </w:rPr>
      </w:pPr>
    </w:p>
    <w:p w:rsidR="003F4567" w:rsidRDefault="003F4567" w:rsidP="003F4567">
      <w:pPr>
        <w:pStyle w:val="ListParagraph"/>
        <w:numPr>
          <w:ilvl w:val="0"/>
          <w:numId w:val="10"/>
        </w:num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the ability of the co-regulatory arrangement to adequately deal with the matters specified under Part 4; or</w:t>
      </w:r>
    </w:p>
    <w:p w:rsidR="003F4567" w:rsidRPr="00330E69" w:rsidRDefault="003F4567" w:rsidP="003F4567">
      <w:pPr>
        <w:pStyle w:val="ListParagraph"/>
        <w:spacing w:after="0" w:line="240" w:lineRule="auto"/>
        <w:ind w:left="360"/>
        <w:rPr>
          <w:rFonts w:ascii="Times New Roman" w:hAnsi="Times New Roman" w:cs="Times New Roman"/>
          <w:color w:val="000000"/>
          <w:sz w:val="24"/>
          <w:szCs w:val="24"/>
        </w:rPr>
      </w:pPr>
    </w:p>
    <w:p w:rsidR="003F4567" w:rsidRPr="00330E69" w:rsidRDefault="003F4567" w:rsidP="003F4567">
      <w:pPr>
        <w:pStyle w:val="ListParagraph"/>
        <w:numPr>
          <w:ilvl w:val="0"/>
          <w:numId w:val="10"/>
        </w:num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the ability of the administrator to comply with the requirements specified in the</w:t>
      </w:r>
      <w:r>
        <w:rPr>
          <w:rFonts w:ascii="Times New Roman" w:hAnsi="Times New Roman" w:cs="Times New Roman"/>
          <w:color w:val="000000"/>
          <w:sz w:val="24"/>
          <w:szCs w:val="24"/>
        </w:rPr>
        <w:t>se</w:t>
      </w:r>
      <w:r w:rsidRPr="00330E69">
        <w:rPr>
          <w:rFonts w:ascii="Times New Roman" w:hAnsi="Times New Roman" w:cs="Times New Roman"/>
          <w:color w:val="000000"/>
          <w:sz w:val="24"/>
          <w:szCs w:val="24"/>
        </w:rPr>
        <w:t xml:space="preserve"> Regulations.</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lastRenderedPageBreak/>
        <w:t>Regulation 5.04 – Yearly information about membership of co-regulatory arrangement</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Subr</w:t>
      </w:r>
      <w:r w:rsidRPr="00330E69">
        <w:rPr>
          <w:rFonts w:ascii="Times New Roman" w:hAnsi="Times New Roman" w:cs="Times New Roman"/>
          <w:sz w:val="24"/>
          <w:szCs w:val="24"/>
        </w:rPr>
        <w:t>egulation</w:t>
      </w:r>
      <w:proofErr w:type="spellEnd"/>
      <w:r w:rsidRPr="00330E69">
        <w:rPr>
          <w:rFonts w:ascii="Times New Roman" w:hAnsi="Times New Roman" w:cs="Times New Roman"/>
          <w:sz w:val="24"/>
          <w:szCs w:val="24"/>
        </w:rPr>
        <w:t xml:space="preserve"> 5.04</w:t>
      </w:r>
      <w:r>
        <w:rPr>
          <w:rFonts w:ascii="Times New Roman" w:hAnsi="Times New Roman" w:cs="Times New Roman"/>
          <w:sz w:val="24"/>
          <w:szCs w:val="24"/>
        </w:rPr>
        <w:t>(1)</w:t>
      </w:r>
      <w:r w:rsidRPr="00330E69">
        <w:rPr>
          <w:rFonts w:ascii="Times New Roman" w:hAnsi="Times New Roman" w:cs="Times New Roman"/>
          <w:sz w:val="24"/>
          <w:szCs w:val="24"/>
        </w:rPr>
        <w:t xml:space="preserve"> requires an administrator of a co-regulatory arrangement </w:t>
      </w:r>
      <w:r>
        <w:rPr>
          <w:rFonts w:ascii="Times New Roman" w:hAnsi="Times New Roman" w:cs="Times New Roman"/>
          <w:sz w:val="24"/>
          <w:szCs w:val="24"/>
        </w:rPr>
        <w:t>to</w:t>
      </w:r>
      <w:r w:rsidRPr="00330E69">
        <w:rPr>
          <w:rFonts w:ascii="Times New Roman" w:hAnsi="Times New Roman" w:cs="Times New Roman"/>
          <w:sz w:val="24"/>
          <w:szCs w:val="24"/>
        </w:rPr>
        <w:t xml:space="preserve"> give the Minister information about the membership of the co-regulatory arrangement each year, as at 1 September of that year. This </w:t>
      </w:r>
      <w:r>
        <w:rPr>
          <w:rFonts w:ascii="Times New Roman" w:hAnsi="Times New Roman" w:cs="Times New Roman"/>
          <w:sz w:val="24"/>
          <w:szCs w:val="24"/>
        </w:rPr>
        <w:t xml:space="preserve">information </w:t>
      </w:r>
      <w:r w:rsidRPr="00330E69">
        <w:rPr>
          <w:rFonts w:ascii="Times New Roman" w:hAnsi="Times New Roman" w:cs="Times New Roman"/>
          <w:sz w:val="24"/>
          <w:szCs w:val="24"/>
        </w:rPr>
        <w:t>will provide an overview of membership to co-regulatory arrangements at that date and assist the Minister in ensuring compliance with the obligation for a liable party to be a member of an approved co-regulatory arrangement, articulated in section 18 of the Act</w:t>
      </w:r>
      <w:r w:rsidRPr="00330E69">
        <w:rPr>
          <w:rFonts w:ascii="Times New Roman" w:hAnsi="Times New Roman" w:cs="Times New Roman"/>
          <w:i/>
          <w:sz w:val="24"/>
          <w:szCs w:val="24"/>
        </w:rPr>
        <w:t>.</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5.04(</w:t>
      </w:r>
      <w:r>
        <w:rPr>
          <w:rFonts w:ascii="Times New Roman" w:hAnsi="Times New Roman" w:cs="Times New Roman"/>
          <w:sz w:val="24"/>
          <w:szCs w:val="24"/>
        </w:rPr>
        <w:t>1</w:t>
      </w:r>
      <w:r w:rsidRPr="00330E69">
        <w:rPr>
          <w:rFonts w:ascii="Times New Roman" w:hAnsi="Times New Roman" w:cs="Times New Roman"/>
          <w:sz w:val="24"/>
          <w:szCs w:val="24"/>
        </w:rPr>
        <w:t xml:space="preserve">) requires the administrator of a co-regulatory arrangement must give the information to the Minister </w:t>
      </w:r>
      <w:r>
        <w:rPr>
          <w:rFonts w:ascii="Times New Roman" w:hAnsi="Times New Roman" w:cs="Times New Roman"/>
          <w:sz w:val="24"/>
          <w:szCs w:val="24"/>
        </w:rPr>
        <w:t>by 8 September each year</w:t>
      </w:r>
      <w:r w:rsidRPr="00330E69">
        <w:rPr>
          <w:rFonts w:ascii="Times New Roman" w:hAnsi="Times New Roman" w:cs="Times New Roman"/>
          <w:sz w:val="24"/>
          <w:szCs w:val="24"/>
        </w:rPr>
        <w:t xml:space="preserve">.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5.04(</w:t>
      </w:r>
      <w:r>
        <w:rPr>
          <w:rFonts w:ascii="Times New Roman" w:hAnsi="Times New Roman" w:cs="Times New Roman"/>
          <w:sz w:val="24"/>
          <w:szCs w:val="24"/>
        </w:rPr>
        <w:t>2</w:t>
      </w:r>
      <w:r w:rsidRPr="00330E69">
        <w:rPr>
          <w:rFonts w:ascii="Times New Roman" w:hAnsi="Times New Roman" w:cs="Times New Roman"/>
          <w:sz w:val="24"/>
          <w:szCs w:val="24"/>
        </w:rPr>
        <w:t xml:space="preserve">) sets out the information </w:t>
      </w:r>
      <w:r>
        <w:rPr>
          <w:rFonts w:ascii="Times New Roman" w:hAnsi="Times New Roman" w:cs="Times New Roman"/>
          <w:sz w:val="24"/>
          <w:szCs w:val="24"/>
        </w:rPr>
        <w:t xml:space="preserve">about the membership of a co-regulatory arrangement that must be </w:t>
      </w:r>
      <w:r w:rsidRPr="00330E69">
        <w:rPr>
          <w:rFonts w:ascii="Times New Roman" w:hAnsi="Times New Roman" w:cs="Times New Roman"/>
          <w:sz w:val="24"/>
          <w:szCs w:val="24"/>
        </w:rPr>
        <w:t>provided to the Minister</w:t>
      </w:r>
      <w:r>
        <w:rPr>
          <w:rFonts w:ascii="Times New Roman" w:hAnsi="Times New Roman" w:cs="Times New Roman"/>
          <w:sz w:val="24"/>
          <w:szCs w:val="24"/>
        </w:rPr>
        <w:t>, including</w:t>
      </w:r>
      <w:r w:rsidRPr="00330E69">
        <w:rPr>
          <w:rFonts w:ascii="Times New Roman" w:hAnsi="Times New Roman" w:cs="Times New Roman"/>
          <w:sz w:val="24"/>
          <w:szCs w:val="24"/>
        </w:rPr>
        <w:t>:</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12"/>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number of members of the co-regulatory arrangement; and</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2"/>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name, and trading name (if any), of each member; and</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2"/>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Australian Business Number or Australian Company Number of the liable party; and</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2"/>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the date each </w:t>
      </w:r>
      <w:r>
        <w:rPr>
          <w:rFonts w:ascii="Times New Roman" w:hAnsi="Times New Roman" w:cs="Times New Roman"/>
          <w:sz w:val="24"/>
          <w:szCs w:val="24"/>
        </w:rPr>
        <w:t>member</w:t>
      </w:r>
      <w:r w:rsidRPr="00330E69">
        <w:rPr>
          <w:rFonts w:ascii="Times New Roman" w:hAnsi="Times New Roman" w:cs="Times New Roman"/>
          <w:sz w:val="24"/>
          <w:szCs w:val="24"/>
        </w:rPr>
        <w:t xml:space="preserve"> became a member; and </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12"/>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date of cessation where that liable party has ceased to be a member.</w:t>
      </w:r>
    </w:p>
    <w:p w:rsidR="003F4567" w:rsidRDefault="003F4567" w:rsidP="003F4567">
      <w:pPr>
        <w:spacing w:after="0" w:line="240" w:lineRule="auto"/>
        <w:rPr>
          <w:rFonts w:ascii="Times New Roman" w:hAnsi="Times New Roman" w:cs="Times New Roman"/>
          <w:sz w:val="24"/>
          <w:szCs w:val="24"/>
          <w:u w:val="single"/>
        </w:rPr>
      </w:pPr>
    </w:p>
    <w:p w:rsidR="003F4567" w:rsidRPr="00E02843" w:rsidRDefault="003F4567" w:rsidP="003F4567">
      <w:pPr>
        <w:spacing w:after="0" w:line="240" w:lineRule="auto"/>
        <w:rPr>
          <w:rFonts w:ascii="Times New Roman" w:hAnsi="Times New Roman" w:cs="Times New Roman"/>
          <w:sz w:val="24"/>
          <w:szCs w:val="24"/>
        </w:rPr>
      </w:pPr>
      <w:proofErr w:type="spellStart"/>
      <w:r w:rsidRPr="00E02843">
        <w:rPr>
          <w:rFonts w:ascii="Times New Roman" w:hAnsi="Times New Roman" w:cs="Times New Roman"/>
          <w:sz w:val="24"/>
          <w:szCs w:val="24"/>
        </w:rPr>
        <w:t>Subregulation</w:t>
      </w:r>
      <w:proofErr w:type="spellEnd"/>
      <w:r w:rsidRPr="00E02843">
        <w:rPr>
          <w:rFonts w:ascii="Times New Roman" w:hAnsi="Times New Roman" w:cs="Times New Roman"/>
          <w:sz w:val="24"/>
          <w:szCs w:val="24"/>
        </w:rPr>
        <w:t xml:space="preserve"> 5.04(</w:t>
      </w:r>
      <w:r>
        <w:rPr>
          <w:rFonts w:ascii="Times New Roman" w:hAnsi="Times New Roman" w:cs="Times New Roman"/>
          <w:sz w:val="24"/>
          <w:szCs w:val="24"/>
        </w:rPr>
        <w:t>3</w:t>
      </w:r>
      <w:r w:rsidRPr="00E02843">
        <w:rPr>
          <w:rFonts w:ascii="Times New Roman" w:hAnsi="Times New Roman" w:cs="Times New Roman"/>
          <w:sz w:val="24"/>
          <w:szCs w:val="24"/>
        </w:rPr>
        <w:t xml:space="preserve">) requires an administrator of a co-regulatory arrangement </w:t>
      </w:r>
      <w:r>
        <w:rPr>
          <w:rFonts w:ascii="Times New Roman" w:hAnsi="Times New Roman" w:cs="Times New Roman"/>
          <w:sz w:val="24"/>
          <w:szCs w:val="24"/>
        </w:rPr>
        <w:t>to</w:t>
      </w:r>
      <w:r w:rsidRPr="00E02843">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E02843">
        <w:rPr>
          <w:rFonts w:ascii="Times New Roman" w:hAnsi="Times New Roman" w:cs="Times New Roman"/>
          <w:sz w:val="24"/>
          <w:szCs w:val="24"/>
        </w:rPr>
        <w:t xml:space="preserve">give the Minister </w:t>
      </w:r>
      <w:r>
        <w:rPr>
          <w:rFonts w:ascii="Times New Roman" w:hAnsi="Times New Roman" w:cs="Times New Roman"/>
          <w:sz w:val="24"/>
          <w:szCs w:val="24"/>
        </w:rPr>
        <w:t xml:space="preserve">the </w:t>
      </w:r>
      <w:r w:rsidRPr="00E02843">
        <w:rPr>
          <w:rFonts w:ascii="Times New Roman" w:hAnsi="Times New Roman" w:cs="Times New Roman"/>
          <w:sz w:val="24"/>
          <w:szCs w:val="24"/>
        </w:rPr>
        <w:t xml:space="preserve">information </w:t>
      </w:r>
      <w:r>
        <w:rPr>
          <w:rFonts w:ascii="Times New Roman" w:hAnsi="Times New Roman" w:cs="Times New Roman"/>
          <w:sz w:val="24"/>
          <w:szCs w:val="24"/>
        </w:rPr>
        <w:t>specified</w:t>
      </w:r>
      <w:r w:rsidRPr="00E02843">
        <w:rPr>
          <w:rFonts w:ascii="Times New Roman" w:hAnsi="Times New Roman" w:cs="Times New Roman"/>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5.04(2) </w:t>
      </w:r>
      <w:r w:rsidRPr="00E02843">
        <w:rPr>
          <w:rFonts w:ascii="Times New Roman" w:hAnsi="Times New Roman" w:cs="Times New Roman"/>
          <w:sz w:val="24"/>
          <w:szCs w:val="24"/>
        </w:rPr>
        <w:t xml:space="preserve">as at 1 April 2012. </w:t>
      </w:r>
      <w:r w:rsidRPr="00330E69">
        <w:rPr>
          <w:rFonts w:ascii="Times New Roman" w:hAnsi="Times New Roman" w:cs="Times New Roman"/>
          <w:sz w:val="24"/>
          <w:szCs w:val="24"/>
        </w:rPr>
        <w:t>A</w:t>
      </w:r>
      <w:r>
        <w:rPr>
          <w:rFonts w:ascii="Times New Roman" w:hAnsi="Times New Roman" w:cs="Times New Roman"/>
          <w:sz w:val="24"/>
          <w:szCs w:val="24"/>
        </w:rPr>
        <w:t xml:space="preserve">n administrator </w:t>
      </w:r>
      <w:r w:rsidRPr="00330E69">
        <w:rPr>
          <w:rFonts w:ascii="Times New Roman" w:hAnsi="Times New Roman" w:cs="Times New Roman"/>
          <w:sz w:val="24"/>
          <w:szCs w:val="24"/>
        </w:rPr>
        <w:t xml:space="preserve">is required to provide this </w:t>
      </w:r>
      <w:r>
        <w:rPr>
          <w:rFonts w:ascii="Times New Roman" w:hAnsi="Times New Roman" w:cs="Times New Roman"/>
          <w:sz w:val="24"/>
          <w:szCs w:val="24"/>
        </w:rPr>
        <w:t xml:space="preserve">information </w:t>
      </w:r>
      <w:r w:rsidRPr="00330E69">
        <w:rPr>
          <w:rFonts w:ascii="Times New Roman" w:hAnsi="Times New Roman" w:cs="Times New Roman"/>
          <w:sz w:val="24"/>
          <w:szCs w:val="24"/>
        </w:rPr>
        <w:t xml:space="preserve">to the Minister by </w:t>
      </w:r>
      <w:r>
        <w:rPr>
          <w:rFonts w:ascii="Times New Roman" w:hAnsi="Times New Roman" w:cs="Times New Roman"/>
          <w:sz w:val="24"/>
          <w:szCs w:val="24"/>
        </w:rPr>
        <w:t>8</w:t>
      </w:r>
      <w:r w:rsidRPr="00330E69">
        <w:rPr>
          <w:rFonts w:ascii="Times New Roman" w:hAnsi="Times New Roman" w:cs="Times New Roman"/>
          <w:sz w:val="24"/>
          <w:szCs w:val="24"/>
        </w:rPr>
        <w:t xml:space="preserve"> </w:t>
      </w:r>
      <w:r>
        <w:rPr>
          <w:rFonts w:ascii="Times New Roman" w:hAnsi="Times New Roman" w:cs="Times New Roman"/>
          <w:sz w:val="24"/>
          <w:szCs w:val="24"/>
        </w:rPr>
        <w:t>April 2012.</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Regulation 5.05 – Changes in membership of co-regulatory arrangement</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Regulation 5.05 outlines the notification requirements for the administrator </w:t>
      </w:r>
      <w:r>
        <w:rPr>
          <w:rFonts w:ascii="Times New Roman" w:hAnsi="Times New Roman" w:cs="Times New Roman"/>
          <w:sz w:val="24"/>
          <w:szCs w:val="24"/>
        </w:rPr>
        <w:t xml:space="preserve">of a co-regulatory arrangement </w:t>
      </w:r>
      <w:r w:rsidRPr="00330E69">
        <w:rPr>
          <w:rFonts w:ascii="Times New Roman" w:hAnsi="Times New Roman" w:cs="Times New Roman"/>
          <w:sz w:val="24"/>
          <w:szCs w:val="24"/>
        </w:rPr>
        <w:t xml:space="preserve">relating to changes in membership of </w:t>
      </w:r>
      <w:r>
        <w:rPr>
          <w:rFonts w:ascii="Times New Roman" w:hAnsi="Times New Roman" w:cs="Times New Roman"/>
          <w:sz w:val="24"/>
          <w:szCs w:val="24"/>
        </w:rPr>
        <w:t xml:space="preserve">the </w:t>
      </w:r>
      <w:r w:rsidRPr="00330E69">
        <w:rPr>
          <w:rFonts w:ascii="Times New Roman" w:hAnsi="Times New Roman" w:cs="Times New Roman"/>
          <w:sz w:val="24"/>
          <w:szCs w:val="24"/>
        </w:rPr>
        <w:t>co-regulatory arrangement. The regulation will assist the Minister in ensuring compliance with the obligation for a liable party to be a member of an approved co-regulatory arrangement, articulated in section 18 of the Act</w:t>
      </w:r>
      <w:r w:rsidRPr="00330E69">
        <w:rPr>
          <w:rFonts w:ascii="Times New Roman" w:hAnsi="Times New Roman" w:cs="Times New Roman"/>
          <w:i/>
          <w:sz w:val="24"/>
          <w:szCs w:val="24"/>
        </w:rPr>
        <w:t xml:space="preserve">.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5.05(1) requires an administrator of a co-regulatory arrangement to notify the Minister in writing if a liable party becomes, or ceases to be, a member of the co-regulatory arrangement. </w:t>
      </w:r>
      <w:r w:rsidRPr="00330E69">
        <w:rPr>
          <w:rFonts w:ascii="Times New Roman" w:hAnsi="Times New Roman" w:cs="Times New Roman"/>
          <w:color w:val="000000"/>
          <w:sz w:val="24"/>
          <w:szCs w:val="24"/>
        </w:rPr>
        <w:t xml:space="preserve">This regulation also specifies that notification of a change in membership of a co-regulatory arrangement must be given to the Minister </w:t>
      </w:r>
      <w:r>
        <w:rPr>
          <w:rFonts w:ascii="Times New Roman" w:hAnsi="Times New Roman" w:cs="Times New Roman"/>
          <w:color w:val="000000"/>
          <w:sz w:val="24"/>
          <w:szCs w:val="24"/>
        </w:rPr>
        <w:t>by</w:t>
      </w:r>
      <w:r w:rsidRPr="00330E69">
        <w:rPr>
          <w:rFonts w:ascii="Times New Roman" w:hAnsi="Times New Roman" w:cs="Times New Roman"/>
          <w:color w:val="000000"/>
          <w:sz w:val="24"/>
          <w:szCs w:val="24"/>
        </w:rPr>
        <w:t xml:space="preserve"> 28 days </w:t>
      </w:r>
      <w:r>
        <w:rPr>
          <w:rFonts w:ascii="Times New Roman" w:hAnsi="Times New Roman" w:cs="Times New Roman"/>
          <w:color w:val="000000"/>
          <w:sz w:val="24"/>
          <w:szCs w:val="24"/>
        </w:rPr>
        <w:t>after</w:t>
      </w:r>
      <w:r w:rsidRPr="00330E69">
        <w:rPr>
          <w:rFonts w:ascii="Times New Roman" w:hAnsi="Times New Roman" w:cs="Times New Roman"/>
          <w:color w:val="000000"/>
          <w:sz w:val="24"/>
          <w:szCs w:val="24"/>
        </w:rPr>
        <w:t xml:space="preserve"> the change</w:t>
      </w:r>
      <w:r>
        <w:rPr>
          <w:rFonts w:ascii="Times New Roman" w:hAnsi="Times New Roman" w:cs="Times New Roman"/>
          <w:color w:val="000000"/>
          <w:sz w:val="24"/>
          <w:szCs w:val="24"/>
        </w:rPr>
        <w:t xml:space="preserve"> occurs</w:t>
      </w:r>
      <w:r w:rsidRPr="00330E69">
        <w:rPr>
          <w:rFonts w:ascii="Times New Roman" w:hAnsi="Times New Roman" w:cs="Times New Roman"/>
          <w:color w:val="000000"/>
          <w:sz w:val="24"/>
          <w:szCs w:val="24"/>
        </w:rPr>
        <w:t xml:space="preserve">.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5.05(2) </w:t>
      </w:r>
      <w:r>
        <w:rPr>
          <w:rFonts w:ascii="Times New Roman" w:hAnsi="Times New Roman" w:cs="Times New Roman"/>
          <w:sz w:val="24"/>
          <w:szCs w:val="24"/>
        </w:rPr>
        <w:t>specifies</w:t>
      </w:r>
      <w:r w:rsidRPr="00330E69">
        <w:rPr>
          <w:rFonts w:ascii="Times New Roman" w:hAnsi="Times New Roman" w:cs="Times New Roman"/>
          <w:sz w:val="24"/>
          <w:szCs w:val="24"/>
        </w:rPr>
        <w:t xml:space="preserve"> the information that must be included in a notice to the Minister for a change in membership</w:t>
      </w:r>
      <w:r>
        <w:rPr>
          <w:rFonts w:ascii="Times New Roman" w:hAnsi="Times New Roman" w:cs="Times New Roman"/>
          <w:sz w:val="24"/>
          <w:szCs w:val="24"/>
        </w:rPr>
        <w:t>, including</w:t>
      </w:r>
      <w:r w:rsidRPr="00330E69">
        <w:rPr>
          <w:rFonts w:ascii="Times New Roman" w:hAnsi="Times New Roman" w:cs="Times New Roman"/>
          <w:sz w:val="24"/>
          <w:szCs w:val="24"/>
        </w:rPr>
        <w:t>:</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12"/>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Australian Business Number or Australian Company Number of the liable party; and</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2"/>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the date the liable party became a member; and </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12"/>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date of cessation where that liable party has ceased to be a member.</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Regulation 5.06 – Whether administrator is fit and proper person</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Regulation 5.06 sets out reporting requirements for events relevant to the fitness and propriety of an administrator</w:t>
      </w:r>
      <w:r>
        <w:rPr>
          <w:rFonts w:ascii="Times New Roman" w:hAnsi="Times New Roman" w:cs="Times New Roman"/>
          <w:color w:val="000000"/>
          <w:sz w:val="24"/>
          <w:szCs w:val="24"/>
        </w:rPr>
        <w:t xml:space="preserve"> </w:t>
      </w:r>
      <w:r w:rsidRPr="00330E69">
        <w:rPr>
          <w:rFonts w:ascii="Times New Roman" w:hAnsi="Times New Roman" w:cs="Times New Roman"/>
          <w:sz w:val="24"/>
          <w:szCs w:val="24"/>
        </w:rPr>
        <w:t>of a co-regulatory arrangement</w:t>
      </w:r>
      <w:r w:rsidRPr="00330E69">
        <w:rPr>
          <w:rFonts w:ascii="Times New Roman" w:hAnsi="Times New Roman" w:cs="Times New Roman"/>
          <w:color w:val="000000"/>
          <w:sz w:val="24"/>
          <w:szCs w:val="24"/>
        </w:rPr>
        <w:t>.</w:t>
      </w:r>
      <w:r w:rsidRPr="00330E69">
        <w:rPr>
          <w:rFonts w:ascii="Times New Roman" w:hAnsi="Times New Roman" w:cs="Times New Roman"/>
          <w:sz w:val="24"/>
          <w:szCs w:val="24"/>
          <w:lang w:val="en-US"/>
        </w:rPr>
        <w:t xml:space="preserve"> </w:t>
      </w:r>
      <w:proofErr w:type="spellStart"/>
      <w:r w:rsidRPr="00330E69">
        <w:rPr>
          <w:rFonts w:ascii="Times New Roman" w:hAnsi="Times New Roman" w:cs="Times New Roman"/>
          <w:color w:val="000000"/>
          <w:sz w:val="24"/>
          <w:szCs w:val="24"/>
        </w:rPr>
        <w:t>Subregulation</w:t>
      </w:r>
      <w:proofErr w:type="spellEnd"/>
      <w:r w:rsidRPr="00330E69">
        <w:rPr>
          <w:rFonts w:ascii="Times New Roman" w:hAnsi="Times New Roman" w:cs="Times New Roman"/>
          <w:color w:val="000000"/>
          <w:sz w:val="24"/>
          <w:szCs w:val="24"/>
        </w:rPr>
        <w:t xml:space="preserve"> 5.06(1)</w:t>
      </w:r>
      <w:r w:rsidRPr="00330E69">
        <w:rPr>
          <w:rFonts w:ascii="Times New Roman" w:hAnsi="Times New Roman" w:cs="Times New Roman"/>
          <w:sz w:val="24"/>
          <w:szCs w:val="24"/>
        </w:rPr>
        <w:t xml:space="preserve"> requires an administrator to notify the Minister of any event listed in </w:t>
      </w: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5.06(2). </w:t>
      </w:r>
      <w:r w:rsidRPr="00330E69">
        <w:rPr>
          <w:rFonts w:ascii="Times New Roman" w:hAnsi="Times New Roman" w:cs="Times New Roman"/>
          <w:color w:val="000000"/>
          <w:sz w:val="24"/>
          <w:szCs w:val="24"/>
        </w:rPr>
        <w:t xml:space="preserve">This regulation specifies that notification of the event must be given to the Minister </w:t>
      </w:r>
      <w:r>
        <w:rPr>
          <w:rFonts w:ascii="Times New Roman" w:hAnsi="Times New Roman" w:cs="Times New Roman"/>
          <w:color w:val="000000"/>
          <w:sz w:val="24"/>
          <w:szCs w:val="24"/>
        </w:rPr>
        <w:t>by</w:t>
      </w:r>
      <w:r w:rsidRPr="00330E69">
        <w:rPr>
          <w:rFonts w:ascii="Times New Roman" w:hAnsi="Times New Roman" w:cs="Times New Roman"/>
          <w:color w:val="000000"/>
          <w:sz w:val="24"/>
          <w:szCs w:val="24"/>
        </w:rPr>
        <w:t xml:space="preserve"> 28 days </w:t>
      </w:r>
      <w:r>
        <w:rPr>
          <w:rFonts w:ascii="Times New Roman" w:hAnsi="Times New Roman" w:cs="Times New Roman"/>
          <w:color w:val="000000"/>
          <w:sz w:val="24"/>
          <w:szCs w:val="24"/>
        </w:rPr>
        <w:t>after</w:t>
      </w:r>
      <w:r w:rsidRPr="00330E69">
        <w:rPr>
          <w:rFonts w:ascii="Times New Roman" w:hAnsi="Times New Roman" w:cs="Times New Roman"/>
          <w:color w:val="000000"/>
          <w:sz w:val="24"/>
          <w:szCs w:val="24"/>
        </w:rPr>
        <w:t xml:space="preserve"> an executive officer of the administrator becoming aware of the event</w:t>
      </w:r>
      <w:r w:rsidRPr="00330E69">
        <w:rPr>
          <w:rFonts w:ascii="Times New Roman" w:hAnsi="Times New Roman" w:cs="Times New Roman"/>
          <w:sz w:val="24"/>
          <w:szCs w:val="24"/>
        </w:rPr>
        <w:t>.</w:t>
      </w:r>
    </w:p>
    <w:p w:rsidR="003F4567" w:rsidRPr="00330E69" w:rsidRDefault="003F4567" w:rsidP="003F4567">
      <w:pPr>
        <w:spacing w:after="0" w:line="240" w:lineRule="auto"/>
        <w:rPr>
          <w:rFonts w:ascii="Times New Roman" w:hAnsi="Times New Roman" w:cs="Times New Roman"/>
          <w:sz w:val="24"/>
          <w:szCs w:val="24"/>
          <w:lang w:val="en-US"/>
        </w:rPr>
      </w:pPr>
    </w:p>
    <w:p w:rsidR="003F4567" w:rsidRPr="00330E69" w:rsidRDefault="003F4567" w:rsidP="003F4567">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Sub</w:t>
      </w:r>
      <w:r w:rsidRPr="00330E69">
        <w:rPr>
          <w:rFonts w:ascii="Times New Roman" w:hAnsi="Times New Roman" w:cs="Times New Roman"/>
          <w:color w:val="000000"/>
          <w:sz w:val="24"/>
          <w:szCs w:val="24"/>
        </w:rPr>
        <w:t>regulation</w:t>
      </w:r>
      <w:proofErr w:type="spellEnd"/>
      <w:r w:rsidRPr="00330E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5.06(2) </w:t>
      </w:r>
      <w:r w:rsidRPr="00330E69">
        <w:rPr>
          <w:rFonts w:ascii="Times New Roman" w:hAnsi="Times New Roman" w:cs="Times New Roman"/>
          <w:color w:val="000000"/>
          <w:sz w:val="24"/>
          <w:szCs w:val="24"/>
        </w:rPr>
        <w:t>identifies the following events:</w:t>
      </w:r>
    </w:p>
    <w:p w:rsidR="003F4567" w:rsidRPr="00330E69" w:rsidRDefault="003F4567" w:rsidP="003F4567">
      <w:pPr>
        <w:spacing w:after="0" w:line="240" w:lineRule="auto"/>
        <w:rPr>
          <w:rFonts w:ascii="Times New Roman" w:hAnsi="Times New Roman" w:cs="Times New Roman"/>
          <w:color w:val="000000"/>
          <w:sz w:val="24"/>
          <w:szCs w:val="24"/>
        </w:rPr>
      </w:pPr>
    </w:p>
    <w:p w:rsidR="003F4567" w:rsidRDefault="003F4567" w:rsidP="003F4567">
      <w:pPr>
        <w:pStyle w:val="ListParagraph"/>
        <w:numPr>
          <w:ilvl w:val="0"/>
          <w:numId w:val="13"/>
        </w:num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the administrator, or an executive officer of the administrator, is convicted of an offence against the Act</w:t>
      </w:r>
      <w:r w:rsidRPr="00330E69">
        <w:rPr>
          <w:rFonts w:ascii="Times New Roman" w:hAnsi="Times New Roman" w:cs="Times New Roman"/>
          <w:i/>
          <w:color w:val="000000"/>
          <w:sz w:val="24"/>
          <w:szCs w:val="24"/>
        </w:rPr>
        <w:t>,</w:t>
      </w:r>
      <w:r w:rsidRPr="00330E69">
        <w:rPr>
          <w:rFonts w:ascii="Times New Roman" w:hAnsi="Times New Roman" w:cs="Times New Roman"/>
          <w:color w:val="000000"/>
          <w:sz w:val="24"/>
          <w:szCs w:val="24"/>
        </w:rPr>
        <w:t xml:space="preserve"> or another law of the Commonwealth or a law of a State or Territory;</w:t>
      </w:r>
    </w:p>
    <w:p w:rsidR="003F4567" w:rsidRPr="00330E69" w:rsidRDefault="003F4567" w:rsidP="003F4567">
      <w:pPr>
        <w:pStyle w:val="ListParagraph"/>
        <w:spacing w:after="0" w:line="240" w:lineRule="auto"/>
        <w:ind w:left="360"/>
        <w:rPr>
          <w:rFonts w:ascii="Times New Roman" w:hAnsi="Times New Roman" w:cs="Times New Roman"/>
          <w:color w:val="000000"/>
          <w:sz w:val="24"/>
          <w:szCs w:val="24"/>
        </w:rPr>
      </w:pPr>
    </w:p>
    <w:p w:rsidR="003F4567" w:rsidRDefault="003F4567" w:rsidP="003F4567">
      <w:pPr>
        <w:pStyle w:val="ListParagraph"/>
        <w:numPr>
          <w:ilvl w:val="0"/>
          <w:numId w:val="13"/>
        </w:num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a civil penalty order is made against the administrator, or an executive officer of the administrator, for a contravention of a civil penalty provision in the Act or the Regulations;</w:t>
      </w:r>
    </w:p>
    <w:p w:rsidR="003F4567" w:rsidRPr="00330E69" w:rsidRDefault="003F4567" w:rsidP="003F4567">
      <w:pPr>
        <w:pStyle w:val="ListParagraph"/>
        <w:spacing w:after="0" w:line="240" w:lineRule="auto"/>
        <w:ind w:left="360"/>
        <w:rPr>
          <w:rFonts w:ascii="Times New Roman" w:hAnsi="Times New Roman" w:cs="Times New Roman"/>
          <w:color w:val="000000"/>
          <w:sz w:val="24"/>
          <w:szCs w:val="24"/>
        </w:rPr>
      </w:pPr>
    </w:p>
    <w:p w:rsidR="003F4567" w:rsidRDefault="003F4567" w:rsidP="003F4567">
      <w:pPr>
        <w:pStyle w:val="ListParagraph"/>
        <w:numPr>
          <w:ilvl w:val="0"/>
          <w:numId w:val="13"/>
        </w:num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an executive officer of the administrator becomes bankrupt or applies for bankruptcy;</w:t>
      </w:r>
    </w:p>
    <w:p w:rsidR="003F4567" w:rsidRPr="00330E69" w:rsidRDefault="003F4567" w:rsidP="003F4567">
      <w:pPr>
        <w:pStyle w:val="ListParagraph"/>
        <w:spacing w:after="0" w:line="240" w:lineRule="auto"/>
        <w:ind w:left="360"/>
        <w:rPr>
          <w:rFonts w:ascii="Times New Roman" w:hAnsi="Times New Roman" w:cs="Times New Roman"/>
          <w:color w:val="000000"/>
          <w:sz w:val="24"/>
          <w:szCs w:val="24"/>
        </w:rPr>
      </w:pPr>
    </w:p>
    <w:p w:rsidR="003F4567" w:rsidRDefault="003F4567" w:rsidP="003F4567">
      <w:pPr>
        <w:pStyle w:val="ListParagraph"/>
        <w:numPr>
          <w:ilvl w:val="0"/>
          <w:numId w:val="13"/>
        </w:num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the administrator, or an executive officer of the administrator, makes a false or misleading statement in relation to a material particular in an application under the Act;</w:t>
      </w:r>
    </w:p>
    <w:p w:rsidR="003F4567" w:rsidRPr="00330E69" w:rsidRDefault="003F4567" w:rsidP="003F4567">
      <w:pPr>
        <w:pStyle w:val="ListParagraph"/>
        <w:spacing w:after="0" w:line="240" w:lineRule="auto"/>
        <w:ind w:left="360"/>
        <w:rPr>
          <w:rFonts w:ascii="Times New Roman" w:hAnsi="Times New Roman" w:cs="Times New Roman"/>
          <w:color w:val="000000"/>
          <w:sz w:val="24"/>
          <w:szCs w:val="24"/>
        </w:rPr>
      </w:pPr>
    </w:p>
    <w:p w:rsidR="003F4567" w:rsidRPr="00F15CDF" w:rsidRDefault="003F4567" w:rsidP="003F4567">
      <w:pPr>
        <w:pStyle w:val="ListParagraph"/>
        <w:numPr>
          <w:ilvl w:val="0"/>
          <w:numId w:val="13"/>
        </w:num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 xml:space="preserve">an executive officer is disqualified from managing corporations under Part 2D.6 of the </w:t>
      </w:r>
      <w:r w:rsidRPr="00330E69">
        <w:rPr>
          <w:rFonts w:ascii="Times New Roman" w:hAnsi="Times New Roman" w:cs="Times New Roman"/>
          <w:i/>
          <w:color w:val="000000"/>
          <w:sz w:val="24"/>
          <w:szCs w:val="24"/>
        </w:rPr>
        <w:t>Corporations Act 2001;</w:t>
      </w:r>
    </w:p>
    <w:p w:rsidR="003F4567" w:rsidRPr="00330E69" w:rsidRDefault="003F4567" w:rsidP="003F4567">
      <w:pPr>
        <w:pStyle w:val="ListParagraph"/>
        <w:spacing w:after="0" w:line="240" w:lineRule="auto"/>
        <w:ind w:left="360"/>
        <w:rPr>
          <w:rFonts w:ascii="Times New Roman" w:hAnsi="Times New Roman" w:cs="Times New Roman"/>
          <w:color w:val="000000"/>
          <w:sz w:val="24"/>
          <w:szCs w:val="24"/>
        </w:rPr>
      </w:pPr>
    </w:p>
    <w:p w:rsidR="003F4567" w:rsidRPr="00330E69" w:rsidRDefault="003F4567" w:rsidP="003F4567">
      <w:pPr>
        <w:pStyle w:val="ListParagraph"/>
        <w:numPr>
          <w:ilvl w:val="0"/>
          <w:numId w:val="13"/>
        </w:num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the administrator becomes an externally-administered body corporate.</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An ‘executive officer’ of a body corporate is defined in subsection 51(4) of the Act as a person (by whatever name called and whether or not a director of the body) who is concerned in, or takes part in, the management of the body</w:t>
      </w:r>
      <w:r w:rsidRPr="00330E69">
        <w:rPr>
          <w:rFonts w:ascii="Times New Roman" w:hAnsi="Times New Roman" w:cs="Times New Roman"/>
          <w:i/>
          <w:sz w:val="24"/>
          <w:szCs w:val="24"/>
        </w:rPr>
        <w:t xml:space="preserve">. </w:t>
      </w:r>
    </w:p>
    <w:p w:rsidR="003F4567" w:rsidRPr="00330E69" w:rsidRDefault="003F4567" w:rsidP="003F4567">
      <w:pPr>
        <w:spacing w:after="0" w:line="240" w:lineRule="auto"/>
        <w:rPr>
          <w:rFonts w:ascii="Times New Roman" w:hAnsi="Times New Roman" w:cs="Times New Roman"/>
          <w:color w:val="000000"/>
          <w:sz w:val="24"/>
          <w:szCs w:val="24"/>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Regulation 5.07 – Requested information</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5.07(1) requires an administrator</w:t>
      </w:r>
      <w:r>
        <w:rPr>
          <w:rFonts w:ascii="Times New Roman" w:hAnsi="Times New Roman" w:cs="Times New Roman"/>
          <w:sz w:val="24"/>
          <w:szCs w:val="24"/>
        </w:rPr>
        <w:t xml:space="preserve"> </w:t>
      </w:r>
      <w:r w:rsidRPr="00330E69">
        <w:rPr>
          <w:rFonts w:ascii="Times New Roman" w:hAnsi="Times New Roman" w:cs="Times New Roman"/>
          <w:sz w:val="24"/>
          <w:szCs w:val="24"/>
        </w:rPr>
        <w:t>of a co-regulatory arrangement to give the Minister any information requested by the Minister. For this obligation to apply the Minister must make a written request for information and information requested must relate to the administration or operation of the co-regulatory arrangement.</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5.07(2) requires the administrator of a co-regulatory arrangement to give the information to the Minister:</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14"/>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within the period, or by the day, specified in the written request; and</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14"/>
        </w:numPr>
        <w:spacing w:after="0" w:line="240" w:lineRule="auto"/>
      </w:pPr>
      <w:r w:rsidRPr="00330E69">
        <w:rPr>
          <w:rFonts w:ascii="Times New Roman" w:hAnsi="Times New Roman" w:cs="Times New Roman"/>
          <w:sz w:val="24"/>
          <w:szCs w:val="24"/>
        </w:rPr>
        <w:t>in the specified format where this has been specified in the written request.</w:t>
      </w:r>
    </w:p>
    <w:p w:rsidR="003F4567" w:rsidRPr="00330E69" w:rsidRDefault="003F4567" w:rsidP="003F4567">
      <w:pPr>
        <w:spacing w:after="0" w:line="240" w:lineRule="auto"/>
        <w:rPr>
          <w:rFonts w:ascii="Times New Roman" w:hAnsi="Times New Roman" w:cs="Times New Roman"/>
          <w:sz w:val="24"/>
          <w:szCs w:val="24"/>
          <w:u w:val="single"/>
        </w:rPr>
      </w:pPr>
    </w:p>
    <w:p w:rsidR="003F4567" w:rsidRDefault="003F4567" w:rsidP="003F4567">
      <w:pPr>
        <w:rPr>
          <w:rFonts w:ascii="Times New Roman" w:hAnsi="Times New Roman" w:cs="Times New Roman"/>
          <w:b/>
          <w:sz w:val="24"/>
          <w:szCs w:val="24"/>
        </w:rPr>
      </w:pPr>
      <w:r>
        <w:rPr>
          <w:rFonts w:ascii="Times New Roman" w:hAnsi="Times New Roman" w:cs="Times New Roman"/>
          <w:b/>
          <w:sz w:val="24"/>
          <w:szCs w:val="24"/>
        </w:rPr>
        <w:br w:type="page"/>
      </w:r>
    </w:p>
    <w:p w:rsidR="003F4567" w:rsidRPr="00FA536A" w:rsidRDefault="003F4567" w:rsidP="003F4567">
      <w:pPr>
        <w:spacing w:after="0" w:line="240" w:lineRule="auto"/>
        <w:rPr>
          <w:rFonts w:ascii="Times New Roman" w:hAnsi="Times New Roman" w:cs="Times New Roman"/>
          <w:b/>
          <w:sz w:val="24"/>
          <w:szCs w:val="24"/>
        </w:rPr>
      </w:pPr>
      <w:r w:rsidRPr="00FA536A">
        <w:rPr>
          <w:rFonts w:ascii="Times New Roman" w:hAnsi="Times New Roman" w:cs="Times New Roman"/>
          <w:b/>
          <w:sz w:val="24"/>
          <w:szCs w:val="24"/>
        </w:rPr>
        <w:lastRenderedPageBreak/>
        <w:t>Subdivision 5.2.2 Information to be given by liable parties</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Regulation 5.08 – Liable parties to give information</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Pr="00330E69">
        <w:rPr>
          <w:rFonts w:ascii="Times New Roman" w:hAnsi="Times New Roman" w:cs="Times New Roman"/>
          <w:sz w:val="24"/>
          <w:szCs w:val="24"/>
        </w:rPr>
        <w:t xml:space="preserve"> regulation is concerned with liable parties in relation to a class of products providing timely information or notification to the Minister for specified matters in relation to that class of products.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5.08(1) provides that a liable party in relation to a class of products must provide the Minister with information </w:t>
      </w:r>
      <w:r>
        <w:rPr>
          <w:rFonts w:ascii="Times New Roman" w:hAnsi="Times New Roman" w:cs="Times New Roman"/>
          <w:sz w:val="24"/>
          <w:szCs w:val="24"/>
        </w:rPr>
        <w:t>set out in the subdivision, including</w:t>
      </w:r>
      <w:r w:rsidRPr="00330E69">
        <w:rPr>
          <w:rFonts w:ascii="Times New Roman" w:hAnsi="Times New Roman" w:cs="Times New Roman"/>
          <w:sz w:val="24"/>
          <w:szCs w:val="24"/>
        </w:rPr>
        <w:t>:</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11"/>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number of products manufactured  by a liable party pursuant to regulation 5.09;</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1"/>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number of products imported or manufactured by related bod</w:t>
      </w:r>
      <w:r>
        <w:rPr>
          <w:rFonts w:ascii="Times New Roman" w:hAnsi="Times New Roman" w:cs="Times New Roman"/>
          <w:sz w:val="24"/>
          <w:szCs w:val="24"/>
        </w:rPr>
        <w:t>ies</w:t>
      </w:r>
      <w:r w:rsidRPr="00330E69">
        <w:rPr>
          <w:rFonts w:ascii="Times New Roman" w:hAnsi="Times New Roman" w:cs="Times New Roman"/>
          <w:sz w:val="24"/>
          <w:szCs w:val="24"/>
        </w:rPr>
        <w:t xml:space="preserve"> corporate pursuant to regulation 5.10</w:t>
      </w:r>
      <w:r>
        <w:rPr>
          <w:rFonts w:ascii="Times New Roman" w:hAnsi="Times New Roman" w:cs="Times New Roman"/>
          <w:sz w:val="24"/>
          <w:szCs w:val="24"/>
        </w:rPr>
        <w:t>;</w:t>
      </w:r>
    </w:p>
    <w:p w:rsidR="003F4567"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11"/>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a written request by the Minister for provision of information by </w:t>
      </w:r>
      <w:r>
        <w:rPr>
          <w:rFonts w:ascii="Times New Roman" w:hAnsi="Times New Roman" w:cs="Times New Roman"/>
          <w:sz w:val="24"/>
          <w:szCs w:val="24"/>
        </w:rPr>
        <w:t>a liable party</w:t>
      </w:r>
      <w:r w:rsidRPr="00330E69">
        <w:rPr>
          <w:rFonts w:ascii="Times New Roman" w:hAnsi="Times New Roman" w:cs="Times New Roman"/>
          <w:sz w:val="24"/>
          <w:szCs w:val="24"/>
        </w:rPr>
        <w:t xml:space="preserve"> </w:t>
      </w:r>
      <w:r>
        <w:rPr>
          <w:rFonts w:ascii="Times New Roman" w:hAnsi="Times New Roman" w:cs="Times New Roman"/>
          <w:sz w:val="24"/>
          <w:szCs w:val="24"/>
        </w:rPr>
        <w:t xml:space="preserve">under </w:t>
      </w:r>
      <w:r w:rsidRPr="00330E69">
        <w:rPr>
          <w:rFonts w:ascii="Times New Roman" w:hAnsi="Times New Roman" w:cs="Times New Roman"/>
          <w:sz w:val="24"/>
          <w:szCs w:val="24"/>
        </w:rPr>
        <w:t>regulation 5.</w:t>
      </w:r>
      <w:r>
        <w:rPr>
          <w:rFonts w:ascii="Times New Roman" w:hAnsi="Times New Roman" w:cs="Times New Roman"/>
          <w:sz w:val="24"/>
          <w:szCs w:val="24"/>
        </w:rPr>
        <w:t>11</w:t>
      </w:r>
      <w:r w:rsidRPr="00330E69">
        <w:rPr>
          <w:rFonts w:ascii="Times New Roman" w:hAnsi="Times New Roman" w:cs="Times New Roman"/>
          <w:sz w:val="24"/>
          <w:szCs w:val="24"/>
        </w:rPr>
        <w:t>.</w:t>
      </w:r>
    </w:p>
    <w:p w:rsidR="003F4567" w:rsidRPr="00330E69" w:rsidRDefault="003F4567" w:rsidP="003F4567">
      <w:pPr>
        <w:pStyle w:val="ListParagraph"/>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A failure to provide this information is a contravention of a civil penalty provision which attracts a maximum pecuniary penalty of </w:t>
      </w:r>
      <w:r w:rsidRPr="00330E69">
        <w:rPr>
          <w:rFonts w:ascii="Times New Roman" w:hAnsi="Times New Roman" w:cs="Times New Roman"/>
          <w:sz w:val="24"/>
          <w:szCs w:val="24"/>
        </w:rPr>
        <w:t>250 penalty units.</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5.08(2) provides that where a liable party in relation to a class of products is required to give the Minister, or notify the Minister of information, this information must be given or notified within the specified time frame. </w:t>
      </w:r>
      <w:r>
        <w:rPr>
          <w:rFonts w:ascii="Times New Roman" w:hAnsi="Times New Roman" w:cs="Times New Roman"/>
          <w:sz w:val="24"/>
          <w:szCs w:val="24"/>
        </w:rPr>
        <w:t>A failure to provide the information within the time frame specified is a contravention of a</w:t>
      </w:r>
      <w:r w:rsidRPr="00330E69">
        <w:rPr>
          <w:rFonts w:ascii="Times New Roman" w:hAnsi="Times New Roman" w:cs="Times New Roman"/>
          <w:sz w:val="24"/>
          <w:szCs w:val="24"/>
        </w:rPr>
        <w:t xml:space="preserve"> civil penalty </w:t>
      </w:r>
      <w:r>
        <w:rPr>
          <w:rFonts w:ascii="Times New Roman" w:hAnsi="Times New Roman" w:cs="Times New Roman"/>
          <w:sz w:val="24"/>
          <w:szCs w:val="24"/>
        </w:rPr>
        <w:t xml:space="preserve">which attracts a maximum pecuniary penalty </w:t>
      </w:r>
      <w:r w:rsidRPr="00330E69">
        <w:rPr>
          <w:rFonts w:ascii="Times New Roman" w:hAnsi="Times New Roman" w:cs="Times New Roman"/>
          <w:sz w:val="24"/>
          <w:szCs w:val="24"/>
        </w:rPr>
        <w:t>of 250 penalty units.</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5.08(3) provides that a liable party must give the Minister, or notify the Minister of, the information</w:t>
      </w:r>
      <w:r>
        <w:rPr>
          <w:rFonts w:ascii="Times New Roman" w:hAnsi="Times New Roman" w:cs="Times New Roman"/>
          <w:sz w:val="24"/>
          <w:szCs w:val="24"/>
        </w:rPr>
        <w:t>:</w:t>
      </w:r>
    </w:p>
    <w:p w:rsidR="003F4567"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40"/>
        </w:numPr>
        <w:spacing w:after="0" w:line="240" w:lineRule="auto"/>
        <w:rPr>
          <w:rFonts w:ascii="Times New Roman" w:hAnsi="Times New Roman" w:cs="Times New Roman"/>
          <w:sz w:val="24"/>
          <w:szCs w:val="24"/>
        </w:rPr>
      </w:pPr>
      <w:r w:rsidRPr="00977A6F">
        <w:rPr>
          <w:rFonts w:ascii="Times New Roman" w:hAnsi="Times New Roman" w:cs="Times New Roman"/>
          <w:sz w:val="24"/>
          <w:szCs w:val="24"/>
        </w:rPr>
        <w:t>in a manner approved by the Minister for information set out in regulation</w:t>
      </w:r>
      <w:r>
        <w:rPr>
          <w:rFonts w:ascii="Times New Roman" w:hAnsi="Times New Roman" w:cs="Times New Roman"/>
          <w:sz w:val="24"/>
          <w:szCs w:val="24"/>
        </w:rPr>
        <w:t>s</w:t>
      </w:r>
      <w:r w:rsidRPr="00977A6F">
        <w:rPr>
          <w:rFonts w:ascii="Times New Roman" w:hAnsi="Times New Roman" w:cs="Times New Roman"/>
          <w:sz w:val="24"/>
          <w:szCs w:val="24"/>
        </w:rPr>
        <w:t xml:space="preserve"> </w:t>
      </w:r>
      <w:r>
        <w:rPr>
          <w:rFonts w:ascii="Times New Roman" w:hAnsi="Times New Roman" w:cs="Times New Roman"/>
          <w:sz w:val="24"/>
          <w:szCs w:val="24"/>
        </w:rPr>
        <w:t>5.09 and 5.10; and</w:t>
      </w:r>
    </w:p>
    <w:p w:rsidR="003F4567" w:rsidRDefault="003F4567" w:rsidP="003F4567">
      <w:pPr>
        <w:pStyle w:val="ListParagraph"/>
        <w:spacing w:after="0" w:line="240" w:lineRule="auto"/>
        <w:ind w:left="360"/>
        <w:rPr>
          <w:rFonts w:ascii="Times New Roman" w:hAnsi="Times New Roman" w:cs="Times New Roman"/>
          <w:sz w:val="24"/>
          <w:szCs w:val="24"/>
        </w:rPr>
      </w:pPr>
    </w:p>
    <w:p w:rsidR="003F4567" w:rsidRPr="00977A6F" w:rsidRDefault="003F4567" w:rsidP="003F4567">
      <w:pPr>
        <w:pStyle w:val="ListParagraph"/>
        <w:numPr>
          <w:ilvl w:val="0"/>
          <w:numId w:val="40"/>
        </w:num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rPr>
        <w:t xml:space="preserve">in the specified format for information </w:t>
      </w:r>
      <w:r>
        <w:rPr>
          <w:rFonts w:ascii="Times New Roman" w:hAnsi="Times New Roman" w:cs="Times New Roman"/>
          <w:sz w:val="24"/>
          <w:szCs w:val="24"/>
        </w:rPr>
        <w:t>requested</w:t>
      </w:r>
      <w:r w:rsidRPr="00330E69">
        <w:rPr>
          <w:rFonts w:ascii="Times New Roman" w:hAnsi="Times New Roman" w:cs="Times New Roman"/>
          <w:sz w:val="24"/>
          <w:szCs w:val="24"/>
        </w:rPr>
        <w:t xml:space="preserve"> </w:t>
      </w:r>
      <w:r>
        <w:rPr>
          <w:rFonts w:ascii="Times New Roman" w:hAnsi="Times New Roman" w:cs="Times New Roman"/>
          <w:sz w:val="24"/>
          <w:szCs w:val="24"/>
        </w:rPr>
        <w:t xml:space="preserve">under </w:t>
      </w:r>
      <w:r w:rsidRPr="00330E69">
        <w:rPr>
          <w:rFonts w:ascii="Times New Roman" w:hAnsi="Times New Roman" w:cs="Times New Roman"/>
          <w:sz w:val="24"/>
          <w:szCs w:val="24"/>
        </w:rPr>
        <w:t>regulation</w:t>
      </w:r>
      <w:r>
        <w:rPr>
          <w:rFonts w:ascii="Times New Roman" w:hAnsi="Times New Roman" w:cs="Times New Roman"/>
          <w:sz w:val="24"/>
          <w:szCs w:val="24"/>
        </w:rPr>
        <w:t xml:space="preserve"> 5.11</w:t>
      </w:r>
      <w:r w:rsidRPr="00977A6F">
        <w:rPr>
          <w:rFonts w:ascii="Times New Roman" w:hAnsi="Times New Roman" w:cs="Times New Roman"/>
          <w:sz w:val="24"/>
          <w:szCs w:val="24"/>
        </w:rPr>
        <w:t>.</w:t>
      </w:r>
    </w:p>
    <w:p w:rsidR="003F4567" w:rsidRDefault="003F4567" w:rsidP="003F4567">
      <w:pPr>
        <w:spacing w:after="0" w:line="240" w:lineRule="auto"/>
        <w:rPr>
          <w:rFonts w:ascii="Times New Roman" w:hAnsi="Times New Roman" w:cs="Times New Roman"/>
          <w:sz w:val="24"/>
          <w:szCs w:val="24"/>
          <w:u w:val="single"/>
        </w:rPr>
      </w:pPr>
    </w:p>
    <w:p w:rsidR="003F4567"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rPr>
        <w:t xml:space="preserve">A </w:t>
      </w:r>
      <w:r>
        <w:rPr>
          <w:rFonts w:ascii="Times New Roman" w:hAnsi="Times New Roman" w:cs="Times New Roman"/>
          <w:sz w:val="24"/>
          <w:szCs w:val="24"/>
        </w:rPr>
        <w:t xml:space="preserve">maximum pecuniary </w:t>
      </w:r>
      <w:r w:rsidRPr="00330E69">
        <w:rPr>
          <w:rFonts w:ascii="Times New Roman" w:hAnsi="Times New Roman" w:cs="Times New Roman"/>
          <w:sz w:val="24"/>
          <w:szCs w:val="24"/>
        </w:rPr>
        <w:t>penalty of 250 penalty units applies to a contravention of this requirement.</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color w:val="000000"/>
          <w:sz w:val="24"/>
          <w:szCs w:val="24"/>
        </w:rPr>
      </w:pPr>
      <w:r w:rsidRPr="00330E69">
        <w:rPr>
          <w:rFonts w:ascii="Times New Roman" w:hAnsi="Times New Roman" w:cs="Times New Roman"/>
          <w:sz w:val="24"/>
          <w:szCs w:val="24"/>
          <w:u w:val="single"/>
        </w:rPr>
        <w:t>Regulation 5.09 – Number of products manufactured</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 liable party in relation to a class of products manufactured products in the previous financial year, </w:t>
      </w:r>
      <w:proofErr w:type="spellStart"/>
      <w:r>
        <w:rPr>
          <w:rFonts w:ascii="Times New Roman" w:hAnsi="Times New Roman" w:cs="Times New Roman"/>
          <w:sz w:val="24"/>
          <w:szCs w:val="24"/>
        </w:rPr>
        <w:t>sub</w:t>
      </w:r>
      <w:r w:rsidRPr="00330E69">
        <w:rPr>
          <w:rFonts w:ascii="Times New Roman" w:hAnsi="Times New Roman" w:cs="Times New Roman"/>
          <w:sz w:val="24"/>
          <w:szCs w:val="24"/>
        </w:rPr>
        <w:t>regulation</w:t>
      </w:r>
      <w:proofErr w:type="spellEnd"/>
      <w:r w:rsidRPr="00330E69">
        <w:rPr>
          <w:rFonts w:ascii="Times New Roman" w:hAnsi="Times New Roman" w:cs="Times New Roman"/>
          <w:sz w:val="24"/>
          <w:szCs w:val="24"/>
        </w:rPr>
        <w:t xml:space="preserve"> </w:t>
      </w:r>
      <w:r>
        <w:rPr>
          <w:rFonts w:ascii="Times New Roman" w:hAnsi="Times New Roman" w:cs="Times New Roman"/>
          <w:sz w:val="24"/>
          <w:szCs w:val="24"/>
        </w:rPr>
        <w:t xml:space="preserve">5.09(1) </w:t>
      </w:r>
      <w:r w:rsidRPr="00330E69">
        <w:rPr>
          <w:rFonts w:ascii="Times New Roman" w:hAnsi="Times New Roman" w:cs="Times New Roman"/>
          <w:sz w:val="24"/>
          <w:szCs w:val="24"/>
        </w:rPr>
        <w:t xml:space="preserve">requires </w:t>
      </w:r>
      <w:r>
        <w:rPr>
          <w:rFonts w:ascii="Times New Roman" w:hAnsi="Times New Roman" w:cs="Times New Roman"/>
          <w:sz w:val="24"/>
          <w:szCs w:val="24"/>
        </w:rPr>
        <w:t>the</w:t>
      </w:r>
      <w:r w:rsidRPr="00330E69">
        <w:rPr>
          <w:rFonts w:ascii="Times New Roman" w:hAnsi="Times New Roman" w:cs="Times New Roman"/>
          <w:sz w:val="24"/>
          <w:szCs w:val="24"/>
        </w:rPr>
        <w:t xml:space="preserve"> liable party </w:t>
      </w:r>
      <w:r>
        <w:rPr>
          <w:rFonts w:ascii="Times New Roman" w:hAnsi="Times New Roman" w:cs="Times New Roman"/>
          <w:sz w:val="24"/>
          <w:szCs w:val="24"/>
        </w:rPr>
        <w:t xml:space="preserve">to </w:t>
      </w:r>
      <w:r w:rsidRPr="00330E69">
        <w:rPr>
          <w:rFonts w:ascii="Times New Roman" w:hAnsi="Times New Roman" w:cs="Times New Roman"/>
          <w:sz w:val="24"/>
          <w:szCs w:val="24"/>
        </w:rPr>
        <w:t xml:space="preserve">notify the Minister of how many of each product the liable party manufactured </w:t>
      </w:r>
      <w:r>
        <w:rPr>
          <w:rFonts w:ascii="Times New Roman" w:hAnsi="Times New Roman" w:cs="Times New Roman"/>
          <w:sz w:val="24"/>
          <w:szCs w:val="24"/>
        </w:rPr>
        <w:t xml:space="preserve">(identified </w:t>
      </w:r>
      <w:r w:rsidRPr="00330E69">
        <w:rPr>
          <w:rFonts w:ascii="Times New Roman" w:hAnsi="Times New Roman" w:cs="Times New Roman"/>
          <w:sz w:val="24"/>
          <w:szCs w:val="24"/>
        </w:rPr>
        <w:t>by product code</w:t>
      </w:r>
      <w:r>
        <w:rPr>
          <w:rFonts w:ascii="Times New Roman" w:hAnsi="Times New Roman" w:cs="Times New Roman"/>
          <w:sz w:val="24"/>
          <w:szCs w:val="24"/>
        </w:rPr>
        <w:t>).</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A liable party is required to provide this notification to the Minister by 1 September</w:t>
      </w:r>
      <w:r>
        <w:rPr>
          <w:rFonts w:ascii="Times New Roman" w:hAnsi="Times New Roman" w:cs="Times New Roman"/>
          <w:sz w:val="24"/>
          <w:szCs w:val="24"/>
        </w:rPr>
        <w:t xml:space="preserve"> each year</w:t>
      </w:r>
      <w:r w:rsidRPr="00330E69">
        <w:rPr>
          <w:rFonts w:ascii="Times New Roman" w:hAnsi="Times New Roman" w:cs="Times New Roman"/>
          <w:sz w:val="24"/>
          <w:szCs w:val="24"/>
        </w:rPr>
        <w:t>.</w:t>
      </w:r>
    </w:p>
    <w:p w:rsidR="003F4567"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lastRenderedPageBreak/>
        <w:t xml:space="preserve">If a liable party in relation to a class of products manufactured products in the </w:t>
      </w:r>
      <w:r>
        <w:rPr>
          <w:rFonts w:ascii="Times New Roman" w:hAnsi="Times New Roman" w:cs="Times New Roman"/>
          <w:sz w:val="24"/>
          <w:szCs w:val="24"/>
        </w:rPr>
        <w:t xml:space="preserve">2010-2011 </w:t>
      </w:r>
      <w:r w:rsidRPr="00330E69">
        <w:rPr>
          <w:rFonts w:ascii="Times New Roman" w:hAnsi="Times New Roman" w:cs="Times New Roman"/>
          <w:sz w:val="24"/>
          <w:szCs w:val="24"/>
        </w:rPr>
        <w:t>financial year,</w:t>
      </w:r>
      <w:r>
        <w:rPr>
          <w:rFonts w:ascii="Times New Roman" w:hAnsi="Times New Roman" w:cs="Times New Roman"/>
          <w:sz w:val="24"/>
          <w:szCs w:val="24"/>
        </w:rPr>
        <w:t xml:space="preserve"> </w:t>
      </w: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5.09(2) requires</w:t>
      </w:r>
      <w:r w:rsidRPr="00330E69">
        <w:rPr>
          <w:rFonts w:ascii="Times New Roman" w:hAnsi="Times New Roman" w:cs="Times New Roman"/>
          <w:sz w:val="24"/>
          <w:szCs w:val="24"/>
        </w:rPr>
        <w:t xml:space="preserve"> the liable party </w:t>
      </w:r>
      <w:r>
        <w:rPr>
          <w:rFonts w:ascii="Times New Roman" w:hAnsi="Times New Roman" w:cs="Times New Roman"/>
          <w:sz w:val="24"/>
          <w:szCs w:val="24"/>
        </w:rPr>
        <w:t xml:space="preserve">to </w:t>
      </w:r>
      <w:r w:rsidRPr="00330E69">
        <w:rPr>
          <w:rFonts w:ascii="Times New Roman" w:hAnsi="Times New Roman" w:cs="Times New Roman"/>
          <w:sz w:val="24"/>
          <w:szCs w:val="24"/>
        </w:rPr>
        <w:t>notify the Minister of how many of each product the liable party manufactured</w:t>
      </w:r>
      <w:r>
        <w:rPr>
          <w:rFonts w:ascii="Times New Roman" w:hAnsi="Times New Roman" w:cs="Times New Roman"/>
          <w:sz w:val="24"/>
          <w:szCs w:val="24"/>
        </w:rPr>
        <w:t xml:space="preserve"> (identified</w:t>
      </w:r>
      <w:r w:rsidRPr="00330E69">
        <w:rPr>
          <w:rFonts w:ascii="Times New Roman" w:hAnsi="Times New Roman" w:cs="Times New Roman"/>
          <w:sz w:val="24"/>
          <w:szCs w:val="24"/>
        </w:rPr>
        <w:t xml:space="preserve"> by product code</w:t>
      </w:r>
      <w:r>
        <w:rPr>
          <w:rFonts w:ascii="Times New Roman" w:hAnsi="Times New Roman" w:cs="Times New Roman"/>
          <w:sz w:val="24"/>
          <w:szCs w:val="24"/>
        </w:rPr>
        <w:t>)</w:t>
      </w:r>
      <w:r w:rsidRPr="00330E69">
        <w:rPr>
          <w:rFonts w:ascii="Times New Roman" w:hAnsi="Times New Roman" w:cs="Times New Roman"/>
          <w:sz w:val="24"/>
          <w:szCs w:val="24"/>
        </w:rPr>
        <w:t>.</w:t>
      </w:r>
    </w:p>
    <w:p w:rsidR="003F4567"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A liable party is required to provide this notification to the Minister by 1 </w:t>
      </w:r>
      <w:r>
        <w:rPr>
          <w:rFonts w:ascii="Times New Roman" w:hAnsi="Times New Roman" w:cs="Times New Roman"/>
          <w:sz w:val="24"/>
          <w:szCs w:val="24"/>
        </w:rPr>
        <w:t>March 2012</w:t>
      </w:r>
      <w:r w:rsidRPr="00330E69">
        <w:rPr>
          <w:rFonts w:ascii="Times New Roman" w:hAnsi="Times New Roman" w:cs="Times New Roman"/>
          <w:sz w:val="24"/>
          <w:szCs w:val="24"/>
        </w:rPr>
        <w:t>.</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Regulation 5.10 – Products imported or manufactured by related bodies corporate</w:t>
      </w:r>
    </w:p>
    <w:p w:rsidR="003F4567" w:rsidRPr="00330E69" w:rsidRDefault="003F4567" w:rsidP="003F4567">
      <w:pPr>
        <w:spacing w:after="0" w:line="240" w:lineRule="auto"/>
        <w:rPr>
          <w:rFonts w:ascii="Times New Roman" w:hAnsi="Times New Roman" w:cs="Times New Roman"/>
          <w:sz w:val="24"/>
          <w:szCs w:val="24"/>
          <w:u w:val="single"/>
        </w:rPr>
      </w:pPr>
    </w:p>
    <w:p w:rsidR="003F4567"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5.10(1) requires a liable party in relation to a class of products</w:t>
      </w:r>
      <w:r>
        <w:rPr>
          <w:rFonts w:ascii="Times New Roman" w:hAnsi="Times New Roman" w:cs="Times New Roman"/>
          <w:sz w:val="24"/>
          <w:szCs w:val="24"/>
        </w:rPr>
        <w:t>,</w:t>
      </w:r>
      <w:r w:rsidRPr="00330E69">
        <w:rPr>
          <w:rFonts w:ascii="Times New Roman" w:hAnsi="Times New Roman" w:cs="Times New Roman"/>
          <w:sz w:val="24"/>
          <w:szCs w:val="24"/>
        </w:rPr>
        <w:t xml:space="preserve"> other than computer products</w:t>
      </w:r>
      <w:r>
        <w:rPr>
          <w:rFonts w:ascii="Times New Roman" w:hAnsi="Times New Roman" w:cs="Times New Roman"/>
          <w:sz w:val="24"/>
          <w:szCs w:val="24"/>
        </w:rPr>
        <w:t>,</w:t>
      </w:r>
      <w:r w:rsidRPr="00330E69">
        <w:rPr>
          <w:rFonts w:ascii="Times New Roman" w:hAnsi="Times New Roman" w:cs="Times New Roman"/>
          <w:sz w:val="24"/>
          <w:szCs w:val="24"/>
        </w:rPr>
        <w:t xml:space="preserve"> </w:t>
      </w:r>
      <w:r>
        <w:rPr>
          <w:rFonts w:ascii="Times New Roman" w:hAnsi="Times New Roman" w:cs="Times New Roman"/>
          <w:sz w:val="24"/>
          <w:szCs w:val="24"/>
        </w:rPr>
        <w:t>to</w:t>
      </w:r>
      <w:r w:rsidRPr="00330E69">
        <w:rPr>
          <w:rFonts w:ascii="Times New Roman" w:hAnsi="Times New Roman" w:cs="Times New Roman"/>
          <w:sz w:val="24"/>
          <w:szCs w:val="24"/>
        </w:rPr>
        <w:t xml:space="preserve"> give the Minister </w:t>
      </w:r>
      <w:r>
        <w:rPr>
          <w:rFonts w:ascii="Times New Roman" w:hAnsi="Times New Roman" w:cs="Times New Roman"/>
          <w:sz w:val="24"/>
          <w:szCs w:val="24"/>
        </w:rPr>
        <w:t xml:space="preserve">the following </w:t>
      </w:r>
      <w:r w:rsidRPr="00330E69">
        <w:rPr>
          <w:rFonts w:ascii="Times New Roman" w:hAnsi="Times New Roman" w:cs="Times New Roman"/>
          <w:sz w:val="24"/>
          <w:szCs w:val="24"/>
        </w:rPr>
        <w:t>information about each related body corporate of the liable party that manufactured or imported products in the class of products</w:t>
      </w:r>
      <w:r>
        <w:rPr>
          <w:rFonts w:ascii="Times New Roman" w:hAnsi="Times New Roman" w:cs="Times New Roman"/>
          <w:sz w:val="24"/>
          <w:szCs w:val="24"/>
        </w:rPr>
        <w:t xml:space="preserve">. </w:t>
      </w:r>
    </w:p>
    <w:p w:rsidR="003F4567"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The information that must be provided includes</w:t>
      </w:r>
      <w:r w:rsidRPr="00330E69">
        <w:rPr>
          <w:rFonts w:ascii="Times New Roman" w:hAnsi="Times New Roman" w:cs="Times New Roman"/>
          <w:sz w:val="24"/>
          <w:szCs w:val="24"/>
        </w:rPr>
        <w:t>:</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15"/>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name of the related body corporate;</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5"/>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Australian Business Number or Australian Company Number of th</w:t>
      </w:r>
      <w:r>
        <w:rPr>
          <w:rFonts w:ascii="Times New Roman" w:hAnsi="Times New Roman" w:cs="Times New Roman"/>
          <w:sz w:val="24"/>
          <w:szCs w:val="24"/>
        </w:rPr>
        <w:t>e</w:t>
      </w:r>
      <w:r w:rsidRPr="00330E69">
        <w:rPr>
          <w:rFonts w:ascii="Times New Roman" w:hAnsi="Times New Roman" w:cs="Times New Roman"/>
          <w:sz w:val="24"/>
          <w:szCs w:val="24"/>
        </w:rPr>
        <w:t xml:space="preserve"> related body corporate;</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5"/>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date or dates the related body corporate became a related body corporate of the liable party;</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15"/>
        </w:numPr>
        <w:spacing w:after="0" w:line="240" w:lineRule="auto"/>
      </w:pPr>
      <w:r w:rsidRPr="00330E69">
        <w:rPr>
          <w:rFonts w:ascii="Times New Roman" w:hAnsi="Times New Roman" w:cs="Times New Roman"/>
          <w:sz w:val="24"/>
          <w:szCs w:val="24"/>
        </w:rPr>
        <w:t>the date or dates the related body corporate ceased to be a related body corporate of the liable party, if applicable.</w:t>
      </w:r>
    </w:p>
    <w:p w:rsidR="003F4567"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A liable party is required to provide this information to the Minister each year by 1 September.</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5.10(2) requires the liable party </w:t>
      </w:r>
      <w:r>
        <w:rPr>
          <w:rFonts w:ascii="Times New Roman" w:hAnsi="Times New Roman" w:cs="Times New Roman"/>
          <w:sz w:val="24"/>
          <w:szCs w:val="24"/>
        </w:rPr>
        <w:t>to</w:t>
      </w:r>
      <w:r w:rsidRPr="00330E69">
        <w:rPr>
          <w:rFonts w:ascii="Times New Roman" w:hAnsi="Times New Roman" w:cs="Times New Roman"/>
          <w:sz w:val="24"/>
          <w:szCs w:val="24"/>
        </w:rPr>
        <w:t xml:space="preserve"> give the Minister the information mentioned in </w:t>
      </w: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5.10(1) about each related body corporate of the liable party that manufactured or imported products in </w:t>
      </w:r>
      <w:r>
        <w:rPr>
          <w:rFonts w:ascii="Times New Roman" w:hAnsi="Times New Roman" w:cs="Times New Roman"/>
          <w:sz w:val="24"/>
          <w:szCs w:val="24"/>
        </w:rPr>
        <w:t>the</w:t>
      </w:r>
      <w:r w:rsidRPr="00330E69">
        <w:rPr>
          <w:rFonts w:ascii="Times New Roman" w:hAnsi="Times New Roman" w:cs="Times New Roman"/>
          <w:sz w:val="24"/>
          <w:szCs w:val="24"/>
        </w:rPr>
        <w:t xml:space="preserve"> class of products (other than computer products) in the financial year starting on 1 July 2010.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A liable party is required to provide this information to the Minister by 1 </w:t>
      </w:r>
      <w:r>
        <w:rPr>
          <w:rFonts w:ascii="Times New Roman" w:hAnsi="Times New Roman" w:cs="Times New Roman"/>
          <w:sz w:val="24"/>
          <w:szCs w:val="24"/>
        </w:rPr>
        <w:t>March</w:t>
      </w:r>
      <w:r w:rsidRPr="00330E69">
        <w:rPr>
          <w:rFonts w:ascii="Times New Roman" w:hAnsi="Times New Roman" w:cs="Times New Roman"/>
          <w:sz w:val="24"/>
          <w:szCs w:val="24"/>
        </w:rPr>
        <w:t xml:space="preserve"> 2012.</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term ‘related body corporate’ is defined in regulation 1.03 of these regulations.</w:t>
      </w:r>
    </w:p>
    <w:p w:rsidR="003F4567"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 xml:space="preserve">Regulation </w:t>
      </w:r>
      <w:r>
        <w:rPr>
          <w:rFonts w:ascii="Times New Roman" w:hAnsi="Times New Roman" w:cs="Times New Roman"/>
          <w:sz w:val="24"/>
          <w:szCs w:val="24"/>
          <w:u w:val="single"/>
        </w:rPr>
        <w:t>5.11</w:t>
      </w:r>
      <w:r w:rsidRPr="00330E69">
        <w:rPr>
          <w:rFonts w:ascii="Times New Roman" w:hAnsi="Times New Roman" w:cs="Times New Roman"/>
          <w:sz w:val="24"/>
          <w:szCs w:val="24"/>
          <w:u w:val="single"/>
        </w:rPr>
        <w:t xml:space="preserve"> – Requested information</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w:t>
      </w:r>
      <w:r>
        <w:rPr>
          <w:rFonts w:ascii="Times New Roman" w:hAnsi="Times New Roman" w:cs="Times New Roman"/>
          <w:sz w:val="24"/>
          <w:szCs w:val="24"/>
        </w:rPr>
        <w:t>ubregulation</w:t>
      </w:r>
      <w:proofErr w:type="spellEnd"/>
      <w:r>
        <w:rPr>
          <w:rFonts w:ascii="Times New Roman" w:hAnsi="Times New Roman" w:cs="Times New Roman"/>
          <w:sz w:val="24"/>
          <w:szCs w:val="24"/>
        </w:rPr>
        <w:t xml:space="preserve"> 5.11(1) requires a</w:t>
      </w:r>
      <w:r w:rsidRPr="00330E69">
        <w:rPr>
          <w:rFonts w:ascii="Times New Roman" w:hAnsi="Times New Roman" w:cs="Times New Roman"/>
          <w:sz w:val="24"/>
          <w:szCs w:val="24"/>
        </w:rPr>
        <w:t xml:space="preserve"> </w:t>
      </w:r>
      <w:r>
        <w:rPr>
          <w:rFonts w:ascii="Times New Roman" w:hAnsi="Times New Roman" w:cs="Times New Roman"/>
          <w:sz w:val="24"/>
          <w:szCs w:val="24"/>
        </w:rPr>
        <w:t xml:space="preserve">liable party in relation to a class of products </w:t>
      </w:r>
      <w:r w:rsidRPr="00330E69">
        <w:rPr>
          <w:rFonts w:ascii="Times New Roman" w:hAnsi="Times New Roman" w:cs="Times New Roman"/>
          <w:sz w:val="24"/>
          <w:szCs w:val="24"/>
        </w:rPr>
        <w:t xml:space="preserve">to give the Minister any information </w:t>
      </w:r>
      <w:r>
        <w:rPr>
          <w:rFonts w:ascii="Times New Roman" w:hAnsi="Times New Roman" w:cs="Times New Roman"/>
          <w:sz w:val="24"/>
          <w:szCs w:val="24"/>
        </w:rPr>
        <w:t xml:space="preserve">relating to products in that class of products </w:t>
      </w:r>
      <w:r w:rsidRPr="00330E69">
        <w:rPr>
          <w:rFonts w:ascii="Times New Roman" w:hAnsi="Times New Roman" w:cs="Times New Roman"/>
          <w:sz w:val="24"/>
          <w:szCs w:val="24"/>
        </w:rPr>
        <w:t>requested by the Minister</w:t>
      </w:r>
      <w:r>
        <w:rPr>
          <w:rFonts w:ascii="Times New Roman" w:hAnsi="Times New Roman" w:cs="Times New Roman"/>
          <w:sz w:val="24"/>
          <w:szCs w:val="24"/>
        </w:rPr>
        <w:t xml:space="preserve"> in writing</w:t>
      </w:r>
      <w:r w:rsidRPr="00330E69">
        <w:rPr>
          <w:rFonts w:ascii="Times New Roman" w:hAnsi="Times New Roman" w:cs="Times New Roman"/>
          <w:sz w:val="24"/>
          <w:szCs w:val="24"/>
        </w:rPr>
        <w:t xml:space="preserve">.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5.11</w:t>
      </w:r>
      <w:r w:rsidRPr="00330E69">
        <w:rPr>
          <w:rFonts w:ascii="Times New Roman" w:hAnsi="Times New Roman" w:cs="Times New Roman"/>
          <w:sz w:val="24"/>
          <w:szCs w:val="24"/>
        </w:rPr>
        <w:t xml:space="preserve">(2) requires the </w:t>
      </w:r>
      <w:r>
        <w:rPr>
          <w:rFonts w:ascii="Times New Roman" w:hAnsi="Times New Roman" w:cs="Times New Roman"/>
          <w:sz w:val="24"/>
          <w:szCs w:val="24"/>
        </w:rPr>
        <w:t>liable party</w:t>
      </w:r>
      <w:r w:rsidRPr="00330E69">
        <w:rPr>
          <w:rFonts w:ascii="Times New Roman" w:hAnsi="Times New Roman" w:cs="Times New Roman"/>
          <w:sz w:val="24"/>
          <w:szCs w:val="24"/>
        </w:rPr>
        <w:t xml:space="preserve"> to give the information to the Minister:</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14"/>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within the period, or by the day, specified in the written request; and</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14"/>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in the specified format where this has been specified in the written request.</w:t>
      </w:r>
    </w:p>
    <w:p w:rsidR="003F4567" w:rsidRPr="00330E69" w:rsidRDefault="003F4567" w:rsidP="003F4567">
      <w:pPr>
        <w:spacing w:after="0" w:line="240" w:lineRule="auto"/>
        <w:rPr>
          <w:rFonts w:ascii="Times New Roman" w:hAnsi="Times New Roman" w:cs="Times New Roman"/>
          <w:sz w:val="24"/>
          <w:szCs w:val="24"/>
          <w:u w:val="single"/>
        </w:rPr>
      </w:pPr>
    </w:p>
    <w:p w:rsidR="003F4567" w:rsidRDefault="003F4567" w:rsidP="003F4567">
      <w:pPr>
        <w:rPr>
          <w:rFonts w:ascii="Times New Roman" w:hAnsi="Times New Roman" w:cs="Times New Roman"/>
          <w:b/>
          <w:sz w:val="24"/>
          <w:szCs w:val="24"/>
        </w:rPr>
      </w:pPr>
      <w:r>
        <w:rPr>
          <w:rFonts w:ascii="Times New Roman" w:hAnsi="Times New Roman" w:cs="Times New Roman"/>
          <w:b/>
          <w:sz w:val="24"/>
          <w:szCs w:val="24"/>
        </w:rPr>
        <w:br w:type="page"/>
      </w:r>
    </w:p>
    <w:p w:rsidR="003F4567" w:rsidRPr="00FA536A" w:rsidRDefault="003F4567" w:rsidP="003F4567">
      <w:pPr>
        <w:spacing w:after="0" w:line="240" w:lineRule="auto"/>
        <w:rPr>
          <w:rFonts w:ascii="Times New Roman" w:hAnsi="Times New Roman" w:cs="Times New Roman"/>
          <w:b/>
          <w:sz w:val="24"/>
          <w:szCs w:val="24"/>
        </w:rPr>
      </w:pPr>
      <w:r w:rsidRPr="00FA536A">
        <w:rPr>
          <w:rFonts w:ascii="Times New Roman" w:hAnsi="Times New Roman" w:cs="Times New Roman"/>
          <w:b/>
          <w:sz w:val="24"/>
          <w:szCs w:val="24"/>
        </w:rPr>
        <w:lastRenderedPageBreak/>
        <w:t>Division 5.3 Reporting</w:t>
      </w:r>
    </w:p>
    <w:p w:rsidR="003F4567" w:rsidRPr="00FA536A" w:rsidRDefault="003F4567" w:rsidP="003F4567">
      <w:pPr>
        <w:spacing w:after="0" w:line="240" w:lineRule="auto"/>
        <w:rPr>
          <w:rFonts w:ascii="Times New Roman" w:hAnsi="Times New Roman" w:cs="Times New Roman"/>
          <w:b/>
          <w:sz w:val="24"/>
          <w:szCs w:val="24"/>
        </w:rPr>
      </w:pPr>
    </w:p>
    <w:p w:rsidR="003F4567" w:rsidRPr="00FA536A" w:rsidRDefault="003F4567" w:rsidP="003F4567">
      <w:pPr>
        <w:spacing w:after="0" w:line="240" w:lineRule="auto"/>
        <w:rPr>
          <w:rFonts w:ascii="Times New Roman" w:hAnsi="Times New Roman" w:cs="Times New Roman"/>
          <w:b/>
          <w:sz w:val="24"/>
          <w:szCs w:val="24"/>
        </w:rPr>
      </w:pPr>
      <w:r w:rsidRPr="00FA536A">
        <w:rPr>
          <w:rFonts w:ascii="Times New Roman" w:hAnsi="Times New Roman" w:cs="Times New Roman"/>
          <w:b/>
          <w:sz w:val="24"/>
          <w:szCs w:val="24"/>
        </w:rPr>
        <w:t>Subdivision 5.3.1 Annual reports</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Regulation 5.1</w:t>
      </w:r>
      <w:r>
        <w:rPr>
          <w:rFonts w:ascii="Times New Roman" w:hAnsi="Times New Roman" w:cs="Times New Roman"/>
          <w:sz w:val="24"/>
          <w:szCs w:val="24"/>
          <w:u w:val="single"/>
        </w:rPr>
        <w:t>2</w:t>
      </w:r>
      <w:r w:rsidRPr="00330E69">
        <w:rPr>
          <w:rFonts w:ascii="Times New Roman" w:hAnsi="Times New Roman" w:cs="Times New Roman"/>
          <w:sz w:val="24"/>
          <w:szCs w:val="24"/>
          <w:u w:val="single"/>
        </w:rPr>
        <w:t xml:space="preserve"> – Application </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2</w:t>
      </w:r>
      <w:r w:rsidRPr="00330E69">
        <w:rPr>
          <w:rFonts w:ascii="Times New Roman" w:hAnsi="Times New Roman" w:cs="Times New Roman"/>
          <w:sz w:val="24"/>
          <w:szCs w:val="24"/>
        </w:rPr>
        <w:t xml:space="preserve">(1) outlines the time frame to which the </w:t>
      </w:r>
      <w:proofErr w:type="spellStart"/>
      <w:r w:rsidRPr="00330E69">
        <w:rPr>
          <w:rFonts w:ascii="Times New Roman" w:hAnsi="Times New Roman" w:cs="Times New Roman"/>
          <w:sz w:val="24"/>
          <w:szCs w:val="24"/>
        </w:rPr>
        <w:t>subregulations</w:t>
      </w:r>
      <w:proofErr w:type="spellEnd"/>
      <w:r w:rsidRPr="00330E69">
        <w:rPr>
          <w:rFonts w:ascii="Times New Roman" w:hAnsi="Times New Roman" w:cs="Times New Roman"/>
          <w:sz w:val="24"/>
          <w:szCs w:val="24"/>
        </w:rPr>
        <w:t xml:space="preserve"> in this subdivision apply. With the exception of </w:t>
      </w: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4</w:t>
      </w:r>
      <w:r w:rsidRPr="00330E69">
        <w:rPr>
          <w:rFonts w:ascii="Times New Roman" w:hAnsi="Times New Roman" w:cs="Times New Roman"/>
          <w:sz w:val="24"/>
          <w:szCs w:val="24"/>
        </w:rPr>
        <w:t>(10), the subdivision applies in relation to the financial year starting on 1 July 2012, and each subsequent financial year.</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2</w:t>
      </w:r>
      <w:r w:rsidRPr="00330E69">
        <w:rPr>
          <w:rFonts w:ascii="Times New Roman" w:hAnsi="Times New Roman" w:cs="Times New Roman"/>
          <w:sz w:val="24"/>
          <w:szCs w:val="24"/>
        </w:rPr>
        <w:t xml:space="preserve">(2) outlines the time frame to which </w:t>
      </w: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4</w:t>
      </w:r>
      <w:r w:rsidRPr="00330E69">
        <w:rPr>
          <w:rFonts w:ascii="Times New Roman" w:hAnsi="Times New Roman" w:cs="Times New Roman"/>
          <w:sz w:val="24"/>
          <w:szCs w:val="24"/>
        </w:rPr>
        <w:t xml:space="preserve">(10) applies, in relation to the financial year starting on 1 July 2014, and each subsequent financial year. </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Regulation 5.1</w:t>
      </w:r>
      <w:r>
        <w:rPr>
          <w:rFonts w:ascii="Times New Roman" w:hAnsi="Times New Roman" w:cs="Times New Roman"/>
          <w:sz w:val="24"/>
          <w:szCs w:val="24"/>
          <w:u w:val="single"/>
        </w:rPr>
        <w:t>3</w:t>
      </w:r>
      <w:r w:rsidRPr="00330E69">
        <w:rPr>
          <w:rFonts w:ascii="Times New Roman" w:hAnsi="Times New Roman" w:cs="Times New Roman"/>
          <w:sz w:val="24"/>
          <w:szCs w:val="24"/>
          <w:u w:val="single"/>
        </w:rPr>
        <w:t xml:space="preserve"> – Annual Report</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Regulation 5.1</w:t>
      </w:r>
      <w:r>
        <w:rPr>
          <w:rFonts w:ascii="Times New Roman" w:hAnsi="Times New Roman" w:cs="Times New Roman"/>
          <w:sz w:val="24"/>
          <w:szCs w:val="24"/>
        </w:rPr>
        <w:t>3</w:t>
      </w:r>
      <w:r w:rsidRPr="00330E69">
        <w:rPr>
          <w:rFonts w:ascii="Times New Roman" w:hAnsi="Times New Roman" w:cs="Times New Roman"/>
          <w:sz w:val="24"/>
          <w:szCs w:val="24"/>
        </w:rPr>
        <w:t xml:space="preserve"> sets out the requirement for an annual report to be provided </w:t>
      </w:r>
      <w:r>
        <w:rPr>
          <w:rFonts w:ascii="Times New Roman" w:hAnsi="Times New Roman" w:cs="Times New Roman"/>
          <w:sz w:val="24"/>
          <w:szCs w:val="24"/>
        </w:rPr>
        <w:t xml:space="preserve">to the Minister </w:t>
      </w:r>
      <w:r w:rsidRPr="00330E69">
        <w:rPr>
          <w:rFonts w:ascii="Times New Roman" w:hAnsi="Times New Roman" w:cs="Times New Roman"/>
          <w:sz w:val="24"/>
          <w:szCs w:val="24"/>
        </w:rPr>
        <w:t>by the administrator of a</w:t>
      </w:r>
      <w:r>
        <w:rPr>
          <w:rFonts w:ascii="Times New Roman" w:hAnsi="Times New Roman" w:cs="Times New Roman"/>
          <w:sz w:val="24"/>
          <w:szCs w:val="24"/>
        </w:rPr>
        <w:t xml:space="preserve"> </w:t>
      </w:r>
      <w:r w:rsidRPr="00330E69">
        <w:rPr>
          <w:rFonts w:ascii="Times New Roman" w:hAnsi="Times New Roman" w:cs="Times New Roman"/>
          <w:sz w:val="24"/>
          <w:szCs w:val="24"/>
        </w:rPr>
        <w:t xml:space="preserve">co-regulatory arrangement. Annual reports will allow the Minister to monitor the effectiveness of co-regulatory arrangements and assess the overall performance of the National Television and Computer </w:t>
      </w:r>
      <w:r>
        <w:rPr>
          <w:rFonts w:ascii="Times New Roman" w:hAnsi="Times New Roman" w:cs="Times New Roman"/>
          <w:sz w:val="24"/>
          <w:szCs w:val="24"/>
        </w:rPr>
        <w:t>Recycling</w:t>
      </w:r>
      <w:r w:rsidRPr="00330E69">
        <w:rPr>
          <w:rFonts w:ascii="Times New Roman" w:hAnsi="Times New Roman" w:cs="Times New Roman"/>
          <w:sz w:val="24"/>
          <w:szCs w:val="24"/>
        </w:rPr>
        <w:t xml:space="preserve"> Scheme, and provide transparency to the public.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Subparagraph</w:t>
      </w:r>
      <w:r w:rsidRPr="00330E69">
        <w:rPr>
          <w:rFonts w:ascii="Times New Roman" w:hAnsi="Times New Roman" w:cs="Times New Roman"/>
          <w:sz w:val="24"/>
          <w:szCs w:val="24"/>
        </w:rPr>
        <w:t xml:space="preserve"> 108(1)(d)(ii) of the Act, which provides for publication by the Minister of reports on the operation of an approved </w:t>
      </w:r>
      <w:r>
        <w:rPr>
          <w:rFonts w:ascii="Times New Roman" w:hAnsi="Times New Roman" w:cs="Times New Roman"/>
          <w:sz w:val="24"/>
          <w:szCs w:val="24"/>
        </w:rPr>
        <w:t xml:space="preserve">co-regulatory </w:t>
      </w:r>
      <w:r w:rsidRPr="00330E69">
        <w:rPr>
          <w:rFonts w:ascii="Times New Roman" w:hAnsi="Times New Roman" w:cs="Times New Roman"/>
          <w:sz w:val="24"/>
          <w:szCs w:val="24"/>
        </w:rPr>
        <w:t>arrangement on the Department’s website, would apply to annual reports</w:t>
      </w:r>
      <w:r w:rsidRPr="00330E69">
        <w:rPr>
          <w:rFonts w:ascii="Times New Roman" w:hAnsi="Times New Roman" w:cs="Times New Roman"/>
          <w:i/>
          <w:sz w:val="24"/>
          <w:szCs w:val="24"/>
        </w:rPr>
        <w:t xml:space="preserve">.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3</w:t>
      </w:r>
      <w:r w:rsidRPr="00330E69">
        <w:rPr>
          <w:rFonts w:ascii="Times New Roman" w:hAnsi="Times New Roman" w:cs="Times New Roman"/>
          <w:sz w:val="24"/>
          <w:szCs w:val="24"/>
        </w:rPr>
        <w:t xml:space="preserve">(1) requires the administrator of a co-regulatory arrangement to give the Minister a report </w:t>
      </w:r>
      <w:r>
        <w:rPr>
          <w:rFonts w:ascii="Times New Roman" w:hAnsi="Times New Roman" w:cs="Times New Roman"/>
          <w:sz w:val="24"/>
          <w:szCs w:val="24"/>
        </w:rPr>
        <w:t xml:space="preserve">for </w:t>
      </w:r>
      <w:r w:rsidRPr="00330E69">
        <w:rPr>
          <w:rFonts w:ascii="Times New Roman" w:hAnsi="Times New Roman" w:cs="Times New Roman"/>
          <w:sz w:val="24"/>
          <w:szCs w:val="24"/>
        </w:rPr>
        <w:t>each financial year in relation to the operation of the co-regulatory arrangement in the finan</w:t>
      </w:r>
      <w:r>
        <w:rPr>
          <w:rFonts w:ascii="Times New Roman" w:hAnsi="Times New Roman" w:cs="Times New Roman"/>
          <w:sz w:val="24"/>
          <w:szCs w:val="24"/>
        </w:rPr>
        <w:t>cial year in accordance with this</w:t>
      </w:r>
      <w:r w:rsidRPr="00330E69">
        <w:rPr>
          <w:rFonts w:ascii="Times New Roman" w:hAnsi="Times New Roman" w:cs="Times New Roman"/>
          <w:sz w:val="24"/>
          <w:szCs w:val="24"/>
        </w:rPr>
        <w:t xml:space="preserve"> regulation. A </w:t>
      </w:r>
      <w:r>
        <w:rPr>
          <w:rFonts w:ascii="Times New Roman" w:hAnsi="Times New Roman" w:cs="Times New Roman"/>
          <w:sz w:val="24"/>
          <w:szCs w:val="24"/>
        </w:rPr>
        <w:t xml:space="preserve">failure to provide an annual report in accordance with regulation 5.13 is a contravention of a civil penalty provision which attracts a maximum </w:t>
      </w:r>
      <w:r w:rsidRPr="00330E69">
        <w:rPr>
          <w:rFonts w:ascii="Times New Roman" w:hAnsi="Times New Roman" w:cs="Times New Roman"/>
          <w:sz w:val="24"/>
          <w:szCs w:val="24"/>
        </w:rPr>
        <w:t>penalty of 250 penalty units.</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Subregulations</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3</w:t>
      </w:r>
      <w:r w:rsidRPr="00330E69">
        <w:rPr>
          <w:rFonts w:ascii="Times New Roman" w:hAnsi="Times New Roman" w:cs="Times New Roman"/>
          <w:sz w:val="24"/>
          <w:szCs w:val="24"/>
        </w:rPr>
        <w:t>(2) and (3) require the annual report must be given to the Minister in a manner approved by the Minister by 30 October in the next financial year, and must include the matters set out in regulation 5.1</w:t>
      </w:r>
      <w:r>
        <w:rPr>
          <w:rFonts w:ascii="Times New Roman" w:hAnsi="Times New Roman" w:cs="Times New Roman"/>
          <w:sz w:val="24"/>
          <w:szCs w:val="24"/>
        </w:rPr>
        <w:t>4</w:t>
      </w:r>
      <w:r w:rsidRPr="00330E69">
        <w:rPr>
          <w:rFonts w:ascii="Times New Roman" w:hAnsi="Times New Roman" w:cs="Times New Roman"/>
          <w:sz w:val="24"/>
          <w:szCs w:val="24"/>
        </w:rPr>
        <w:t xml:space="preserve">. </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3</w:t>
      </w:r>
      <w:r w:rsidRPr="00330E69">
        <w:rPr>
          <w:rFonts w:ascii="Times New Roman" w:hAnsi="Times New Roman" w:cs="Times New Roman"/>
          <w:sz w:val="24"/>
          <w:szCs w:val="24"/>
        </w:rPr>
        <w:t xml:space="preserve">(4) </w:t>
      </w:r>
      <w:r>
        <w:rPr>
          <w:rFonts w:ascii="Times New Roman" w:hAnsi="Times New Roman" w:cs="Times New Roman"/>
          <w:sz w:val="24"/>
          <w:szCs w:val="24"/>
        </w:rPr>
        <w:t>clarifies</w:t>
      </w:r>
      <w:r w:rsidRPr="00330E69">
        <w:rPr>
          <w:rFonts w:ascii="Times New Roman" w:hAnsi="Times New Roman" w:cs="Times New Roman"/>
          <w:sz w:val="24"/>
          <w:szCs w:val="24"/>
        </w:rPr>
        <w:t xml:space="preserve"> that the annual report for the financial year 2012-2013 must also include the matters set out in regulation 5.1</w:t>
      </w:r>
      <w:r>
        <w:rPr>
          <w:rFonts w:ascii="Times New Roman" w:hAnsi="Times New Roman" w:cs="Times New Roman"/>
          <w:sz w:val="24"/>
          <w:szCs w:val="24"/>
        </w:rPr>
        <w:t>4</w:t>
      </w:r>
      <w:r w:rsidRPr="00330E69">
        <w:rPr>
          <w:rFonts w:ascii="Times New Roman" w:hAnsi="Times New Roman" w:cs="Times New Roman"/>
          <w:sz w:val="24"/>
          <w:szCs w:val="24"/>
        </w:rPr>
        <w:t xml:space="preserve"> in relation to the operation of the co-regulatory arrangement in the financial year 2011-2012</w:t>
      </w:r>
      <w:r>
        <w:rPr>
          <w:rFonts w:ascii="Times New Roman" w:hAnsi="Times New Roman" w:cs="Times New Roman"/>
          <w:sz w:val="24"/>
          <w:szCs w:val="24"/>
        </w:rPr>
        <w:t>.</w:t>
      </w:r>
    </w:p>
    <w:p w:rsidR="003F4567"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5.13(5) clarifies that the operation of the co-regulatory arrangement includes any recycling undertaken in the financial year 2011-2012, after the commencement of the regulations, by a liable party who subsequently became a member of the co-regulatory arrangement</w:t>
      </w:r>
      <w:r w:rsidRPr="00C91939">
        <w:rPr>
          <w:rFonts w:ascii="Times New Roman" w:hAnsi="Times New Roman" w:cs="Times New Roman"/>
          <w:sz w:val="24"/>
          <w:szCs w:val="24"/>
        </w:rPr>
        <w:t xml:space="preserve"> </w:t>
      </w:r>
      <w:r>
        <w:rPr>
          <w:rFonts w:ascii="Times New Roman" w:hAnsi="Times New Roman" w:cs="Times New Roman"/>
          <w:sz w:val="24"/>
          <w:szCs w:val="24"/>
        </w:rPr>
        <w:t xml:space="preserve">under paragraph 3.05(1)(b). This provision ensures that any recycling undertaken in the financial year 2011-2012 by a liable party, that is taken into account by a co-regulatory arrangement in meeting the recycling target in financial year 2012-2013 under </w:t>
      </w: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3.05(4), is reported under </w:t>
      </w: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5.13(4).</w:t>
      </w:r>
    </w:p>
    <w:p w:rsidR="003F4567" w:rsidRPr="00330E69" w:rsidRDefault="003F4567" w:rsidP="003F4567">
      <w:pPr>
        <w:spacing w:after="0" w:line="240" w:lineRule="auto"/>
        <w:rPr>
          <w:rFonts w:ascii="Times New Roman" w:hAnsi="Times New Roman" w:cs="Times New Roman"/>
          <w:sz w:val="24"/>
          <w:szCs w:val="24"/>
          <w:u w:val="single"/>
        </w:rPr>
      </w:pPr>
    </w:p>
    <w:p w:rsidR="003F4567" w:rsidRDefault="003F4567" w:rsidP="003F4567">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lastRenderedPageBreak/>
        <w:t>Regulation 5.1</w:t>
      </w:r>
      <w:r>
        <w:rPr>
          <w:rFonts w:ascii="Times New Roman" w:hAnsi="Times New Roman" w:cs="Times New Roman"/>
          <w:sz w:val="24"/>
          <w:szCs w:val="24"/>
          <w:u w:val="single"/>
        </w:rPr>
        <w:t>4</w:t>
      </w:r>
      <w:r w:rsidRPr="00330E69">
        <w:rPr>
          <w:rFonts w:ascii="Times New Roman" w:hAnsi="Times New Roman" w:cs="Times New Roman"/>
          <w:sz w:val="24"/>
          <w:szCs w:val="24"/>
          <w:u w:val="single"/>
        </w:rPr>
        <w:t xml:space="preserve"> – Matters to be included in annual report</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Regulation 5.1</w:t>
      </w:r>
      <w:r>
        <w:rPr>
          <w:rFonts w:ascii="Times New Roman" w:hAnsi="Times New Roman" w:cs="Times New Roman"/>
          <w:sz w:val="24"/>
          <w:szCs w:val="24"/>
        </w:rPr>
        <w:t>4</w:t>
      </w:r>
      <w:r w:rsidRPr="00330E69">
        <w:rPr>
          <w:rFonts w:ascii="Times New Roman" w:hAnsi="Times New Roman" w:cs="Times New Roman"/>
          <w:sz w:val="24"/>
          <w:szCs w:val="24"/>
        </w:rPr>
        <w:t xml:space="preserve"> </w:t>
      </w:r>
      <w:r>
        <w:rPr>
          <w:rFonts w:ascii="Times New Roman" w:hAnsi="Times New Roman" w:cs="Times New Roman"/>
          <w:sz w:val="24"/>
          <w:szCs w:val="24"/>
        </w:rPr>
        <w:t>specifies</w:t>
      </w:r>
      <w:r w:rsidRPr="00330E69">
        <w:rPr>
          <w:rFonts w:ascii="Times New Roman" w:hAnsi="Times New Roman" w:cs="Times New Roman"/>
          <w:sz w:val="24"/>
          <w:szCs w:val="24"/>
        </w:rPr>
        <w:t xml:space="preserve"> the matters </w:t>
      </w:r>
      <w:r>
        <w:rPr>
          <w:rFonts w:ascii="Times New Roman" w:hAnsi="Times New Roman" w:cs="Times New Roman"/>
          <w:sz w:val="24"/>
          <w:szCs w:val="24"/>
        </w:rPr>
        <w:t xml:space="preserve">that must </w:t>
      </w:r>
      <w:r w:rsidRPr="00330E69">
        <w:rPr>
          <w:rFonts w:ascii="Times New Roman" w:hAnsi="Times New Roman" w:cs="Times New Roman"/>
          <w:sz w:val="24"/>
          <w:szCs w:val="24"/>
        </w:rPr>
        <w:t>be included in an annual report. A</w:t>
      </w:r>
      <w:r>
        <w:rPr>
          <w:rFonts w:ascii="Times New Roman" w:hAnsi="Times New Roman" w:cs="Times New Roman"/>
          <w:sz w:val="24"/>
          <w:szCs w:val="24"/>
        </w:rPr>
        <w:t xml:space="preserve"> failure to address these matters in the annual report is a</w:t>
      </w:r>
      <w:r w:rsidRPr="00330E69">
        <w:rPr>
          <w:rFonts w:ascii="Times New Roman" w:hAnsi="Times New Roman" w:cs="Times New Roman"/>
          <w:sz w:val="24"/>
          <w:szCs w:val="24"/>
        </w:rPr>
        <w:t xml:space="preserve"> contravention of </w:t>
      </w:r>
      <w:r>
        <w:rPr>
          <w:rFonts w:ascii="Times New Roman" w:hAnsi="Times New Roman" w:cs="Times New Roman"/>
          <w:sz w:val="24"/>
          <w:szCs w:val="24"/>
        </w:rPr>
        <w:t xml:space="preserve">the civil penalty provision specified in regulation 5.13, and attracts </w:t>
      </w:r>
      <w:r w:rsidRPr="00330E69">
        <w:rPr>
          <w:rFonts w:ascii="Times New Roman" w:hAnsi="Times New Roman" w:cs="Times New Roman"/>
          <w:sz w:val="24"/>
          <w:szCs w:val="24"/>
        </w:rPr>
        <w:t xml:space="preserve">a </w:t>
      </w:r>
      <w:r>
        <w:rPr>
          <w:rFonts w:ascii="Times New Roman" w:hAnsi="Times New Roman" w:cs="Times New Roman"/>
          <w:sz w:val="24"/>
          <w:szCs w:val="24"/>
        </w:rPr>
        <w:t xml:space="preserve">maximum </w:t>
      </w:r>
      <w:r w:rsidRPr="00330E69">
        <w:rPr>
          <w:rFonts w:ascii="Times New Roman" w:hAnsi="Times New Roman" w:cs="Times New Roman"/>
          <w:sz w:val="24"/>
          <w:szCs w:val="24"/>
        </w:rPr>
        <w:t xml:space="preserve">penalty </w:t>
      </w:r>
      <w:r>
        <w:rPr>
          <w:rFonts w:ascii="Times New Roman" w:hAnsi="Times New Roman" w:cs="Times New Roman"/>
          <w:sz w:val="24"/>
          <w:szCs w:val="24"/>
        </w:rPr>
        <w:t>of 250 penalty units</w:t>
      </w:r>
      <w:r w:rsidRPr="00330E69">
        <w:rPr>
          <w:rFonts w:ascii="Times New Roman" w:hAnsi="Times New Roman" w:cs="Times New Roman"/>
          <w:sz w:val="24"/>
          <w:szCs w:val="24"/>
        </w:rPr>
        <w:t>.</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particular, </w:t>
      </w:r>
      <w:proofErr w:type="spellStart"/>
      <w:r>
        <w:rPr>
          <w:rFonts w:ascii="Times New Roman" w:hAnsi="Times New Roman" w:cs="Times New Roman"/>
          <w:sz w:val="24"/>
          <w:szCs w:val="24"/>
        </w:rPr>
        <w:t>s</w:t>
      </w:r>
      <w:r w:rsidRPr="00330E69">
        <w:rPr>
          <w:rFonts w:ascii="Times New Roman" w:hAnsi="Times New Roman" w:cs="Times New Roman"/>
          <w:sz w:val="24"/>
          <w:szCs w:val="24"/>
        </w:rPr>
        <w:t>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4</w:t>
      </w:r>
      <w:r w:rsidRPr="00330E69">
        <w:rPr>
          <w:rFonts w:ascii="Times New Roman" w:hAnsi="Times New Roman" w:cs="Times New Roman"/>
          <w:sz w:val="24"/>
          <w:szCs w:val="24"/>
        </w:rPr>
        <w:t xml:space="preserve">(1) provides </w:t>
      </w:r>
      <w:r>
        <w:rPr>
          <w:rFonts w:ascii="Times New Roman" w:hAnsi="Times New Roman" w:cs="Times New Roman"/>
          <w:sz w:val="24"/>
          <w:szCs w:val="24"/>
        </w:rPr>
        <w:t xml:space="preserve">that </w:t>
      </w:r>
      <w:r w:rsidRPr="00330E69">
        <w:rPr>
          <w:rFonts w:ascii="Times New Roman" w:hAnsi="Times New Roman" w:cs="Times New Roman"/>
          <w:sz w:val="24"/>
          <w:szCs w:val="24"/>
        </w:rPr>
        <w:t>the annual report must:</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16"/>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identify the class or classes of products covered by the co-regulatory arrangement; and</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6"/>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describe the performance of the co-regulatory arrangement in relation to each outcome to be achieved under Part 3; and</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6"/>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describe any activities undertaken in relation to the matters required to be dealt with by the co-regulatory arrangement under Part 4; and</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6"/>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include an explanation for why any outcome was not achieved, and the measures proposed to be implemented to rectify the failure to achieve the outcome</w:t>
      </w:r>
      <w:r>
        <w:rPr>
          <w:rFonts w:ascii="Times New Roman" w:hAnsi="Times New Roman" w:cs="Times New Roman"/>
          <w:sz w:val="24"/>
          <w:szCs w:val="24"/>
        </w:rPr>
        <w:t>; and</w:t>
      </w:r>
    </w:p>
    <w:p w:rsidR="003F4567"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include financial statements setting out the expenditure and revenue of the co-regulatory arrangement</w:t>
      </w:r>
      <w:r w:rsidRPr="00330E69">
        <w:rPr>
          <w:rFonts w:ascii="Times New Roman" w:hAnsi="Times New Roman" w:cs="Times New Roman"/>
          <w:sz w:val="24"/>
          <w:szCs w:val="24"/>
        </w:rPr>
        <w:t>.</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4</w:t>
      </w:r>
      <w:r w:rsidRPr="00330E69">
        <w:rPr>
          <w:rFonts w:ascii="Times New Roman" w:hAnsi="Times New Roman" w:cs="Times New Roman"/>
          <w:sz w:val="24"/>
          <w:szCs w:val="24"/>
        </w:rPr>
        <w:t>(2) provides further detail for information required in the annual report relating to membership of the co-regulatory arrangement. The annual report must include:</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17"/>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number of members of the co-regulatory arrangement; and</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17"/>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information about each member for:</w:t>
      </w:r>
    </w:p>
    <w:p w:rsidR="003F4567" w:rsidRPr="00330E69" w:rsidRDefault="003F4567" w:rsidP="003F4567">
      <w:pPr>
        <w:pStyle w:val="ListParagraph"/>
        <w:numPr>
          <w:ilvl w:val="1"/>
          <w:numId w:val="17"/>
        </w:numPr>
        <w:spacing w:after="0" w:line="240" w:lineRule="auto"/>
        <w:ind w:left="851" w:hanging="425"/>
        <w:rPr>
          <w:rFonts w:ascii="Times New Roman" w:hAnsi="Times New Roman" w:cs="Times New Roman"/>
          <w:sz w:val="24"/>
          <w:szCs w:val="24"/>
        </w:rPr>
      </w:pPr>
      <w:r w:rsidRPr="00330E69">
        <w:rPr>
          <w:rFonts w:ascii="Times New Roman" w:hAnsi="Times New Roman" w:cs="Times New Roman"/>
          <w:sz w:val="24"/>
          <w:szCs w:val="24"/>
        </w:rPr>
        <w:t>the name, and where applicable the trading name, of the member;</w:t>
      </w:r>
    </w:p>
    <w:p w:rsidR="003F4567" w:rsidRPr="00330E69" w:rsidRDefault="003F4567" w:rsidP="003F4567">
      <w:pPr>
        <w:pStyle w:val="ListParagraph"/>
        <w:numPr>
          <w:ilvl w:val="1"/>
          <w:numId w:val="17"/>
        </w:numPr>
        <w:spacing w:after="0" w:line="240" w:lineRule="auto"/>
        <w:ind w:left="851" w:hanging="425"/>
        <w:rPr>
          <w:rFonts w:ascii="Times New Roman" w:hAnsi="Times New Roman" w:cs="Times New Roman"/>
          <w:sz w:val="24"/>
          <w:szCs w:val="24"/>
        </w:rPr>
      </w:pPr>
      <w:r w:rsidRPr="00330E69">
        <w:rPr>
          <w:rFonts w:ascii="Times New Roman" w:hAnsi="Times New Roman" w:cs="Times New Roman"/>
          <w:sz w:val="24"/>
          <w:szCs w:val="24"/>
        </w:rPr>
        <w:t>the class of products to which the member is a liable party where the co-regulatory arrangement covers more than one class of products;</w:t>
      </w:r>
    </w:p>
    <w:p w:rsidR="003F4567" w:rsidRPr="00330E69" w:rsidRDefault="003F4567" w:rsidP="003F4567">
      <w:pPr>
        <w:pStyle w:val="ListParagraph"/>
        <w:numPr>
          <w:ilvl w:val="1"/>
          <w:numId w:val="17"/>
        </w:numPr>
        <w:spacing w:after="0" w:line="240" w:lineRule="auto"/>
        <w:ind w:left="851" w:hanging="425"/>
        <w:rPr>
          <w:rFonts w:ascii="Times New Roman" w:hAnsi="Times New Roman" w:cs="Times New Roman"/>
          <w:sz w:val="24"/>
          <w:szCs w:val="24"/>
        </w:rPr>
      </w:pPr>
      <w:r w:rsidRPr="00330E69">
        <w:rPr>
          <w:rFonts w:ascii="Times New Roman" w:hAnsi="Times New Roman" w:cs="Times New Roman"/>
          <w:sz w:val="24"/>
          <w:szCs w:val="24"/>
        </w:rPr>
        <w:t>the Australian Business Number or Australian Company Number of the member;</w:t>
      </w:r>
    </w:p>
    <w:p w:rsidR="003F4567" w:rsidRPr="00330E69" w:rsidRDefault="003F4567" w:rsidP="003F4567">
      <w:pPr>
        <w:pStyle w:val="ListParagraph"/>
        <w:numPr>
          <w:ilvl w:val="1"/>
          <w:numId w:val="17"/>
        </w:numPr>
        <w:spacing w:after="0" w:line="240" w:lineRule="auto"/>
        <w:ind w:left="851" w:hanging="425"/>
        <w:rPr>
          <w:rFonts w:ascii="Times New Roman" w:hAnsi="Times New Roman" w:cs="Times New Roman"/>
          <w:sz w:val="24"/>
          <w:szCs w:val="24"/>
        </w:rPr>
      </w:pPr>
      <w:r w:rsidRPr="00330E69">
        <w:rPr>
          <w:rFonts w:ascii="Times New Roman" w:hAnsi="Times New Roman" w:cs="Times New Roman"/>
          <w:sz w:val="24"/>
          <w:szCs w:val="24"/>
        </w:rPr>
        <w:t>the date the member became a member;</w:t>
      </w:r>
    </w:p>
    <w:p w:rsidR="003F4567" w:rsidRPr="00330E69" w:rsidRDefault="003F4567" w:rsidP="003F4567">
      <w:pPr>
        <w:pStyle w:val="ListParagraph"/>
        <w:numPr>
          <w:ilvl w:val="1"/>
          <w:numId w:val="17"/>
        </w:numPr>
        <w:spacing w:after="0" w:line="240" w:lineRule="auto"/>
        <w:ind w:left="851" w:hanging="425"/>
        <w:rPr>
          <w:rFonts w:ascii="Times New Roman" w:hAnsi="Times New Roman" w:cs="Times New Roman"/>
          <w:sz w:val="24"/>
          <w:szCs w:val="24"/>
        </w:rPr>
      </w:pPr>
      <w:r w:rsidRPr="00330E69">
        <w:rPr>
          <w:rFonts w:ascii="Times New Roman" w:hAnsi="Times New Roman" w:cs="Times New Roman"/>
          <w:sz w:val="24"/>
          <w:szCs w:val="24"/>
        </w:rPr>
        <w:t xml:space="preserve">the date of cessation where </w:t>
      </w:r>
      <w:r>
        <w:rPr>
          <w:rFonts w:ascii="Times New Roman" w:hAnsi="Times New Roman" w:cs="Times New Roman"/>
          <w:sz w:val="24"/>
          <w:szCs w:val="24"/>
        </w:rPr>
        <w:t>a</w:t>
      </w:r>
      <w:r w:rsidRPr="00330E69">
        <w:rPr>
          <w:rFonts w:ascii="Times New Roman" w:hAnsi="Times New Roman" w:cs="Times New Roman"/>
          <w:sz w:val="24"/>
          <w:szCs w:val="24"/>
        </w:rPr>
        <w:t xml:space="preserve"> liable party has ceased to be a member.</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4</w:t>
      </w:r>
      <w:r w:rsidRPr="00330E69">
        <w:rPr>
          <w:rFonts w:ascii="Times New Roman" w:hAnsi="Times New Roman" w:cs="Times New Roman"/>
          <w:sz w:val="24"/>
          <w:szCs w:val="24"/>
        </w:rPr>
        <w:t>(3) provides further detail for information required in the annual report relating to collection and storage of products</w:t>
      </w:r>
      <w:r>
        <w:rPr>
          <w:rFonts w:ascii="Times New Roman" w:hAnsi="Times New Roman" w:cs="Times New Roman"/>
          <w:sz w:val="24"/>
          <w:szCs w:val="24"/>
        </w:rPr>
        <w:t xml:space="preserve"> under the co-regulatory arrangement</w:t>
      </w:r>
      <w:r w:rsidRPr="00330E69">
        <w:rPr>
          <w:rFonts w:ascii="Times New Roman" w:hAnsi="Times New Roman" w:cs="Times New Roman"/>
          <w:sz w:val="24"/>
          <w:szCs w:val="24"/>
        </w:rPr>
        <w:t>. The annual report must include:</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pStyle w:val="ListParagraph"/>
        <w:numPr>
          <w:ilvl w:val="0"/>
          <w:numId w:val="18"/>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details about each collection service, including:</w:t>
      </w:r>
    </w:p>
    <w:p w:rsidR="003F4567" w:rsidRPr="00330E69" w:rsidRDefault="003F4567" w:rsidP="003F4567">
      <w:pPr>
        <w:pStyle w:val="ListParagraph"/>
        <w:numPr>
          <w:ilvl w:val="1"/>
          <w:numId w:val="18"/>
        </w:numPr>
        <w:spacing w:after="0" w:line="240" w:lineRule="auto"/>
        <w:ind w:left="851" w:hanging="425"/>
        <w:rPr>
          <w:rFonts w:ascii="Times New Roman" w:hAnsi="Times New Roman" w:cs="Times New Roman"/>
          <w:sz w:val="24"/>
          <w:szCs w:val="24"/>
        </w:rPr>
      </w:pPr>
      <w:r w:rsidRPr="00330E69">
        <w:rPr>
          <w:rFonts w:ascii="Times New Roman" w:hAnsi="Times New Roman" w:cs="Times New Roman"/>
          <w:sz w:val="24"/>
          <w:szCs w:val="24"/>
        </w:rPr>
        <w:t>the type of collection service;</w:t>
      </w:r>
    </w:p>
    <w:p w:rsidR="003F4567" w:rsidRPr="00330E69" w:rsidRDefault="003F4567" w:rsidP="003F4567">
      <w:pPr>
        <w:pStyle w:val="ListParagraph"/>
        <w:numPr>
          <w:ilvl w:val="1"/>
          <w:numId w:val="18"/>
        </w:numPr>
        <w:spacing w:after="0" w:line="240" w:lineRule="auto"/>
        <w:ind w:left="851" w:hanging="425"/>
        <w:rPr>
          <w:rFonts w:ascii="Times New Roman" w:hAnsi="Times New Roman" w:cs="Times New Roman"/>
          <w:sz w:val="24"/>
          <w:szCs w:val="24"/>
        </w:rPr>
      </w:pPr>
      <w:r w:rsidRPr="00330E69">
        <w:rPr>
          <w:rFonts w:ascii="Times New Roman" w:hAnsi="Times New Roman" w:cs="Times New Roman"/>
          <w:sz w:val="24"/>
          <w:szCs w:val="24"/>
        </w:rPr>
        <w:t xml:space="preserve">the location of the collection service; </w:t>
      </w:r>
    </w:p>
    <w:p w:rsidR="003F4567" w:rsidRDefault="003F4567" w:rsidP="003F4567">
      <w:pPr>
        <w:pStyle w:val="ListParagraph"/>
        <w:numPr>
          <w:ilvl w:val="1"/>
          <w:numId w:val="18"/>
        </w:numPr>
        <w:spacing w:after="0" w:line="240" w:lineRule="auto"/>
        <w:ind w:left="851" w:hanging="425"/>
        <w:rPr>
          <w:rFonts w:ascii="Times New Roman" w:hAnsi="Times New Roman" w:cs="Times New Roman"/>
          <w:sz w:val="24"/>
          <w:szCs w:val="24"/>
        </w:rPr>
      </w:pPr>
      <w:r w:rsidRPr="00330E69">
        <w:rPr>
          <w:rFonts w:ascii="Times New Roman" w:hAnsi="Times New Roman" w:cs="Times New Roman"/>
          <w:sz w:val="24"/>
          <w:szCs w:val="24"/>
        </w:rPr>
        <w:t>the frequency of the collection service; and</w:t>
      </w:r>
    </w:p>
    <w:p w:rsidR="003F4567" w:rsidRPr="00330E69" w:rsidRDefault="003F4567" w:rsidP="003F4567">
      <w:pPr>
        <w:pStyle w:val="ListParagraph"/>
        <w:spacing w:after="0" w:line="240" w:lineRule="auto"/>
        <w:ind w:left="851"/>
        <w:rPr>
          <w:rFonts w:ascii="Times New Roman" w:hAnsi="Times New Roman" w:cs="Times New Roman"/>
          <w:sz w:val="24"/>
          <w:szCs w:val="24"/>
        </w:rPr>
      </w:pPr>
    </w:p>
    <w:p w:rsidR="003F4567" w:rsidRPr="00330E69" w:rsidRDefault="003F4567" w:rsidP="003F4567">
      <w:pPr>
        <w:pStyle w:val="ListParagraph"/>
        <w:numPr>
          <w:ilvl w:val="0"/>
          <w:numId w:val="18"/>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the total weight of products in a class of products collected </w:t>
      </w:r>
      <w:r>
        <w:rPr>
          <w:rFonts w:ascii="Times New Roman" w:hAnsi="Times New Roman" w:cs="Times New Roman"/>
          <w:sz w:val="24"/>
          <w:szCs w:val="24"/>
        </w:rPr>
        <w:t>in</w:t>
      </w:r>
      <w:r w:rsidRPr="00330E69">
        <w:rPr>
          <w:rFonts w:ascii="Times New Roman" w:hAnsi="Times New Roman" w:cs="Times New Roman"/>
          <w:sz w:val="24"/>
          <w:szCs w:val="24"/>
        </w:rPr>
        <w:t xml:space="preserve"> each State and Territory in each of the following areas:</w:t>
      </w:r>
    </w:p>
    <w:p w:rsidR="003F4567" w:rsidRPr="00330E69" w:rsidRDefault="003F4567" w:rsidP="003F4567">
      <w:pPr>
        <w:pStyle w:val="ListParagraph"/>
        <w:numPr>
          <w:ilvl w:val="1"/>
          <w:numId w:val="18"/>
        </w:numPr>
        <w:tabs>
          <w:tab w:val="left" w:pos="851"/>
        </w:tabs>
        <w:spacing w:after="0" w:line="240" w:lineRule="auto"/>
        <w:ind w:left="851" w:hanging="425"/>
        <w:rPr>
          <w:rFonts w:ascii="Times New Roman" w:hAnsi="Times New Roman" w:cs="Times New Roman"/>
          <w:sz w:val="24"/>
          <w:szCs w:val="24"/>
        </w:rPr>
      </w:pPr>
      <w:r w:rsidRPr="00330E69">
        <w:rPr>
          <w:rFonts w:ascii="Times New Roman" w:hAnsi="Times New Roman" w:cs="Times New Roman"/>
          <w:sz w:val="24"/>
          <w:szCs w:val="24"/>
        </w:rPr>
        <w:t>metropolitan areas;</w:t>
      </w:r>
    </w:p>
    <w:p w:rsidR="003F4567" w:rsidRPr="00330E69" w:rsidRDefault="003F4567" w:rsidP="003F4567">
      <w:pPr>
        <w:pStyle w:val="ListParagraph"/>
        <w:numPr>
          <w:ilvl w:val="1"/>
          <w:numId w:val="18"/>
        </w:numPr>
        <w:tabs>
          <w:tab w:val="left" w:pos="851"/>
        </w:tabs>
        <w:spacing w:after="0" w:line="240" w:lineRule="auto"/>
        <w:ind w:left="851" w:hanging="425"/>
        <w:rPr>
          <w:rFonts w:ascii="Times New Roman" w:hAnsi="Times New Roman" w:cs="Times New Roman"/>
          <w:sz w:val="24"/>
          <w:szCs w:val="24"/>
        </w:rPr>
      </w:pPr>
      <w:r w:rsidRPr="00330E69">
        <w:rPr>
          <w:rFonts w:ascii="Times New Roman" w:hAnsi="Times New Roman" w:cs="Times New Roman"/>
          <w:sz w:val="24"/>
          <w:szCs w:val="24"/>
        </w:rPr>
        <w:t>inner regional areas;</w:t>
      </w:r>
    </w:p>
    <w:p w:rsidR="003F4567" w:rsidRPr="00330E69" w:rsidRDefault="003F4567" w:rsidP="003F4567">
      <w:pPr>
        <w:pStyle w:val="ListParagraph"/>
        <w:numPr>
          <w:ilvl w:val="1"/>
          <w:numId w:val="18"/>
        </w:numPr>
        <w:tabs>
          <w:tab w:val="left" w:pos="851"/>
        </w:tabs>
        <w:spacing w:after="0" w:line="240" w:lineRule="auto"/>
        <w:ind w:left="851" w:hanging="425"/>
        <w:rPr>
          <w:rFonts w:ascii="Times New Roman" w:hAnsi="Times New Roman" w:cs="Times New Roman"/>
          <w:sz w:val="24"/>
          <w:szCs w:val="24"/>
        </w:rPr>
      </w:pPr>
      <w:r w:rsidRPr="00330E69">
        <w:rPr>
          <w:rFonts w:ascii="Times New Roman" w:hAnsi="Times New Roman" w:cs="Times New Roman"/>
          <w:sz w:val="24"/>
          <w:szCs w:val="24"/>
        </w:rPr>
        <w:t>outer regional areas;</w:t>
      </w:r>
    </w:p>
    <w:p w:rsidR="003F4567" w:rsidRDefault="003F4567" w:rsidP="003F4567">
      <w:pPr>
        <w:pStyle w:val="ListParagraph"/>
        <w:numPr>
          <w:ilvl w:val="1"/>
          <w:numId w:val="18"/>
        </w:numPr>
        <w:tabs>
          <w:tab w:val="left" w:pos="851"/>
        </w:tabs>
        <w:spacing w:after="0" w:line="240" w:lineRule="auto"/>
        <w:ind w:left="851" w:hanging="425"/>
        <w:rPr>
          <w:rFonts w:ascii="Times New Roman" w:hAnsi="Times New Roman" w:cs="Times New Roman"/>
          <w:sz w:val="24"/>
          <w:szCs w:val="24"/>
        </w:rPr>
      </w:pPr>
      <w:r w:rsidRPr="00330E69">
        <w:rPr>
          <w:rFonts w:ascii="Times New Roman" w:hAnsi="Times New Roman" w:cs="Times New Roman"/>
          <w:sz w:val="24"/>
          <w:szCs w:val="24"/>
        </w:rPr>
        <w:t xml:space="preserve">remote areas; and </w:t>
      </w:r>
    </w:p>
    <w:p w:rsidR="003F4567" w:rsidRPr="00330E69" w:rsidRDefault="003F4567" w:rsidP="003F4567">
      <w:pPr>
        <w:pStyle w:val="ListParagraph"/>
        <w:tabs>
          <w:tab w:val="left" w:pos="851"/>
        </w:tabs>
        <w:spacing w:after="0" w:line="240" w:lineRule="auto"/>
        <w:ind w:left="851"/>
        <w:rPr>
          <w:rFonts w:ascii="Times New Roman" w:hAnsi="Times New Roman" w:cs="Times New Roman"/>
          <w:sz w:val="24"/>
          <w:szCs w:val="24"/>
        </w:rPr>
      </w:pPr>
    </w:p>
    <w:p w:rsidR="003F4567" w:rsidRPr="00330E69" w:rsidRDefault="003F4567" w:rsidP="003F4567">
      <w:pPr>
        <w:pStyle w:val="ListParagraph"/>
        <w:numPr>
          <w:ilvl w:val="0"/>
          <w:numId w:val="18"/>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total weight of products in a class of products stored other than at a recycling facility.</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4</w:t>
      </w:r>
      <w:r w:rsidRPr="00330E69">
        <w:rPr>
          <w:rFonts w:ascii="Times New Roman" w:hAnsi="Times New Roman" w:cs="Times New Roman"/>
          <w:sz w:val="24"/>
          <w:szCs w:val="24"/>
        </w:rPr>
        <w:t>(4) provides further detail for information required in the annual report relating to recycling of products</w:t>
      </w:r>
      <w:r>
        <w:rPr>
          <w:rFonts w:ascii="Times New Roman" w:hAnsi="Times New Roman" w:cs="Times New Roman"/>
          <w:sz w:val="24"/>
          <w:szCs w:val="24"/>
        </w:rPr>
        <w:t xml:space="preserve"> under the co-regulatory arrangement</w:t>
      </w:r>
      <w:r w:rsidRPr="00330E69">
        <w:rPr>
          <w:rFonts w:ascii="Times New Roman" w:hAnsi="Times New Roman" w:cs="Times New Roman"/>
          <w:sz w:val="24"/>
          <w:szCs w:val="24"/>
        </w:rPr>
        <w:t>. The annual report must include:</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19"/>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total weight of products in a class of products delivered to a recycling facility;</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9"/>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total weight of products in a class of products recycled;</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9"/>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the types of materials recovered from the </w:t>
      </w:r>
      <w:r>
        <w:rPr>
          <w:rFonts w:ascii="Times New Roman" w:hAnsi="Times New Roman" w:cs="Times New Roman"/>
          <w:sz w:val="24"/>
          <w:szCs w:val="24"/>
        </w:rPr>
        <w:t>recycling</w:t>
      </w:r>
      <w:r w:rsidRPr="00330E69">
        <w:rPr>
          <w:rFonts w:ascii="Times New Roman" w:hAnsi="Times New Roman" w:cs="Times New Roman"/>
          <w:sz w:val="24"/>
          <w:szCs w:val="24"/>
        </w:rPr>
        <w:t xml:space="preserve"> of products in a class of products;</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9"/>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the total weight of materials recovered from the </w:t>
      </w:r>
      <w:r>
        <w:rPr>
          <w:rFonts w:ascii="Times New Roman" w:hAnsi="Times New Roman" w:cs="Times New Roman"/>
          <w:sz w:val="24"/>
          <w:szCs w:val="24"/>
        </w:rPr>
        <w:t xml:space="preserve">recycling </w:t>
      </w:r>
      <w:r w:rsidRPr="00330E69">
        <w:rPr>
          <w:rFonts w:ascii="Times New Roman" w:hAnsi="Times New Roman" w:cs="Times New Roman"/>
          <w:sz w:val="24"/>
          <w:szCs w:val="24"/>
        </w:rPr>
        <w:t>of products in a class of products;</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19"/>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the types of materials sent for disposal from the </w:t>
      </w:r>
      <w:r>
        <w:rPr>
          <w:rFonts w:ascii="Times New Roman" w:hAnsi="Times New Roman" w:cs="Times New Roman"/>
          <w:sz w:val="24"/>
          <w:szCs w:val="24"/>
        </w:rPr>
        <w:t>recycling</w:t>
      </w:r>
      <w:r w:rsidRPr="00330E69">
        <w:rPr>
          <w:rFonts w:ascii="Times New Roman" w:hAnsi="Times New Roman" w:cs="Times New Roman"/>
          <w:sz w:val="24"/>
          <w:szCs w:val="24"/>
        </w:rPr>
        <w:t xml:space="preserve"> of products in a class of products; </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19"/>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the total weight of materials sent for disposal from the </w:t>
      </w:r>
      <w:r>
        <w:rPr>
          <w:rFonts w:ascii="Times New Roman" w:hAnsi="Times New Roman" w:cs="Times New Roman"/>
          <w:sz w:val="24"/>
          <w:szCs w:val="24"/>
        </w:rPr>
        <w:t>recycling</w:t>
      </w:r>
      <w:r w:rsidRPr="00330E69">
        <w:rPr>
          <w:rFonts w:ascii="Times New Roman" w:hAnsi="Times New Roman" w:cs="Times New Roman"/>
          <w:sz w:val="24"/>
          <w:szCs w:val="24"/>
        </w:rPr>
        <w:t xml:space="preserve"> of products in a class of products.</w:t>
      </w:r>
    </w:p>
    <w:p w:rsidR="003F4567" w:rsidRPr="00330E69" w:rsidRDefault="003F4567" w:rsidP="003F4567">
      <w:pPr>
        <w:pStyle w:val="NormalWeb"/>
        <w:spacing w:before="0" w:beforeAutospacing="0" w:after="0" w:afterAutospacing="0"/>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This information will indicate the performance of a co-regulatory arrangement against the recycling target.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4</w:t>
      </w:r>
      <w:r w:rsidRPr="00330E69">
        <w:rPr>
          <w:rFonts w:ascii="Times New Roman" w:hAnsi="Times New Roman" w:cs="Times New Roman"/>
          <w:sz w:val="24"/>
          <w:szCs w:val="24"/>
        </w:rPr>
        <w:t>(5) provides further detail for information required in the annual report relating to the export of products. The annual report must include:</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20"/>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total weight of products in a class of products that are exported as whole units for recycling;</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20"/>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country to which the products were exported.</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eastAsia="Times New Roman" w:hAnsi="Times New Roman" w:cs="Times New Roman"/>
          <w:sz w:val="24"/>
          <w:szCs w:val="24"/>
        </w:rPr>
      </w:pPr>
      <w:r w:rsidRPr="00330E69">
        <w:rPr>
          <w:rFonts w:ascii="Times New Roman" w:hAnsi="Times New Roman" w:cs="Times New Roman"/>
          <w:sz w:val="24"/>
          <w:szCs w:val="24"/>
        </w:rPr>
        <w:t xml:space="preserve">Export of whole units for recycling is likely to require a permit under the </w:t>
      </w:r>
      <w:r w:rsidRPr="00330E69">
        <w:rPr>
          <w:rFonts w:ascii="Times New Roman" w:hAnsi="Times New Roman" w:cs="Times New Roman"/>
          <w:i/>
          <w:sz w:val="24"/>
          <w:szCs w:val="24"/>
        </w:rPr>
        <w:t>Hazardous Waste (Regulation of Exports and Imports) Act 1989</w:t>
      </w:r>
      <w:r>
        <w:rPr>
          <w:rFonts w:ascii="Times New Roman" w:hAnsi="Times New Roman" w:cs="Times New Roman"/>
          <w:sz w:val="24"/>
          <w:szCs w:val="24"/>
        </w:rPr>
        <w:t xml:space="preserve"> (the Hazardous Waste Act).</w:t>
      </w:r>
      <w:r w:rsidRPr="00330E69">
        <w:rPr>
          <w:rFonts w:ascii="Times New Roman" w:hAnsi="Times New Roman" w:cs="Times New Roman"/>
          <w:sz w:val="24"/>
          <w:szCs w:val="24"/>
        </w:rPr>
        <w:t xml:space="preserve"> This Act implements Australia’s obligations under the Basel Convention on the Control of </w:t>
      </w:r>
      <w:proofErr w:type="spellStart"/>
      <w:r w:rsidRPr="00330E69">
        <w:rPr>
          <w:rFonts w:ascii="Times New Roman" w:hAnsi="Times New Roman" w:cs="Times New Roman"/>
          <w:sz w:val="24"/>
          <w:szCs w:val="24"/>
        </w:rPr>
        <w:t>Transboundary</w:t>
      </w:r>
      <w:proofErr w:type="spellEnd"/>
      <w:r w:rsidRPr="00330E69">
        <w:rPr>
          <w:rFonts w:ascii="Times New Roman" w:hAnsi="Times New Roman" w:cs="Times New Roman"/>
          <w:sz w:val="24"/>
          <w:szCs w:val="24"/>
        </w:rPr>
        <w:t xml:space="preserve"> Movements of Hazardous Wastes and their Disposal (the Basel Convention).  For the purposes of the Hazardous Waste Act</w:t>
      </w:r>
      <w:r w:rsidRPr="00330E69">
        <w:rPr>
          <w:rFonts w:ascii="Times New Roman" w:hAnsi="Times New Roman" w:cs="Times New Roman"/>
          <w:i/>
          <w:sz w:val="24"/>
          <w:szCs w:val="24"/>
        </w:rPr>
        <w:t>,</w:t>
      </w:r>
      <w:r w:rsidRPr="00330E69">
        <w:rPr>
          <w:rFonts w:ascii="Times New Roman" w:hAnsi="Times New Roman" w:cs="Times New Roman"/>
          <w:sz w:val="24"/>
          <w:szCs w:val="24"/>
        </w:rPr>
        <w:t xml:space="preserve"> waste defined as hazardous in the Basel Convention or the </w:t>
      </w:r>
      <w:r w:rsidRPr="00330E69">
        <w:rPr>
          <w:rFonts w:ascii="Times New Roman" w:eastAsia="Times New Roman" w:hAnsi="Times New Roman" w:cs="Times New Roman"/>
          <w:bCs/>
          <w:i/>
          <w:sz w:val="24"/>
          <w:szCs w:val="24"/>
        </w:rPr>
        <w:t>Hazardous Waste (Regulation of Exports and Imports) (OECD Decision) Regulations</w:t>
      </w:r>
      <w:r w:rsidRPr="00330E69">
        <w:rPr>
          <w:rFonts w:ascii="Times New Roman" w:hAnsi="Times New Roman" w:cs="Times New Roman"/>
          <w:i/>
          <w:sz w:val="24"/>
          <w:szCs w:val="24"/>
        </w:rPr>
        <w:t xml:space="preserve"> 1996</w:t>
      </w:r>
      <w:r w:rsidRPr="00330E69">
        <w:rPr>
          <w:rFonts w:ascii="Times New Roman" w:hAnsi="Times New Roman" w:cs="Times New Roman"/>
          <w:sz w:val="24"/>
          <w:szCs w:val="24"/>
        </w:rPr>
        <w:t xml:space="preserve"> cannot be exported without a permit.</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4</w:t>
      </w:r>
      <w:r w:rsidRPr="00330E69">
        <w:rPr>
          <w:rFonts w:ascii="Times New Roman" w:hAnsi="Times New Roman" w:cs="Times New Roman"/>
          <w:sz w:val="24"/>
          <w:szCs w:val="24"/>
        </w:rPr>
        <w:t>(6) provides further detail for information required in the annual report relating to service providers contracted to provide collection, transportation, storage or recycling services in relation to the co-regulatory arrangement for each class of products. The annual report must include:</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21"/>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name of the service provider;</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21"/>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service provided by the service provider;</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21"/>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 the total weight of products recycled by the service provider.</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4</w:t>
      </w:r>
      <w:r w:rsidRPr="00330E69">
        <w:rPr>
          <w:rFonts w:ascii="Times New Roman" w:hAnsi="Times New Roman" w:cs="Times New Roman"/>
          <w:sz w:val="24"/>
          <w:szCs w:val="24"/>
        </w:rPr>
        <w:t xml:space="preserve">(7) provides guidance on the term ‘service provider’ for the purposes of </w:t>
      </w: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4</w:t>
      </w:r>
      <w:r w:rsidRPr="00330E69">
        <w:rPr>
          <w:rFonts w:ascii="Times New Roman" w:hAnsi="Times New Roman" w:cs="Times New Roman"/>
          <w:sz w:val="24"/>
          <w:szCs w:val="24"/>
        </w:rPr>
        <w:t xml:space="preserve">(6) and includes: </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22"/>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an overseas facility that receives whole units of products exported from Australia under the co-regulatory arrangement; and</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22"/>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the administrator in its capacity of providing services</w:t>
      </w:r>
      <w:r>
        <w:rPr>
          <w:rFonts w:ascii="Times New Roman" w:hAnsi="Times New Roman" w:cs="Times New Roman"/>
          <w:sz w:val="24"/>
          <w:szCs w:val="24"/>
        </w:rPr>
        <w:t>,</w:t>
      </w:r>
      <w:r w:rsidRPr="00330E69">
        <w:rPr>
          <w:rFonts w:ascii="Times New Roman" w:hAnsi="Times New Roman" w:cs="Times New Roman"/>
          <w:sz w:val="24"/>
          <w:szCs w:val="24"/>
        </w:rPr>
        <w:t xml:space="preserve"> </w:t>
      </w:r>
      <w:r>
        <w:rPr>
          <w:rFonts w:ascii="Times New Roman" w:hAnsi="Times New Roman" w:cs="Times New Roman"/>
          <w:sz w:val="24"/>
          <w:szCs w:val="24"/>
        </w:rPr>
        <w:t>if</w:t>
      </w:r>
      <w:r w:rsidRPr="00330E69">
        <w:rPr>
          <w:rFonts w:ascii="Times New Roman" w:hAnsi="Times New Roman" w:cs="Times New Roman"/>
          <w:sz w:val="24"/>
          <w:szCs w:val="24"/>
        </w:rPr>
        <w:t xml:space="preserve"> the administrator is providing services in relation to the co-regulatory arrangement beyond the role of being administrator.</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4</w:t>
      </w:r>
      <w:r w:rsidRPr="00330E69">
        <w:rPr>
          <w:rFonts w:ascii="Times New Roman" w:hAnsi="Times New Roman" w:cs="Times New Roman"/>
          <w:sz w:val="24"/>
          <w:szCs w:val="24"/>
        </w:rPr>
        <w:t>(8) provides further detail for information required in the annual report relating to incidents or breaches under occupational health and safety and environmental laws</w:t>
      </w:r>
      <w:r>
        <w:rPr>
          <w:rFonts w:ascii="Times New Roman" w:hAnsi="Times New Roman" w:cs="Times New Roman"/>
          <w:sz w:val="24"/>
          <w:szCs w:val="24"/>
        </w:rPr>
        <w:t xml:space="preserve"> in the course of the collection, transportation, storage or recycling of products in a class of products under the co-regulatory arrangement</w:t>
      </w:r>
      <w:r w:rsidRPr="00330E69">
        <w:rPr>
          <w:rFonts w:ascii="Times New Roman" w:hAnsi="Times New Roman" w:cs="Times New Roman"/>
          <w:sz w:val="24"/>
          <w:szCs w:val="24"/>
        </w:rPr>
        <w:t>. The annual report must include</w:t>
      </w:r>
      <w:r>
        <w:rPr>
          <w:rFonts w:ascii="Times New Roman" w:hAnsi="Times New Roman" w:cs="Times New Roman"/>
          <w:sz w:val="24"/>
          <w:szCs w:val="24"/>
        </w:rPr>
        <w:t xml:space="preserve"> details about</w:t>
      </w:r>
      <w:r w:rsidRPr="00330E69">
        <w:rPr>
          <w:rFonts w:ascii="Times New Roman" w:hAnsi="Times New Roman" w:cs="Times New Roman"/>
          <w:sz w:val="24"/>
          <w:szCs w:val="24"/>
        </w:rPr>
        <w:t>:</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Default"/>
        <w:numPr>
          <w:ilvl w:val="0"/>
          <w:numId w:val="23"/>
        </w:numPr>
        <w:rPr>
          <w:rFonts w:ascii="Times New Roman" w:hAnsi="Times New Roman" w:cs="Times New Roman"/>
        </w:rPr>
      </w:pPr>
      <w:r>
        <w:rPr>
          <w:rFonts w:ascii="Times New Roman" w:hAnsi="Times New Roman" w:cs="Times New Roman"/>
        </w:rPr>
        <w:t xml:space="preserve">any incident that occurs if </w:t>
      </w:r>
      <w:r w:rsidRPr="00330E69">
        <w:rPr>
          <w:rFonts w:ascii="Times New Roman" w:hAnsi="Times New Roman" w:cs="Times New Roman"/>
        </w:rPr>
        <w:t xml:space="preserve">an environmental law or an occupational health and safety law requires </w:t>
      </w:r>
      <w:r>
        <w:rPr>
          <w:rFonts w:ascii="Times New Roman" w:hAnsi="Times New Roman" w:cs="Times New Roman"/>
        </w:rPr>
        <w:t xml:space="preserve">a person to notify </w:t>
      </w:r>
      <w:r w:rsidRPr="00330E69">
        <w:rPr>
          <w:rFonts w:ascii="Times New Roman" w:hAnsi="Times New Roman" w:cs="Times New Roman"/>
        </w:rPr>
        <w:t>a public office holder or public authority</w:t>
      </w:r>
      <w:r>
        <w:rPr>
          <w:rFonts w:ascii="Times New Roman" w:hAnsi="Times New Roman" w:cs="Times New Roman"/>
        </w:rPr>
        <w:t xml:space="preserve"> if a particular incident occurs</w:t>
      </w:r>
      <w:r w:rsidRPr="00330E69">
        <w:rPr>
          <w:rFonts w:ascii="Times New Roman" w:hAnsi="Times New Roman" w:cs="Times New Roman"/>
        </w:rPr>
        <w:t xml:space="preserve">; </w:t>
      </w:r>
    </w:p>
    <w:p w:rsidR="003F4567" w:rsidRPr="00330E69" w:rsidRDefault="003F4567" w:rsidP="003F4567">
      <w:pPr>
        <w:pStyle w:val="Default"/>
        <w:ind w:left="360"/>
        <w:rPr>
          <w:rFonts w:ascii="Times New Roman" w:hAnsi="Times New Roman" w:cs="Times New Roman"/>
        </w:rPr>
      </w:pPr>
    </w:p>
    <w:p w:rsidR="003F4567" w:rsidRPr="00330E69" w:rsidRDefault="003F4567" w:rsidP="003F4567">
      <w:pPr>
        <w:pStyle w:val="ListParagraph"/>
        <w:numPr>
          <w:ilvl w:val="0"/>
          <w:numId w:val="23"/>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a breach of an environmental law or an occupational health and safety law.</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4</w:t>
      </w:r>
      <w:r w:rsidRPr="00330E69">
        <w:rPr>
          <w:rFonts w:ascii="Times New Roman" w:hAnsi="Times New Roman" w:cs="Times New Roman"/>
          <w:sz w:val="24"/>
          <w:szCs w:val="24"/>
        </w:rPr>
        <w:t xml:space="preserve">(9) makes clear that the reference to a law for the purposes of </w:t>
      </w: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4</w:t>
      </w:r>
      <w:r w:rsidRPr="00330E69">
        <w:rPr>
          <w:rFonts w:ascii="Times New Roman" w:hAnsi="Times New Roman" w:cs="Times New Roman"/>
          <w:sz w:val="24"/>
          <w:szCs w:val="24"/>
        </w:rPr>
        <w:t xml:space="preserve">(8) is to a law of the Commonwealth, or of a State or Territory.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purposes of </w:t>
      </w: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5.14(8), </w:t>
      </w:r>
      <w:r w:rsidRPr="00330E69">
        <w:rPr>
          <w:rFonts w:ascii="Times New Roman" w:hAnsi="Times New Roman" w:cs="Times New Roman"/>
          <w:sz w:val="24"/>
          <w:szCs w:val="24"/>
        </w:rPr>
        <w:t>‘environmental laws’ include</w:t>
      </w:r>
      <w:r>
        <w:rPr>
          <w:rFonts w:ascii="Times New Roman" w:hAnsi="Times New Roman" w:cs="Times New Roman"/>
          <w:sz w:val="24"/>
          <w:szCs w:val="24"/>
        </w:rPr>
        <w:t>s</w:t>
      </w:r>
      <w:r w:rsidRPr="00330E69">
        <w:rPr>
          <w:rFonts w:ascii="Times New Roman" w:hAnsi="Times New Roman" w:cs="Times New Roman"/>
          <w:sz w:val="24"/>
          <w:szCs w:val="24"/>
        </w:rPr>
        <w:t xml:space="preserve"> the following Acts, and legislative instruments made under those Acts:</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28"/>
        </w:numPr>
        <w:spacing w:after="0" w:line="240" w:lineRule="auto"/>
        <w:ind w:left="360"/>
        <w:rPr>
          <w:rFonts w:ascii="Times New Roman" w:hAnsi="Times New Roman" w:cs="Times New Roman"/>
          <w:i/>
          <w:sz w:val="24"/>
          <w:szCs w:val="24"/>
        </w:rPr>
      </w:pPr>
      <w:r w:rsidRPr="00330E69">
        <w:rPr>
          <w:rFonts w:ascii="Times New Roman" w:hAnsi="Times New Roman" w:cs="Times New Roman"/>
          <w:i/>
          <w:sz w:val="24"/>
          <w:szCs w:val="24"/>
        </w:rPr>
        <w:t>Hazardous Waste (Regulation of Exports and Imports) Act 1989 (</w:t>
      </w:r>
      <w:proofErr w:type="spellStart"/>
      <w:r w:rsidRPr="00330E69">
        <w:rPr>
          <w:rFonts w:ascii="Times New Roman" w:hAnsi="Times New Roman" w:cs="Times New Roman"/>
          <w:i/>
          <w:sz w:val="24"/>
          <w:szCs w:val="24"/>
        </w:rPr>
        <w:t>Cth</w:t>
      </w:r>
      <w:proofErr w:type="spellEnd"/>
      <w:r w:rsidRPr="00330E69">
        <w:rPr>
          <w:rFonts w:ascii="Times New Roman" w:hAnsi="Times New Roman" w:cs="Times New Roman"/>
          <w:i/>
          <w:sz w:val="24"/>
          <w:szCs w:val="24"/>
        </w:rPr>
        <w:t>)</w:t>
      </w:r>
      <w:r>
        <w:rPr>
          <w:rFonts w:ascii="Times New Roman" w:hAnsi="Times New Roman" w:cs="Times New Roman"/>
          <w:i/>
          <w:sz w:val="24"/>
          <w:szCs w:val="24"/>
        </w:rPr>
        <w:t>;</w:t>
      </w:r>
    </w:p>
    <w:p w:rsidR="003F4567" w:rsidRPr="00330E69" w:rsidRDefault="003F4567" w:rsidP="003F4567">
      <w:pPr>
        <w:pStyle w:val="ListParagraph"/>
        <w:spacing w:after="0" w:line="240" w:lineRule="auto"/>
        <w:ind w:left="360"/>
        <w:rPr>
          <w:rFonts w:ascii="Times New Roman" w:hAnsi="Times New Roman" w:cs="Times New Roman"/>
          <w:i/>
          <w:sz w:val="24"/>
          <w:szCs w:val="24"/>
        </w:rPr>
      </w:pPr>
    </w:p>
    <w:p w:rsidR="003F4567" w:rsidRDefault="003F4567" w:rsidP="003F4567">
      <w:pPr>
        <w:pStyle w:val="ListParagraph"/>
        <w:numPr>
          <w:ilvl w:val="0"/>
          <w:numId w:val="28"/>
        </w:numPr>
        <w:spacing w:after="0" w:line="240" w:lineRule="auto"/>
        <w:ind w:left="360"/>
        <w:rPr>
          <w:rFonts w:ascii="Times New Roman" w:hAnsi="Times New Roman" w:cs="Times New Roman"/>
          <w:i/>
          <w:sz w:val="24"/>
          <w:szCs w:val="24"/>
        </w:rPr>
      </w:pPr>
      <w:r w:rsidRPr="00330E69">
        <w:rPr>
          <w:rFonts w:ascii="Times New Roman" w:hAnsi="Times New Roman" w:cs="Times New Roman"/>
          <w:i/>
          <w:sz w:val="24"/>
          <w:szCs w:val="24"/>
        </w:rPr>
        <w:t>Protection of the Environment Operations Act 1997 (NSW)</w:t>
      </w:r>
      <w:r>
        <w:rPr>
          <w:rFonts w:ascii="Times New Roman" w:hAnsi="Times New Roman" w:cs="Times New Roman"/>
          <w:i/>
          <w:sz w:val="24"/>
          <w:szCs w:val="24"/>
        </w:rPr>
        <w:t>;</w:t>
      </w:r>
    </w:p>
    <w:p w:rsidR="003F4567" w:rsidRPr="00330E69" w:rsidRDefault="003F4567" w:rsidP="003F4567">
      <w:pPr>
        <w:pStyle w:val="ListParagraph"/>
        <w:spacing w:after="0" w:line="240" w:lineRule="auto"/>
        <w:ind w:left="360"/>
        <w:rPr>
          <w:rFonts w:ascii="Times New Roman" w:hAnsi="Times New Roman" w:cs="Times New Roman"/>
          <w:i/>
          <w:sz w:val="24"/>
          <w:szCs w:val="24"/>
        </w:rPr>
      </w:pPr>
    </w:p>
    <w:p w:rsidR="003F4567" w:rsidRDefault="003F4567" w:rsidP="003F4567">
      <w:pPr>
        <w:pStyle w:val="ListParagraph"/>
        <w:numPr>
          <w:ilvl w:val="0"/>
          <w:numId w:val="28"/>
        </w:numPr>
        <w:spacing w:after="0" w:line="240" w:lineRule="auto"/>
        <w:ind w:left="360"/>
        <w:rPr>
          <w:rFonts w:ascii="Times New Roman" w:hAnsi="Times New Roman" w:cs="Times New Roman"/>
          <w:i/>
          <w:sz w:val="24"/>
          <w:szCs w:val="24"/>
        </w:rPr>
      </w:pPr>
      <w:r w:rsidRPr="00330E69">
        <w:rPr>
          <w:rFonts w:ascii="Times New Roman" w:hAnsi="Times New Roman" w:cs="Times New Roman"/>
          <w:i/>
          <w:sz w:val="24"/>
          <w:szCs w:val="24"/>
        </w:rPr>
        <w:t>Environmental Protection Act 1994 (Qld)</w:t>
      </w:r>
      <w:r>
        <w:rPr>
          <w:rFonts w:ascii="Times New Roman" w:hAnsi="Times New Roman" w:cs="Times New Roman"/>
          <w:i/>
          <w:sz w:val="24"/>
          <w:szCs w:val="24"/>
        </w:rPr>
        <w:t>;</w:t>
      </w:r>
    </w:p>
    <w:p w:rsidR="003F4567" w:rsidRPr="00330E69" w:rsidRDefault="003F4567" w:rsidP="003F4567">
      <w:pPr>
        <w:pStyle w:val="ListParagraph"/>
        <w:spacing w:after="0" w:line="240" w:lineRule="auto"/>
        <w:ind w:left="360"/>
        <w:rPr>
          <w:rFonts w:ascii="Times New Roman" w:hAnsi="Times New Roman" w:cs="Times New Roman"/>
          <w:i/>
          <w:sz w:val="24"/>
          <w:szCs w:val="24"/>
        </w:rPr>
      </w:pPr>
    </w:p>
    <w:p w:rsidR="003F4567" w:rsidRDefault="003F4567" w:rsidP="003F4567">
      <w:pPr>
        <w:pStyle w:val="ListParagraph"/>
        <w:numPr>
          <w:ilvl w:val="0"/>
          <w:numId w:val="28"/>
        </w:numPr>
        <w:spacing w:after="0" w:line="240" w:lineRule="auto"/>
        <w:ind w:left="360"/>
        <w:rPr>
          <w:rFonts w:ascii="Times New Roman" w:hAnsi="Times New Roman" w:cs="Times New Roman"/>
          <w:sz w:val="24"/>
          <w:szCs w:val="24"/>
        </w:rPr>
      </w:pPr>
      <w:r w:rsidRPr="00330E69">
        <w:rPr>
          <w:rFonts w:ascii="Times New Roman" w:hAnsi="Times New Roman" w:cs="Times New Roman"/>
          <w:i/>
          <w:sz w:val="24"/>
          <w:szCs w:val="24"/>
        </w:rPr>
        <w:t>Environmental Protection Act 1986 (WA)</w:t>
      </w:r>
      <w:r>
        <w:rPr>
          <w:rFonts w:ascii="Times New Roman" w:hAnsi="Times New Roman" w:cs="Times New Roman"/>
          <w:i/>
          <w:sz w:val="24"/>
          <w:szCs w:val="24"/>
        </w:rPr>
        <w:t>;</w:t>
      </w:r>
      <w:r w:rsidRPr="00330E69">
        <w:rPr>
          <w:rFonts w:ascii="Times New Roman" w:hAnsi="Times New Roman" w:cs="Times New Roman"/>
          <w:sz w:val="24"/>
          <w:szCs w:val="24"/>
        </w:rPr>
        <w:t xml:space="preserve"> </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28"/>
        </w:numPr>
        <w:spacing w:after="0" w:line="240" w:lineRule="auto"/>
        <w:ind w:left="360"/>
        <w:rPr>
          <w:rFonts w:ascii="Times New Roman" w:hAnsi="Times New Roman" w:cs="Times New Roman"/>
          <w:i/>
          <w:sz w:val="24"/>
          <w:szCs w:val="24"/>
        </w:rPr>
      </w:pPr>
      <w:r w:rsidRPr="00330E69">
        <w:rPr>
          <w:rFonts w:ascii="Times New Roman" w:hAnsi="Times New Roman" w:cs="Times New Roman"/>
          <w:i/>
          <w:sz w:val="24"/>
          <w:szCs w:val="24"/>
        </w:rPr>
        <w:t>Environmental Management and Pollution Control Act 1994(Tas)</w:t>
      </w:r>
      <w:r>
        <w:rPr>
          <w:rFonts w:ascii="Times New Roman" w:hAnsi="Times New Roman" w:cs="Times New Roman"/>
          <w:i/>
          <w:sz w:val="24"/>
          <w:szCs w:val="24"/>
        </w:rPr>
        <w:t>;</w:t>
      </w:r>
    </w:p>
    <w:p w:rsidR="003F4567" w:rsidRPr="00330E69" w:rsidRDefault="003F4567" w:rsidP="003F4567">
      <w:pPr>
        <w:pStyle w:val="ListParagraph"/>
        <w:spacing w:after="0" w:line="240" w:lineRule="auto"/>
        <w:ind w:left="360"/>
        <w:rPr>
          <w:rFonts w:ascii="Times New Roman" w:hAnsi="Times New Roman" w:cs="Times New Roman"/>
          <w:i/>
          <w:sz w:val="24"/>
          <w:szCs w:val="24"/>
        </w:rPr>
      </w:pPr>
    </w:p>
    <w:p w:rsidR="003F4567" w:rsidRDefault="003F4567" w:rsidP="003F4567">
      <w:pPr>
        <w:pStyle w:val="ListParagraph"/>
        <w:numPr>
          <w:ilvl w:val="0"/>
          <w:numId w:val="28"/>
        </w:numPr>
        <w:spacing w:after="0" w:line="240" w:lineRule="auto"/>
        <w:ind w:left="360"/>
        <w:rPr>
          <w:rFonts w:ascii="Times New Roman" w:hAnsi="Times New Roman" w:cs="Times New Roman"/>
          <w:i/>
          <w:sz w:val="24"/>
          <w:szCs w:val="24"/>
        </w:rPr>
      </w:pPr>
      <w:r w:rsidRPr="00330E69">
        <w:rPr>
          <w:rFonts w:ascii="Times New Roman" w:hAnsi="Times New Roman" w:cs="Times New Roman"/>
          <w:i/>
          <w:sz w:val="24"/>
          <w:szCs w:val="24"/>
        </w:rPr>
        <w:t>Land Use Planning and Approvals Act 1993(Tas)</w:t>
      </w:r>
      <w:r>
        <w:rPr>
          <w:rFonts w:ascii="Times New Roman" w:hAnsi="Times New Roman" w:cs="Times New Roman"/>
          <w:i/>
          <w:sz w:val="24"/>
          <w:szCs w:val="24"/>
        </w:rPr>
        <w:t>;</w:t>
      </w:r>
    </w:p>
    <w:p w:rsidR="003F4567" w:rsidRPr="00330E69" w:rsidRDefault="003F4567" w:rsidP="003F4567">
      <w:pPr>
        <w:pStyle w:val="ListParagraph"/>
        <w:spacing w:after="0" w:line="240" w:lineRule="auto"/>
        <w:ind w:left="360"/>
        <w:rPr>
          <w:rFonts w:ascii="Times New Roman" w:hAnsi="Times New Roman" w:cs="Times New Roman"/>
          <w:i/>
          <w:sz w:val="24"/>
          <w:szCs w:val="24"/>
        </w:rPr>
      </w:pPr>
    </w:p>
    <w:p w:rsidR="003F4567" w:rsidRDefault="003F4567" w:rsidP="003F4567">
      <w:pPr>
        <w:pStyle w:val="ListParagraph"/>
        <w:numPr>
          <w:ilvl w:val="0"/>
          <w:numId w:val="28"/>
        </w:numPr>
        <w:spacing w:after="0" w:line="240" w:lineRule="auto"/>
        <w:ind w:left="360"/>
        <w:rPr>
          <w:rFonts w:ascii="Times New Roman" w:hAnsi="Times New Roman" w:cs="Times New Roman"/>
          <w:i/>
          <w:sz w:val="24"/>
          <w:szCs w:val="24"/>
        </w:rPr>
      </w:pPr>
      <w:r w:rsidRPr="00330E69">
        <w:rPr>
          <w:rFonts w:ascii="Times New Roman" w:hAnsi="Times New Roman" w:cs="Times New Roman"/>
          <w:i/>
          <w:sz w:val="24"/>
          <w:szCs w:val="24"/>
        </w:rPr>
        <w:t>Environment Protection Act 1970(Vic)</w:t>
      </w:r>
      <w:r>
        <w:rPr>
          <w:rFonts w:ascii="Times New Roman" w:hAnsi="Times New Roman" w:cs="Times New Roman"/>
          <w:i/>
          <w:sz w:val="24"/>
          <w:szCs w:val="24"/>
        </w:rPr>
        <w:t>;</w:t>
      </w:r>
    </w:p>
    <w:p w:rsidR="003F4567" w:rsidRPr="00330E69" w:rsidRDefault="003F4567" w:rsidP="003F4567">
      <w:pPr>
        <w:pStyle w:val="ListParagraph"/>
        <w:spacing w:after="0" w:line="240" w:lineRule="auto"/>
        <w:ind w:left="360"/>
        <w:rPr>
          <w:rFonts w:ascii="Times New Roman" w:hAnsi="Times New Roman" w:cs="Times New Roman"/>
          <w:i/>
          <w:sz w:val="24"/>
          <w:szCs w:val="24"/>
        </w:rPr>
      </w:pPr>
    </w:p>
    <w:p w:rsidR="003F4567" w:rsidRDefault="003F4567" w:rsidP="003F4567">
      <w:pPr>
        <w:pStyle w:val="ListParagraph"/>
        <w:numPr>
          <w:ilvl w:val="0"/>
          <w:numId w:val="28"/>
        </w:numPr>
        <w:spacing w:after="0" w:line="240" w:lineRule="auto"/>
        <w:ind w:left="360"/>
        <w:rPr>
          <w:rFonts w:ascii="Times New Roman" w:hAnsi="Times New Roman" w:cs="Times New Roman"/>
          <w:i/>
          <w:sz w:val="24"/>
          <w:szCs w:val="24"/>
        </w:rPr>
      </w:pPr>
      <w:r w:rsidRPr="00330E69">
        <w:rPr>
          <w:rFonts w:ascii="Times New Roman" w:hAnsi="Times New Roman" w:cs="Times New Roman"/>
          <w:i/>
          <w:sz w:val="24"/>
          <w:szCs w:val="24"/>
        </w:rPr>
        <w:t>Environment Protection Act 1993 (SA)</w:t>
      </w:r>
      <w:r>
        <w:rPr>
          <w:rFonts w:ascii="Times New Roman" w:hAnsi="Times New Roman" w:cs="Times New Roman"/>
          <w:i/>
          <w:sz w:val="24"/>
          <w:szCs w:val="24"/>
        </w:rPr>
        <w:t>;</w:t>
      </w:r>
    </w:p>
    <w:p w:rsidR="003F4567" w:rsidRPr="00330E69" w:rsidRDefault="003F4567" w:rsidP="003F4567">
      <w:pPr>
        <w:pStyle w:val="ListParagraph"/>
        <w:spacing w:after="0" w:line="240" w:lineRule="auto"/>
        <w:ind w:left="360"/>
        <w:rPr>
          <w:rFonts w:ascii="Times New Roman" w:hAnsi="Times New Roman" w:cs="Times New Roman"/>
          <w:i/>
          <w:sz w:val="24"/>
          <w:szCs w:val="24"/>
        </w:rPr>
      </w:pPr>
    </w:p>
    <w:p w:rsidR="003F4567" w:rsidRDefault="003F4567" w:rsidP="003F4567">
      <w:pPr>
        <w:pStyle w:val="ListParagraph"/>
        <w:numPr>
          <w:ilvl w:val="0"/>
          <w:numId w:val="28"/>
        </w:numPr>
        <w:spacing w:after="0" w:line="240" w:lineRule="auto"/>
        <w:ind w:left="360"/>
        <w:rPr>
          <w:rFonts w:ascii="Times New Roman" w:hAnsi="Times New Roman" w:cs="Times New Roman"/>
          <w:i/>
          <w:sz w:val="24"/>
          <w:szCs w:val="24"/>
        </w:rPr>
      </w:pPr>
      <w:r w:rsidRPr="00330E69">
        <w:rPr>
          <w:rFonts w:ascii="Times New Roman" w:hAnsi="Times New Roman" w:cs="Times New Roman"/>
          <w:i/>
          <w:sz w:val="24"/>
          <w:szCs w:val="24"/>
        </w:rPr>
        <w:t>Waste Management and Pollution Control Act 2009 (NT)</w:t>
      </w:r>
      <w:r>
        <w:rPr>
          <w:rFonts w:ascii="Times New Roman" w:hAnsi="Times New Roman" w:cs="Times New Roman"/>
          <w:i/>
          <w:sz w:val="24"/>
          <w:szCs w:val="24"/>
        </w:rPr>
        <w:t>;</w:t>
      </w:r>
    </w:p>
    <w:p w:rsidR="003F4567" w:rsidRPr="00330E69" w:rsidRDefault="003F4567" w:rsidP="003F4567">
      <w:pPr>
        <w:pStyle w:val="ListParagraph"/>
        <w:spacing w:after="0" w:line="240" w:lineRule="auto"/>
        <w:ind w:left="360"/>
        <w:rPr>
          <w:rFonts w:ascii="Times New Roman" w:hAnsi="Times New Roman" w:cs="Times New Roman"/>
          <w:i/>
          <w:sz w:val="24"/>
          <w:szCs w:val="24"/>
        </w:rPr>
      </w:pPr>
    </w:p>
    <w:p w:rsidR="003F4567" w:rsidRPr="00330E69" w:rsidRDefault="003F4567" w:rsidP="003F4567">
      <w:pPr>
        <w:pStyle w:val="ListParagraph"/>
        <w:numPr>
          <w:ilvl w:val="0"/>
          <w:numId w:val="28"/>
        </w:numPr>
        <w:spacing w:after="0" w:line="240" w:lineRule="auto"/>
        <w:ind w:left="360"/>
        <w:rPr>
          <w:rFonts w:ascii="Times New Roman" w:hAnsi="Times New Roman" w:cs="Times New Roman"/>
          <w:sz w:val="24"/>
          <w:szCs w:val="24"/>
        </w:rPr>
      </w:pPr>
      <w:r w:rsidRPr="00330E69">
        <w:rPr>
          <w:rFonts w:ascii="Times New Roman" w:hAnsi="Times New Roman" w:cs="Times New Roman"/>
          <w:i/>
          <w:sz w:val="24"/>
          <w:szCs w:val="24"/>
        </w:rPr>
        <w:t>Environment Protection Act 1997 (ACT)</w:t>
      </w:r>
      <w:r>
        <w:rPr>
          <w:rFonts w:ascii="Times New Roman" w:hAnsi="Times New Roman" w:cs="Times New Roman"/>
          <w:i/>
          <w:sz w:val="24"/>
          <w:szCs w:val="24"/>
        </w:rPr>
        <w:t>.</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purposes of </w:t>
      </w: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5.14(8),</w:t>
      </w:r>
      <w:r w:rsidRPr="00330E69">
        <w:rPr>
          <w:rFonts w:ascii="Times New Roman" w:hAnsi="Times New Roman" w:cs="Times New Roman"/>
          <w:sz w:val="24"/>
          <w:szCs w:val="24"/>
        </w:rPr>
        <w:t xml:space="preserve"> ‘</w:t>
      </w:r>
      <w:r>
        <w:rPr>
          <w:rFonts w:ascii="Times New Roman" w:hAnsi="Times New Roman" w:cs="Times New Roman"/>
          <w:sz w:val="24"/>
          <w:szCs w:val="24"/>
        </w:rPr>
        <w:t>o</w:t>
      </w:r>
      <w:r w:rsidRPr="00330E69">
        <w:rPr>
          <w:rFonts w:ascii="Times New Roman" w:hAnsi="Times New Roman" w:cs="Times New Roman"/>
          <w:sz w:val="24"/>
          <w:szCs w:val="24"/>
        </w:rPr>
        <w:t>ccupational health and safety laws’ include</w:t>
      </w:r>
      <w:r>
        <w:rPr>
          <w:rFonts w:ascii="Times New Roman" w:hAnsi="Times New Roman" w:cs="Times New Roman"/>
          <w:sz w:val="24"/>
          <w:szCs w:val="24"/>
        </w:rPr>
        <w:t>s</w:t>
      </w:r>
      <w:r w:rsidRPr="00330E69">
        <w:rPr>
          <w:rFonts w:ascii="Times New Roman" w:hAnsi="Times New Roman" w:cs="Times New Roman"/>
          <w:sz w:val="24"/>
          <w:szCs w:val="24"/>
        </w:rPr>
        <w:t xml:space="preserve"> the following Acts, and legislative instruments made under those Acts:</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27"/>
        </w:numPr>
        <w:spacing w:after="0" w:line="240" w:lineRule="auto"/>
        <w:rPr>
          <w:rFonts w:ascii="Times New Roman" w:hAnsi="Times New Roman" w:cs="Times New Roman"/>
          <w:i/>
          <w:sz w:val="24"/>
          <w:szCs w:val="24"/>
        </w:rPr>
      </w:pPr>
      <w:r w:rsidRPr="00330E69">
        <w:rPr>
          <w:rFonts w:ascii="Times New Roman" w:hAnsi="Times New Roman" w:cs="Times New Roman"/>
          <w:i/>
          <w:sz w:val="24"/>
          <w:szCs w:val="24"/>
        </w:rPr>
        <w:t>Occupational Health and Safety Act 1991 (</w:t>
      </w:r>
      <w:proofErr w:type="spellStart"/>
      <w:r w:rsidRPr="00330E69">
        <w:rPr>
          <w:rFonts w:ascii="Times New Roman" w:hAnsi="Times New Roman" w:cs="Times New Roman"/>
          <w:i/>
          <w:sz w:val="24"/>
          <w:szCs w:val="24"/>
        </w:rPr>
        <w:t>Cth</w:t>
      </w:r>
      <w:proofErr w:type="spellEnd"/>
      <w:r w:rsidRPr="00330E69">
        <w:rPr>
          <w:rFonts w:ascii="Times New Roman" w:hAnsi="Times New Roman" w:cs="Times New Roman"/>
          <w:i/>
          <w:sz w:val="24"/>
          <w:szCs w:val="24"/>
        </w:rPr>
        <w:t>)</w:t>
      </w:r>
      <w:r>
        <w:rPr>
          <w:rFonts w:ascii="Times New Roman" w:hAnsi="Times New Roman" w:cs="Times New Roman"/>
          <w:i/>
          <w:sz w:val="24"/>
          <w:szCs w:val="24"/>
        </w:rPr>
        <w:t>;</w:t>
      </w:r>
    </w:p>
    <w:p w:rsidR="003F4567" w:rsidRPr="00330E69" w:rsidRDefault="003F4567" w:rsidP="003F4567">
      <w:pPr>
        <w:pStyle w:val="ListParagraph"/>
        <w:spacing w:after="0" w:line="240" w:lineRule="auto"/>
        <w:ind w:left="360"/>
        <w:rPr>
          <w:rFonts w:ascii="Times New Roman" w:hAnsi="Times New Roman" w:cs="Times New Roman"/>
          <w:i/>
          <w:sz w:val="24"/>
          <w:szCs w:val="24"/>
        </w:rPr>
      </w:pPr>
    </w:p>
    <w:p w:rsidR="003F4567" w:rsidRDefault="003F4567" w:rsidP="003F4567">
      <w:pPr>
        <w:pStyle w:val="ListParagraph"/>
        <w:numPr>
          <w:ilvl w:val="0"/>
          <w:numId w:val="27"/>
        </w:numPr>
        <w:spacing w:after="0" w:line="240" w:lineRule="auto"/>
        <w:rPr>
          <w:rFonts w:ascii="Times New Roman" w:hAnsi="Times New Roman" w:cs="Times New Roman"/>
          <w:i/>
          <w:sz w:val="24"/>
          <w:szCs w:val="24"/>
        </w:rPr>
      </w:pPr>
      <w:r w:rsidRPr="00330E69">
        <w:rPr>
          <w:rFonts w:ascii="Times New Roman" w:hAnsi="Times New Roman" w:cs="Times New Roman"/>
          <w:i/>
          <w:sz w:val="24"/>
          <w:szCs w:val="24"/>
        </w:rPr>
        <w:t>Occupational Health and Safety Act 2000 (NSW)</w:t>
      </w:r>
      <w:r>
        <w:rPr>
          <w:rFonts w:ascii="Times New Roman" w:hAnsi="Times New Roman" w:cs="Times New Roman"/>
          <w:i/>
          <w:sz w:val="24"/>
          <w:szCs w:val="24"/>
        </w:rPr>
        <w:t>;</w:t>
      </w:r>
    </w:p>
    <w:p w:rsidR="003F4567" w:rsidRPr="00330E69" w:rsidRDefault="003F4567" w:rsidP="003F4567">
      <w:pPr>
        <w:pStyle w:val="ListParagraph"/>
        <w:spacing w:after="0" w:line="240" w:lineRule="auto"/>
        <w:ind w:left="360"/>
        <w:rPr>
          <w:rFonts w:ascii="Times New Roman" w:hAnsi="Times New Roman" w:cs="Times New Roman"/>
          <w:i/>
          <w:sz w:val="24"/>
          <w:szCs w:val="24"/>
        </w:rPr>
      </w:pPr>
    </w:p>
    <w:p w:rsidR="003F4567" w:rsidRDefault="003F4567" w:rsidP="003F4567">
      <w:pPr>
        <w:pStyle w:val="ListParagraph"/>
        <w:numPr>
          <w:ilvl w:val="0"/>
          <w:numId w:val="27"/>
        </w:numPr>
        <w:spacing w:after="0" w:line="240" w:lineRule="auto"/>
        <w:rPr>
          <w:rFonts w:ascii="Times New Roman" w:hAnsi="Times New Roman" w:cs="Times New Roman"/>
          <w:i/>
          <w:sz w:val="24"/>
          <w:szCs w:val="24"/>
        </w:rPr>
      </w:pPr>
      <w:r w:rsidRPr="00330E69">
        <w:rPr>
          <w:rFonts w:ascii="Times New Roman" w:hAnsi="Times New Roman" w:cs="Times New Roman"/>
          <w:i/>
          <w:sz w:val="24"/>
          <w:szCs w:val="24"/>
        </w:rPr>
        <w:t>Workplace Health and Safety Act 1995 (Qld)</w:t>
      </w:r>
      <w:r>
        <w:rPr>
          <w:rFonts w:ascii="Times New Roman" w:hAnsi="Times New Roman" w:cs="Times New Roman"/>
          <w:i/>
          <w:sz w:val="24"/>
          <w:szCs w:val="24"/>
        </w:rPr>
        <w:t>;</w:t>
      </w:r>
    </w:p>
    <w:p w:rsidR="003F4567" w:rsidRPr="00330E69" w:rsidRDefault="003F4567" w:rsidP="003F4567">
      <w:pPr>
        <w:pStyle w:val="ListParagraph"/>
        <w:spacing w:after="0" w:line="240" w:lineRule="auto"/>
        <w:ind w:left="360"/>
        <w:rPr>
          <w:rFonts w:ascii="Times New Roman" w:hAnsi="Times New Roman" w:cs="Times New Roman"/>
          <w:i/>
          <w:sz w:val="24"/>
          <w:szCs w:val="24"/>
        </w:rPr>
      </w:pPr>
    </w:p>
    <w:p w:rsidR="003F4567" w:rsidRDefault="003F4567" w:rsidP="003F4567">
      <w:pPr>
        <w:pStyle w:val="ListParagraph"/>
        <w:numPr>
          <w:ilvl w:val="0"/>
          <w:numId w:val="27"/>
        </w:numPr>
        <w:spacing w:after="0" w:line="240" w:lineRule="auto"/>
        <w:rPr>
          <w:rFonts w:ascii="Times New Roman" w:hAnsi="Times New Roman" w:cs="Times New Roman"/>
          <w:i/>
          <w:sz w:val="24"/>
          <w:szCs w:val="24"/>
        </w:rPr>
      </w:pPr>
      <w:r w:rsidRPr="00330E69">
        <w:rPr>
          <w:rFonts w:ascii="Times New Roman" w:hAnsi="Times New Roman" w:cs="Times New Roman"/>
          <w:i/>
          <w:sz w:val="24"/>
          <w:szCs w:val="24"/>
        </w:rPr>
        <w:t>Occupational Safety and Health Act 1984 (WA)</w:t>
      </w:r>
      <w:r>
        <w:rPr>
          <w:rFonts w:ascii="Times New Roman" w:hAnsi="Times New Roman" w:cs="Times New Roman"/>
          <w:i/>
          <w:sz w:val="24"/>
          <w:szCs w:val="24"/>
        </w:rPr>
        <w:t>;</w:t>
      </w:r>
    </w:p>
    <w:p w:rsidR="003F4567" w:rsidRPr="00330E69" w:rsidRDefault="003F4567" w:rsidP="003F4567">
      <w:pPr>
        <w:pStyle w:val="ListParagraph"/>
        <w:spacing w:after="0" w:line="240" w:lineRule="auto"/>
        <w:ind w:left="360"/>
        <w:rPr>
          <w:rFonts w:ascii="Times New Roman" w:hAnsi="Times New Roman" w:cs="Times New Roman"/>
          <w:i/>
          <w:sz w:val="24"/>
          <w:szCs w:val="24"/>
        </w:rPr>
      </w:pPr>
    </w:p>
    <w:p w:rsidR="003F4567" w:rsidRDefault="003F4567" w:rsidP="003F4567">
      <w:pPr>
        <w:pStyle w:val="ListParagraph"/>
        <w:numPr>
          <w:ilvl w:val="0"/>
          <w:numId w:val="27"/>
        </w:numPr>
        <w:spacing w:after="0" w:line="240" w:lineRule="auto"/>
        <w:rPr>
          <w:rFonts w:ascii="Times New Roman" w:hAnsi="Times New Roman" w:cs="Times New Roman"/>
          <w:i/>
          <w:sz w:val="24"/>
          <w:szCs w:val="24"/>
        </w:rPr>
      </w:pPr>
      <w:r w:rsidRPr="00330E69">
        <w:rPr>
          <w:rFonts w:ascii="Times New Roman" w:hAnsi="Times New Roman" w:cs="Times New Roman"/>
          <w:i/>
          <w:sz w:val="24"/>
          <w:szCs w:val="24"/>
        </w:rPr>
        <w:t>Workplace Health and Safety Act 1995(Tas)</w:t>
      </w:r>
      <w:r>
        <w:rPr>
          <w:rFonts w:ascii="Times New Roman" w:hAnsi="Times New Roman" w:cs="Times New Roman"/>
          <w:i/>
          <w:sz w:val="24"/>
          <w:szCs w:val="24"/>
        </w:rPr>
        <w:t>;</w:t>
      </w:r>
    </w:p>
    <w:p w:rsidR="003F4567" w:rsidRPr="00330E69" w:rsidRDefault="003F4567" w:rsidP="003F4567">
      <w:pPr>
        <w:pStyle w:val="ListParagraph"/>
        <w:spacing w:after="0" w:line="240" w:lineRule="auto"/>
        <w:ind w:left="360"/>
        <w:rPr>
          <w:rFonts w:ascii="Times New Roman" w:hAnsi="Times New Roman" w:cs="Times New Roman"/>
          <w:i/>
          <w:sz w:val="24"/>
          <w:szCs w:val="24"/>
        </w:rPr>
      </w:pPr>
    </w:p>
    <w:p w:rsidR="003F4567" w:rsidRDefault="003F4567" w:rsidP="003F4567">
      <w:pPr>
        <w:pStyle w:val="ListParagraph"/>
        <w:numPr>
          <w:ilvl w:val="0"/>
          <w:numId w:val="27"/>
        </w:numPr>
        <w:spacing w:after="0" w:line="240" w:lineRule="auto"/>
        <w:rPr>
          <w:rFonts w:ascii="Times New Roman" w:hAnsi="Times New Roman" w:cs="Times New Roman"/>
          <w:i/>
          <w:sz w:val="24"/>
          <w:szCs w:val="24"/>
        </w:rPr>
      </w:pPr>
      <w:r w:rsidRPr="00330E69">
        <w:rPr>
          <w:rFonts w:ascii="Times New Roman" w:hAnsi="Times New Roman" w:cs="Times New Roman"/>
          <w:i/>
          <w:sz w:val="24"/>
          <w:szCs w:val="24"/>
        </w:rPr>
        <w:t>Occupational Health and Safety Act 2004(Vic)</w:t>
      </w:r>
      <w:r>
        <w:rPr>
          <w:rFonts w:ascii="Times New Roman" w:hAnsi="Times New Roman" w:cs="Times New Roman"/>
          <w:i/>
          <w:sz w:val="24"/>
          <w:szCs w:val="24"/>
        </w:rPr>
        <w:t>;</w:t>
      </w:r>
    </w:p>
    <w:p w:rsidR="003F4567" w:rsidRPr="00330E69" w:rsidRDefault="003F4567" w:rsidP="003F4567">
      <w:pPr>
        <w:pStyle w:val="ListParagraph"/>
        <w:spacing w:after="0" w:line="240" w:lineRule="auto"/>
        <w:ind w:left="360"/>
        <w:rPr>
          <w:rFonts w:ascii="Times New Roman" w:hAnsi="Times New Roman" w:cs="Times New Roman"/>
          <w:i/>
          <w:sz w:val="24"/>
          <w:szCs w:val="24"/>
        </w:rPr>
      </w:pPr>
    </w:p>
    <w:p w:rsidR="003F4567" w:rsidRDefault="003F4567" w:rsidP="003F4567">
      <w:pPr>
        <w:pStyle w:val="ListParagraph"/>
        <w:numPr>
          <w:ilvl w:val="0"/>
          <w:numId w:val="27"/>
        </w:numPr>
        <w:spacing w:after="0" w:line="240" w:lineRule="auto"/>
        <w:rPr>
          <w:rFonts w:ascii="Times New Roman" w:hAnsi="Times New Roman" w:cs="Times New Roman"/>
          <w:i/>
          <w:sz w:val="24"/>
          <w:szCs w:val="24"/>
        </w:rPr>
      </w:pPr>
      <w:r w:rsidRPr="00330E69">
        <w:rPr>
          <w:rFonts w:ascii="Times New Roman" w:hAnsi="Times New Roman" w:cs="Times New Roman"/>
          <w:i/>
          <w:sz w:val="24"/>
          <w:szCs w:val="24"/>
        </w:rPr>
        <w:t>Occupational Health, Safety and Welfare Act 1986(SA)</w:t>
      </w:r>
      <w:r>
        <w:rPr>
          <w:rFonts w:ascii="Times New Roman" w:hAnsi="Times New Roman" w:cs="Times New Roman"/>
          <w:i/>
          <w:sz w:val="24"/>
          <w:szCs w:val="24"/>
        </w:rPr>
        <w:t>;</w:t>
      </w:r>
    </w:p>
    <w:p w:rsidR="003F4567" w:rsidRPr="00330E69" w:rsidRDefault="003F4567" w:rsidP="003F4567">
      <w:pPr>
        <w:pStyle w:val="ListParagraph"/>
        <w:spacing w:after="0" w:line="240" w:lineRule="auto"/>
        <w:ind w:left="360"/>
        <w:rPr>
          <w:rFonts w:ascii="Times New Roman" w:hAnsi="Times New Roman" w:cs="Times New Roman"/>
          <w:i/>
          <w:sz w:val="24"/>
          <w:szCs w:val="24"/>
        </w:rPr>
      </w:pPr>
    </w:p>
    <w:p w:rsidR="003F4567" w:rsidRDefault="003F4567" w:rsidP="003F4567">
      <w:pPr>
        <w:pStyle w:val="ListParagraph"/>
        <w:numPr>
          <w:ilvl w:val="0"/>
          <w:numId w:val="27"/>
        </w:numPr>
        <w:spacing w:after="0" w:line="240" w:lineRule="auto"/>
        <w:rPr>
          <w:rFonts w:ascii="Times New Roman" w:hAnsi="Times New Roman" w:cs="Times New Roman"/>
          <w:i/>
          <w:sz w:val="24"/>
          <w:szCs w:val="24"/>
        </w:rPr>
      </w:pPr>
      <w:r w:rsidRPr="00330E69">
        <w:rPr>
          <w:rFonts w:ascii="Times New Roman" w:hAnsi="Times New Roman" w:cs="Times New Roman"/>
          <w:i/>
          <w:sz w:val="24"/>
          <w:szCs w:val="24"/>
        </w:rPr>
        <w:t>Workplace Health and Safety Act 2011 (NT)</w:t>
      </w:r>
      <w:r>
        <w:rPr>
          <w:rFonts w:ascii="Times New Roman" w:hAnsi="Times New Roman" w:cs="Times New Roman"/>
          <w:i/>
          <w:sz w:val="24"/>
          <w:szCs w:val="24"/>
        </w:rPr>
        <w:t>;</w:t>
      </w:r>
    </w:p>
    <w:p w:rsidR="003F4567" w:rsidRPr="00330E69" w:rsidRDefault="003F4567" w:rsidP="003F4567">
      <w:pPr>
        <w:pStyle w:val="ListParagraph"/>
        <w:spacing w:after="0" w:line="240" w:lineRule="auto"/>
        <w:ind w:left="360"/>
        <w:rPr>
          <w:rFonts w:ascii="Times New Roman" w:hAnsi="Times New Roman" w:cs="Times New Roman"/>
          <w:i/>
          <w:sz w:val="24"/>
          <w:szCs w:val="24"/>
        </w:rPr>
      </w:pPr>
    </w:p>
    <w:p w:rsidR="003F4567" w:rsidRPr="00330E69" w:rsidRDefault="003F4567" w:rsidP="003F4567">
      <w:pPr>
        <w:pStyle w:val="ListParagraph"/>
        <w:numPr>
          <w:ilvl w:val="0"/>
          <w:numId w:val="27"/>
        </w:numPr>
        <w:spacing w:after="0" w:line="240" w:lineRule="auto"/>
        <w:rPr>
          <w:rFonts w:ascii="Times New Roman" w:hAnsi="Times New Roman" w:cs="Times New Roman"/>
          <w:sz w:val="24"/>
          <w:szCs w:val="24"/>
        </w:rPr>
      </w:pPr>
      <w:r w:rsidRPr="00330E69">
        <w:rPr>
          <w:rFonts w:ascii="Times New Roman" w:hAnsi="Times New Roman" w:cs="Times New Roman"/>
          <w:i/>
          <w:sz w:val="24"/>
          <w:szCs w:val="24"/>
        </w:rPr>
        <w:t>Work Safety Act 2008 (ACT)</w:t>
      </w:r>
      <w:r>
        <w:rPr>
          <w:rFonts w:ascii="Times New Roman" w:hAnsi="Times New Roman" w:cs="Times New Roman"/>
          <w:i/>
          <w:sz w:val="24"/>
          <w:szCs w:val="24"/>
        </w:rPr>
        <w:t>.</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Occupational health and safety laws will change as jurisdictions enact laws to give effect to the national harmonisation of work health and safety laws.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4</w:t>
      </w:r>
      <w:r w:rsidRPr="00330E69">
        <w:rPr>
          <w:rFonts w:ascii="Times New Roman" w:hAnsi="Times New Roman" w:cs="Times New Roman"/>
          <w:sz w:val="24"/>
          <w:szCs w:val="24"/>
        </w:rPr>
        <w:t>(10) provides detail on the information required in an annual report commencing from the 2014-2015 financial year. From the financial year 2014-2015, and for each subsequent financial year, the annual report must also include information on the materials sent for processing after recycling, including :</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Default"/>
        <w:numPr>
          <w:ilvl w:val="0"/>
          <w:numId w:val="24"/>
        </w:numPr>
        <w:rPr>
          <w:rFonts w:ascii="Times New Roman" w:hAnsi="Times New Roman" w:cs="Times New Roman"/>
        </w:rPr>
      </w:pPr>
      <w:r w:rsidRPr="00330E69">
        <w:rPr>
          <w:rFonts w:ascii="Times New Roman" w:hAnsi="Times New Roman" w:cs="Times New Roman"/>
        </w:rPr>
        <w:t xml:space="preserve">the weight of the components exported by the service provider for processing </w:t>
      </w:r>
      <w:r>
        <w:rPr>
          <w:rFonts w:ascii="Times New Roman" w:hAnsi="Times New Roman" w:cs="Times New Roman"/>
        </w:rPr>
        <w:t>if</w:t>
      </w:r>
      <w:r w:rsidRPr="00330E69">
        <w:rPr>
          <w:rFonts w:ascii="Times New Roman" w:hAnsi="Times New Roman" w:cs="Times New Roman"/>
        </w:rPr>
        <w:t xml:space="preserve"> a service provider identified in </w:t>
      </w:r>
      <w:proofErr w:type="spellStart"/>
      <w:r w:rsidRPr="00330E69">
        <w:rPr>
          <w:rFonts w:ascii="Times New Roman" w:hAnsi="Times New Roman" w:cs="Times New Roman"/>
        </w:rPr>
        <w:t>subregulation</w:t>
      </w:r>
      <w:proofErr w:type="spellEnd"/>
      <w:r w:rsidRPr="00330E69">
        <w:rPr>
          <w:rFonts w:ascii="Times New Roman" w:hAnsi="Times New Roman" w:cs="Times New Roman"/>
        </w:rPr>
        <w:t xml:space="preserve"> 5.1</w:t>
      </w:r>
      <w:r>
        <w:rPr>
          <w:rFonts w:ascii="Times New Roman" w:hAnsi="Times New Roman" w:cs="Times New Roman"/>
        </w:rPr>
        <w:t>4</w:t>
      </w:r>
      <w:r w:rsidRPr="00330E69">
        <w:rPr>
          <w:rFonts w:ascii="Times New Roman" w:hAnsi="Times New Roman" w:cs="Times New Roman"/>
        </w:rPr>
        <w:t xml:space="preserve">(6) exports components that have been recycled from products in a class of products, and the country to which the components were exported; </w:t>
      </w:r>
    </w:p>
    <w:p w:rsidR="003F4567" w:rsidRPr="00330E69" w:rsidRDefault="003F4567" w:rsidP="003F4567">
      <w:pPr>
        <w:pStyle w:val="Default"/>
        <w:ind w:left="360"/>
        <w:rPr>
          <w:rFonts w:ascii="Times New Roman" w:hAnsi="Times New Roman" w:cs="Times New Roman"/>
        </w:rPr>
      </w:pPr>
    </w:p>
    <w:p w:rsidR="003F4567" w:rsidRDefault="003F4567" w:rsidP="003F4567">
      <w:pPr>
        <w:pStyle w:val="Default"/>
        <w:numPr>
          <w:ilvl w:val="0"/>
          <w:numId w:val="24"/>
        </w:numPr>
        <w:rPr>
          <w:rFonts w:ascii="Times New Roman" w:hAnsi="Times New Roman" w:cs="Times New Roman"/>
        </w:rPr>
      </w:pPr>
      <w:r w:rsidRPr="00330E69">
        <w:rPr>
          <w:rFonts w:ascii="Times New Roman" w:hAnsi="Times New Roman" w:cs="Times New Roman"/>
        </w:rPr>
        <w:t xml:space="preserve">the total weight of useable materials recovered from products in a class of products; </w:t>
      </w:r>
    </w:p>
    <w:p w:rsidR="003F4567" w:rsidRPr="00330E69" w:rsidRDefault="003F4567" w:rsidP="003F4567">
      <w:pPr>
        <w:pStyle w:val="Default"/>
        <w:ind w:left="360"/>
        <w:rPr>
          <w:rFonts w:ascii="Times New Roman" w:hAnsi="Times New Roman" w:cs="Times New Roman"/>
        </w:rPr>
      </w:pPr>
    </w:p>
    <w:p w:rsidR="003F4567" w:rsidRPr="00330E69" w:rsidRDefault="003F4567" w:rsidP="003F4567">
      <w:pPr>
        <w:pStyle w:val="Default"/>
        <w:numPr>
          <w:ilvl w:val="0"/>
          <w:numId w:val="24"/>
        </w:numPr>
        <w:rPr>
          <w:rFonts w:ascii="Times New Roman" w:hAnsi="Times New Roman" w:cs="Times New Roman"/>
        </w:rPr>
      </w:pPr>
      <w:r w:rsidRPr="00330E69">
        <w:rPr>
          <w:rFonts w:ascii="Times New Roman" w:hAnsi="Times New Roman" w:cs="Times New Roman"/>
        </w:rPr>
        <w:t xml:space="preserve">the total weight of non-useable materials sent to landfill from products in a class of products by each of the following classes of facilities: </w:t>
      </w:r>
    </w:p>
    <w:p w:rsidR="003F4567" w:rsidRPr="00330E69" w:rsidRDefault="003F4567" w:rsidP="003F4567">
      <w:pPr>
        <w:pStyle w:val="Default"/>
        <w:numPr>
          <w:ilvl w:val="1"/>
          <w:numId w:val="24"/>
        </w:numPr>
        <w:ind w:left="851" w:hanging="425"/>
        <w:rPr>
          <w:rFonts w:ascii="Times New Roman" w:hAnsi="Times New Roman" w:cs="Times New Roman"/>
        </w:rPr>
      </w:pPr>
      <w:r w:rsidRPr="00330E69">
        <w:rPr>
          <w:rFonts w:ascii="Times New Roman" w:hAnsi="Times New Roman" w:cs="Times New Roman"/>
        </w:rPr>
        <w:t xml:space="preserve">domestic processing facilities; </w:t>
      </w:r>
    </w:p>
    <w:p w:rsidR="003F4567" w:rsidRPr="00330E69" w:rsidRDefault="003F4567" w:rsidP="003F4567">
      <w:pPr>
        <w:pStyle w:val="ListParagraph"/>
        <w:numPr>
          <w:ilvl w:val="1"/>
          <w:numId w:val="24"/>
        </w:numPr>
        <w:spacing w:after="0" w:line="240" w:lineRule="auto"/>
        <w:ind w:left="851" w:hanging="425"/>
        <w:rPr>
          <w:rFonts w:ascii="Times New Roman" w:hAnsi="Times New Roman" w:cs="Times New Roman"/>
          <w:sz w:val="24"/>
          <w:szCs w:val="24"/>
        </w:rPr>
      </w:pPr>
      <w:r w:rsidRPr="00330E69">
        <w:rPr>
          <w:rFonts w:ascii="Times New Roman" w:hAnsi="Times New Roman" w:cs="Times New Roman"/>
          <w:sz w:val="24"/>
          <w:szCs w:val="24"/>
        </w:rPr>
        <w:t>overseas processing facilities.</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FA536A" w:rsidRDefault="003F4567" w:rsidP="003F4567">
      <w:pPr>
        <w:spacing w:after="0" w:line="240" w:lineRule="auto"/>
        <w:rPr>
          <w:rFonts w:ascii="Times New Roman" w:hAnsi="Times New Roman" w:cs="Times New Roman"/>
          <w:b/>
          <w:sz w:val="24"/>
          <w:szCs w:val="24"/>
        </w:rPr>
      </w:pPr>
      <w:r w:rsidRPr="00FA536A">
        <w:rPr>
          <w:rFonts w:ascii="Times New Roman" w:hAnsi="Times New Roman" w:cs="Times New Roman"/>
          <w:b/>
          <w:sz w:val="24"/>
          <w:szCs w:val="24"/>
        </w:rPr>
        <w:t>Subdivision 5.3.2 Audit reports</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u w:val="single"/>
        </w:rPr>
      </w:pPr>
      <w:r w:rsidRPr="00330E69">
        <w:rPr>
          <w:rFonts w:ascii="Times New Roman" w:hAnsi="Times New Roman" w:cs="Times New Roman"/>
          <w:sz w:val="24"/>
          <w:szCs w:val="24"/>
          <w:u w:val="single"/>
        </w:rPr>
        <w:t>Regulation 5.1</w:t>
      </w:r>
      <w:r>
        <w:rPr>
          <w:rFonts w:ascii="Times New Roman" w:hAnsi="Times New Roman" w:cs="Times New Roman"/>
          <w:sz w:val="24"/>
          <w:szCs w:val="24"/>
          <w:u w:val="single"/>
        </w:rPr>
        <w:t>5</w:t>
      </w:r>
      <w:r w:rsidRPr="00330E69">
        <w:rPr>
          <w:rFonts w:ascii="Times New Roman" w:hAnsi="Times New Roman" w:cs="Times New Roman"/>
          <w:sz w:val="24"/>
          <w:szCs w:val="24"/>
          <w:u w:val="single"/>
        </w:rPr>
        <w:t xml:space="preserve"> – Audit report given at same time as annual report  </w:t>
      </w:r>
    </w:p>
    <w:p w:rsidR="003F4567" w:rsidRPr="00330E69" w:rsidRDefault="003F4567" w:rsidP="003F4567">
      <w:pPr>
        <w:spacing w:after="0" w:line="240" w:lineRule="auto"/>
        <w:rPr>
          <w:rFonts w:ascii="Times New Roman" w:hAnsi="Times New Roman" w:cs="Times New Roman"/>
          <w:sz w:val="24"/>
          <w:szCs w:val="24"/>
          <w:u w:val="single"/>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Regulation 5.1</w:t>
      </w:r>
      <w:r>
        <w:rPr>
          <w:rFonts w:ascii="Times New Roman" w:hAnsi="Times New Roman" w:cs="Times New Roman"/>
          <w:sz w:val="24"/>
          <w:szCs w:val="24"/>
        </w:rPr>
        <w:t>5</w:t>
      </w:r>
      <w:r w:rsidRPr="00330E69">
        <w:rPr>
          <w:rFonts w:ascii="Times New Roman" w:hAnsi="Times New Roman" w:cs="Times New Roman"/>
          <w:sz w:val="24"/>
          <w:szCs w:val="24"/>
        </w:rPr>
        <w:t xml:space="preserve"> sets out the requirement for an ‘audit report’. The regulation is concerned with independent verification of the information </w:t>
      </w:r>
      <w:r>
        <w:rPr>
          <w:rFonts w:ascii="Times New Roman" w:hAnsi="Times New Roman" w:cs="Times New Roman"/>
          <w:sz w:val="24"/>
          <w:szCs w:val="24"/>
        </w:rPr>
        <w:t xml:space="preserve">set out in this regulation that is </w:t>
      </w:r>
      <w:r w:rsidRPr="00330E69">
        <w:rPr>
          <w:rFonts w:ascii="Times New Roman" w:hAnsi="Times New Roman" w:cs="Times New Roman"/>
          <w:sz w:val="24"/>
          <w:szCs w:val="24"/>
        </w:rPr>
        <w:t>contained in a co-regulatory arrangement’s annual report</w:t>
      </w:r>
      <w:r>
        <w:rPr>
          <w:rFonts w:ascii="Times New Roman" w:hAnsi="Times New Roman" w:cs="Times New Roman"/>
          <w:sz w:val="24"/>
          <w:szCs w:val="24"/>
        </w:rPr>
        <w:t>.</w:t>
      </w:r>
      <w:r w:rsidRPr="00330E69">
        <w:rPr>
          <w:rFonts w:ascii="Times New Roman" w:hAnsi="Times New Roman" w:cs="Times New Roman"/>
          <w:i/>
          <w:sz w:val="24"/>
          <w:szCs w:val="24"/>
        </w:rPr>
        <w:t xml:space="preserve">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5</w:t>
      </w:r>
      <w:r w:rsidRPr="00330E69">
        <w:rPr>
          <w:rFonts w:ascii="Times New Roman" w:hAnsi="Times New Roman" w:cs="Times New Roman"/>
          <w:sz w:val="24"/>
          <w:szCs w:val="24"/>
        </w:rPr>
        <w:t>(1) requires an administrator of a co-regulatory arrangement to provide a report to the Minister about an audit of the operation of the co-regulatory arrangement for the financial year in accordance with this regulation, by virtue of subsection 24(4) of the Act</w:t>
      </w:r>
      <w:r w:rsidRPr="00330E69">
        <w:rPr>
          <w:rFonts w:ascii="Times New Roman" w:hAnsi="Times New Roman" w:cs="Times New Roman"/>
          <w:i/>
          <w:sz w:val="24"/>
          <w:szCs w:val="24"/>
        </w:rPr>
        <w:t xml:space="preserve">. </w:t>
      </w:r>
      <w:r w:rsidRPr="00330E69">
        <w:rPr>
          <w:rFonts w:ascii="Times New Roman" w:hAnsi="Times New Roman" w:cs="Times New Roman"/>
          <w:sz w:val="24"/>
          <w:szCs w:val="24"/>
        </w:rPr>
        <w:t xml:space="preserve">A civil penalty of 250 penalty units applies to this requirement.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i/>
          <w:sz w:val="24"/>
          <w:szCs w:val="24"/>
        </w:rPr>
      </w:pPr>
      <w:r w:rsidRPr="00330E69">
        <w:rPr>
          <w:rFonts w:ascii="Times New Roman" w:hAnsi="Times New Roman" w:cs="Times New Roman"/>
          <w:sz w:val="24"/>
          <w:szCs w:val="24"/>
        </w:rPr>
        <w:t xml:space="preserve">An audit report must accompany the annual report required under </w:t>
      </w: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3</w:t>
      </w:r>
      <w:r w:rsidRPr="00330E69">
        <w:rPr>
          <w:rFonts w:ascii="Times New Roman" w:hAnsi="Times New Roman" w:cs="Times New Roman"/>
          <w:sz w:val="24"/>
          <w:szCs w:val="24"/>
        </w:rPr>
        <w:t>(1).</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5</w:t>
      </w:r>
      <w:r w:rsidRPr="00330E69">
        <w:rPr>
          <w:rFonts w:ascii="Times New Roman" w:hAnsi="Times New Roman" w:cs="Times New Roman"/>
          <w:sz w:val="24"/>
          <w:szCs w:val="24"/>
        </w:rPr>
        <w:t xml:space="preserve">(2) provides the audit report must be prepared by: </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25"/>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a person that is a registered company auditor under section 1280 of the </w:t>
      </w:r>
      <w:r w:rsidRPr="00330E69">
        <w:rPr>
          <w:rFonts w:ascii="Times New Roman" w:hAnsi="Times New Roman" w:cs="Times New Roman"/>
          <w:i/>
          <w:sz w:val="24"/>
          <w:szCs w:val="24"/>
        </w:rPr>
        <w:t>Corporations Act 2001;</w:t>
      </w:r>
      <w:r w:rsidRPr="00330E69">
        <w:rPr>
          <w:rFonts w:ascii="Times New Roman" w:hAnsi="Times New Roman" w:cs="Times New Roman"/>
          <w:sz w:val="24"/>
          <w:szCs w:val="24"/>
        </w:rPr>
        <w:t xml:space="preserve"> or</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330E69" w:rsidRDefault="003F4567" w:rsidP="003F4567">
      <w:pPr>
        <w:pStyle w:val="ListParagraph"/>
        <w:numPr>
          <w:ilvl w:val="0"/>
          <w:numId w:val="25"/>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a company that is an authorised audit company under section 1299C of the </w:t>
      </w:r>
      <w:r w:rsidRPr="00330E69">
        <w:rPr>
          <w:rFonts w:ascii="Times New Roman" w:hAnsi="Times New Roman" w:cs="Times New Roman"/>
          <w:i/>
          <w:sz w:val="24"/>
          <w:szCs w:val="24"/>
        </w:rPr>
        <w:t>Corporations Act 2001.</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5.1</w:t>
      </w:r>
      <w:r>
        <w:rPr>
          <w:rFonts w:ascii="Times New Roman" w:hAnsi="Times New Roman" w:cs="Times New Roman"/>
          <w:sz w:val="24"/>
          <w:szCs w:val="24"/>
        </w:rPr>
        <w:t>5</w:t>
      </w:r>
      <w:r w:rsidRPr="00330E69">
        <w:rPr>
          <w:rFonts w:ascii="Times New Roman" w:hAnsi="Times New Roman" w:cs="Times New Roman"/>
          <w:sz w:val="24"/>
          <w:szCs w:val="24"/>
        </w:rPr>
        <w:t>(3) provides the audit report must include:</w:t>
      </w:r>
    </w:p>
    <w:p w:rsidR="003F4567" w:rsidRPr="00330E69" w:rsidRDefault="003F4567" w:rsidP="003F4567">
      <w:pPr>
        <w:spacing w:after="0" w:line="240" w:lineRule="auto"/>
        <w:rPr>
          <w:rFonts w:ascii="Times New Roman" w:hAnsi="Times New Roman" w:cs="Times New Roman"/>
          <w:sz w:val="24"/>
          <w:szCs w:val="24"/>
        </w:rPr>
      </w:pPr>
    </w:p>
    <w:p w:rsidR="003F4567" w:rsidRDefault="003F4567" w:rsidP="003F4567">
      <w:pPr>
        <w:pStyle w:val="ListParagraph"/>
        <w:numPr>
          <w:ilvl w:val="0"/>
          <w:numId w:val="26"/>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an audit of the financial statements setting out the revenue and expenditure of the co-regulatory arrangement; and</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Default="003F4567" w:rsidP="003F4567">
      <w:pPr>
        <w:pStyle w:val="ListParagraph"/>
        <w:numPr>
          <w:ilvl w:val="0"/>
          <w:numId w:val="26"/>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an audit of the performance of the co-regulatory arrangement in relation to each outcome to be achieved under Part 3; and </w:t>
      </w:r>
    </w:p>
    <w:p w:rsidR="003F4567" w:rsidRPr="00330E69" w:rsidRDefault="003F4567" w:rsidP="003F4567">
      <w:pPr>
        <w:pStyle w:val="ListParagraph"/>
        <w:spacing w:after="0" w:line="240" w:lineRule="auto"/>
        <w:ind w:left="360"/>
        <w:rPr>
          <w:rFonts w:ascii="Times New Roman" w:hAnsi="Times New Roman" w:cs="Times New Roman"/>
          <w:sz w:val="24"/>
          <w:szCs w:val="24"/>
        </w:rPr>
      </w:pPr>
    </w:p>
    <w:p w:rsidR="003F4567" w:rsidRPr="003336D2" w:rsidRDefault="003F4567" w:rsidP="003F4567">
      <w:pPr>
        <w:pStyle w:val="ListParagraph"/>
        <w:numPr>
          <w:ilvl w:val="0"/>
          <w:numId w:val="26"/>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a statement from the person or company preparing the report that the audit was conducted in accordance with</w:t>
      </w:r>
      <w:r w:rsidRPr="003336D2">
        <w:rPr>
          <w:rFonts w:ascii="Times New Roman" w:hAnsi="Times New Roman" w:cs="Times New Roman"/>
          <w:sz w:val="24"/>
          <w:szCs w:val="24"/>
        </w:rPr>
        <w:t xml:space="preserve"> </w:t>
      </w:r>
      <w:r>
        <w:rPr>
          <w:rFonts w:ascii="Times New Roman" w:hAnsi="Times New Roman" w:cs="Times New Roman"/>
          <w:sz w:val="24"/>
          <w:szCs w:val="24"/>
        </w:rPr>
        <w:t xml:space="preserve">any standard issued </w:t>
      </w:r>
      <w:r w:rsidRPr="00330E69">
        <w:rPr>
          <w:rFonts w:ascii="Times New Roman" w:hAnsi="Times New Roman" w:cs="Times New Roman"/>
          <w:sz w:val="24"/>
          <w:szCs w:val="24"/>
        </w:rPr>
        <w:t>by the Auditing and Assurance Standards Board that applies to the audit, as the standard exists at the time these Regulations commence; and</w:t>
      </w:r>
    </w:p>
    <w:p w:rsidR="003F4567" w:rsidRPr="00330E69" w:rsidRDefault="003F4567" w:rsidP="003F4567">
      <w:pPr>
        <w:pStyle w:val="ListParagraph"/>
        <w:spacing w:after="0" w:line="240" w:lineRule="auto"/>
        <w:ind w:left="709"/>
        <w:rPr>
          <w:rFonts w:ascii="Times New Roman" w:hAnsi="Times New Roman" w:cs="Times New Roman"/>
          <w:sz w:val="24"/>
          <w:szCs w:val="24"/>
        </w:rPr>
      </w:pPr>
    </w:p>
    <w:p w:rsidR="003F4567" w:rsidRPr="00330E69" w:rsidRDefault="003F4567" w:rsidP="003F4567">
      <w:pPr>
        <w:pStyle w:val="ListParagraph"/>
        <w:numPr>
          <w:ilvl w:val="0"/>
          <w:numId w:val="26"/>
        </w:num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a statement from the person or company preparing the report as to whether the annual report for the financial year is accurate and complies with regulation 5.1</w:t>
      </w:r>
      <w:r>
        <w:rPr>
          <w:rFonts w:ascii="Times New Roman" w:hAnsi="Times New Roman" w:cs="Times New Roman"/>
          <w:sz w:val="24"/>
          <w:szCs w:val="24"/>
        </w:rPr>
        <w:t>3</w:t>
      </w:r>
      <w:r w:rsidRPr="00330E69">
        <w:rPr>
          <w:rFonts w:ascii="Times New Roman" w:hAnsi="Times New Roman" w:cs="Times New Roman"/>
          <w:sz w:val="24"/>
          <w:szCs w:val="24"/>
        </w:rPr>
        <w:t>.</w:t>
      </w:r>
    </w:p>
    <w:p w:rsidR="003F4567"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The </w:t>
      </w:r>
      <w:r>
        <w:rPr>
          <w:rFonts w:ascii="Times New Roman" w:hAnsi="Times New Roman" w:cs="Times New Roman"/>
          <w:sz w:val="24"/>
          <w:szCs w:val="24"/>
        </w:rPr>
        <w:t xml:space="preserve">Auditing and Assurance </w:t>
      </w:r>
      <w:r w:rsidRPr="00330E69">
        <w:rPr>
          <w:rFonts w:ascii="Times New Roman" w:hAnsi="Times New Roman" w:cs="Times New Roman"/>
          <w:sz w:val="24"/>
          <w:szCs w:val="24"/>
        </w:rPr>
        <w:t>Standard</w:t>
      </w:r>
      <w:r>
        <w:rPr>
          <w:rFonts w:ascii="Times New Roman" w:hAnsi="Times New Roman" w:cs="Times New Roman"/>
          <w:sz w:val="24"/>
          <w:szCs w:val="24"/>
        </w:rPr>
        <w:t>s</w:t>
      </w:r>
      <w:r w:rsidRPr="00330E69">
        <w:rPr>
          <w:rFonts w:ascii="Times New Roman" w:hAnsi="Times New Roman" w:cs="Times New Roman"/>
          <w:sz w:val="24"/>
          <w:szCs w:val="24"/>
        </w:rPr>
        <w:t xml:space="preserve"> </w:t>
      </w:r>
      <w:r>
        <w:rPr>
          <w:rFonts w:ascii="Times New Roman" w:hAnsi="Times New Roman" w:cs="Times New Roman"/>
          <w:sz w:val="24"/>
          <w:szCs w:val="24"/>
        </w:rPr>
        <w:t xml:space="preserve">Board publishes auditing and assurance standards </w:t>
      </w:r>
      <w:r w:rsidRPr="00330E69">
        <w:rPr>
          <w:rFonts w:ascii="Times New Roman" w:hAnsi="Times New Roman" w:cs="Times New Roman"/>
          <w:sz w:val="24"/>
          <w:szCs w:val="24"/>
        </w:rPr>
        <w:t xml:space="preserve">and </w:t>
      </w:r>
      <w:r>
        <w:rPr>
          <w:rFonts w:ascii="Times New Roman" w:hAnsi="Times New Roman" w:cs="Times New Roman"/>
          <w:sz w:val="24"/>
          <w:szCs w:val="24"/>
        </w:rPr>
        <w:t xml:space="preserve">related </w:t>
      </w:r>
      <w:r w:rsidRPr="00330E69">
        <w:rPr>
          <w:rFonts w:ascii="Times New Roman" w:hAnsi="Times New Roman" w:cs="Times New Roman"/>
          <w:sz w:val="24"/>
          <w:szCs w:val="24"/>
        </w:rPr>
        <w:t xml:space="preserve">guidance for undertaking and reporting on </w:t>
      </w:r>
      <w:r>
        <w:rPr>
          <w:rFonts w:ascii="Times New Roman" w:hAnsi="Times New Roman" w:cs="Times New Roman"/>
          <w:sz w:val="24"/>
          <w:szCs w:val="24"/>
        </w:rPr>
        <w:t xml:space="preserve">audits, </w:t>
      </w:r>
      <w:r w:rsidRPr="00330E69">
        <w:rPr>
          <w:rFonts w:ascii="Times New Roman" w:hAnsi="Times New Roman" w:cs="Times New Roman"/>
          <w:sz w:val="24"/>
          <w:szCs w:val="24"/>
        </w:rPr>
        <w:t xml:space="preserve">assurance engagements </w:t>
      </w:r>
      <w:r>
        <w:rPr>
          <w:rFonts w:ascii="Times New Roman" w:hAnsi="Times New Roman" w:cs="Times New Roman"/>
          <w:sz w:val="24"/>
          <w:szCs w:val="24"/>
        </w:rPr>
        <w:t>and review engagements</w:t>
      </w:r>
      <w:r w:rsidRPr="00330E69">
        <w:rPr>
          <w:rFonts w:ascii="Times New Roman" w:hAnsi="Times New Roman" w:cs="Times New Roman"/>
          <w:sz w:val="24"/>
          <w:szCs w:val="24"/>
        </w:rPr>
        <w:t xml:space="preserve">.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color w:val="000000"/>
          <w:sz w:val="24"/>
          <w:szCs w:val="24"/>
        </w:rPr>
      </w:pPr>
      <w:r w:rsidRPr="00330E69">
        <w:rPr>
          <w:rFonts w:ascii="Times New Roman" w:hAnsi="Times New Roman" w:cs="Times New Roman"/>
          <w:sz w:val="24"/>
          <w:szCs w:val="24"/>
        </w:rPr>
        <w:t xml:space="preserve">The requirements related to audit reports seek to ensure that an audit is conducted, and an audit report is prepared, in a proper and independent way by an appropriately qualified auditor. </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b/>
          <w:sz w:val="24"/>
          <w:szCs w:val="24"/>
        </w:rPr>
      </w:pPr>
      <w:r w:rsidRPr="00330E69">
        <w:rPr>
          <w:rFonts w:ascii="Times New Roman" w:hAnsi="Times New Roman" w:cs="Times New Roman"/>
          <w:b/>
          <w:sz w:val="24"/>
          <w:szCs w:val="24"/>
        </w:rPr>
        <w:t>Schedule 1</w:t>
      </w:r>
      <w:r w:rsidRPr="00330E69">
        <w:rPr>
          <w:rFonts w:ascii="Times New Roman" w:hAnsi="Times New Roman" w:cs="Times New Roman"/>
          <w:b/>
          <w:sz w:val="24"/>
          <w:szCs w:val="24"/>
        </w:rPr>
        <w:tab/>
        <w:t>Products and product codes</w:t>
      </w:r>
    </w:p>
    <w:p w:rsidR="003F4567" w:rsidRPr="00330E69" w:rsidRDefault="003F4567" w:rsidP="003F4567">
      <w:pPr>
        <w:spacing w:after="0" w:line="240" w:lineRule="auto"/>
        <w:rPr>
          <w:rFonts w:ascii="Times New Roman" w:hAnsi="Times New Roman" w:cs="Times New Roman"/>
          <w:color w:val="000000"/>
          <w:sz w:val="24"/>
          <w:szCs w:val="24"/>
        </w:rPr>
      </w:pPr>
    </w:p>
    <w:p w:rsidR="003F4567" w:rsidRPr="00330E69" w:rsidRDefault="003F4567" w:rsidP="003F4567">
      <w:pPr>
        <w:spacing w:after="0" w:line="240" w:lineRule="auto"/>
        <w:rPr>
          <w:rFonts w:ascii="Times New Roman" w:hAnsi="Times New Roman" w:cs="Times New Roman"/>
          <w:color w:val="000000"/>
          <w:sz w:val="24"/>
          <w:szCs w:val="24"/>
        </w:rPr>
      </w:pPr>
      <w:r w:rsidRPr="00330E69">
        <w:rPr>
          <w:rFonts w:ascii="Times New Roman" w:hAnsi="Times New Roman" w:cs="Times New Roman"/>
          <w:color w:val="000000"/>
          <w:sz w:val="24"/>
          <w:szCs w:val="24"/>
        </w:rPr>
        <w:t xml:space="preserve">This Schedule sets out the products contained for the television product class under Part 1, and the computers, printers and computer products product class under Part 2 for </w:t>
      </w:r>
      <w:proofErr w:type="spellStart"/>
      <w:r w:rsidRPr="00330E69">
        <w:rPr>
          <w:rFonts w:ascii="Times New Roman" w:hAnsi="Times New Roman" w:cs="Times New Roman"/>
          <w:color w:val="000000"/>
          <w:sz w:val="24"/>
          <w:szCs w:val="24"/>
        </w:rPr>
        <w:t>subregulation</w:t>
      </w:r>
      <w:proofErr w:type="spellEnd"/>
      <w:r w:rsidRPr="00330E69">
        <w:rPr>
          <w:rFonts w:ascii="Times New Roman" w:hAnsi="Times New Roman" w:cs="Times New Roman"/>
          <w:color w:val="000000"/>
          <w:sz w:val="24"/>
          <w:szCs w:val="24"/>
        </w:rPr>
        <w:t xml:space="preserve"> 1.04(</w:t>
      </w:r>
      <w:r>
        <w:rPr>
          <w:rFonts w:ascii="Times New Roman" w:hAnsi="Times New Roman" w:cs="Times New Roman"/>
          <w:color w:val="000000"/>
          <w:sz w:val="24"/>
          <w:szCs w:val="24"/>
        </w:rPr>
        <w:t>3</w:t>
      </w:r>
      <w:r w:rsidRPr="00330E69">
        <w:rPr>
          <w:rFonts w:ascii="Times New Roman" w:hAnsi="Times New Roman" w:cs="Times New Roman"/>
          <w:color w:val="000000"/>
          <w:sz w:val="24"/>
          <w:szCs w:val="24"/>
        </w:rPr>
        <w:t xml:space="preserve">) and lists each product with the associated product description and product code. </w:t>
      </w:r>
    </w:p>
    <w:p w:rsidR="003F4567" w:rsidRDefault="003F4567" w:rsidP="003F4567">
      <w:pPr>
        <w:spacing w:after="0" w:line="240" w:lineRule="auto"/>
        <w:rPr>
          <w:rFonts w:ascii="Times New Roman" w:hAnsi="Times New Roman" w:cs="Times New Roman"/>
          <w:b/>
          <w:sz w:val="24"/>
          <w:szCs w:val="24"/>
        </w:rPr>
      </w:pPr>
    </w:p>
    <w:p w:rsidR="003F4567" w:rsidRDefault="003F4567" w:rsidP="003F4567">
      <w:pPr>
        <w:rPr>
          <w:rFonts w:ascii="Times New Roman" w:hAnsi="Times New Roman" w:cs="Times New Roman"/>
          <w:b/>
          <w:sz w:val="24"/>
          <w:szCs w:val="24"/>
        </w:rPr>
      </w:pPr>
      <w:r>
        <w:rPr>
          <w:rFonts w:ascii="Times New Roman" w:hAnsi="Times New Roman" w:cs="Times New Roman"/>
          <w:b/>
          <w:sz w:val="24"/>
          <w:szCs w:val="24"/>
        </w:rPr>
        <w:br w:type="page"/>
      </w:r>
    </w:p>
    <w:p w:rsidR="003F4567" w:rsidRPr="00330E69" w:rsidRDefault="003F4567" w:rsidP="003F4567">
      <w:pPr>
        <w:spacing w:after="0" w:line="240" w:lineRule="auto"/>
        <w:rPr>
          <w:rFonts w:ascii="Times New Roman" w:hAnsi="Times New Roman" w:cs="Times New Roman"/>
          <w:b/>
          <w:sz w:val="24"/>
          <w:szCs w:val="24"/>
        </w:rPr>
      </w:pPr>
      <w:r w:rsidRPr="00330E69">
        <w:rPr>
          <w:rFonts w:ascii="Times New Roman" w:hAnsi="Times New Roman" w:cs="Times New Roman"/>
          <w:b/>
          <w:sz w:val="24"/>
          <w:szCs w:val="24"/>
        </w:rPr>
        <w:lastRenderedPageBreak/>
        <w:t>Schedule 2</w:t>
      </w:r>
      <w:r w:rsidRPr="00330E69">
        <w:rPr>
          <w:rFonts w:ascii="Times New Roman" w:hAnsi="Times New Roman" w:cs="Times New Roman"/>
          <w:b/>
          <w:sz w:val="24"/>
          <w:szCs w:val="24"/>
        </w:rPr>
        <w:tab/>
        <w:t>Percentage targets</w:t>
      </w:r>
    </w:p>
    <w:p w:rsidR="003F4567" w:rsidRPr="00330E69" w:rsidRDefault="003F4567" w:rsidP="003F4567">
      <w:pPr>
        <w:spacing w:after="0" w:line="240" w:lineRule="auto"/>
        <w:rPr>
          <w:rFonts w:ascii="Times New Roman" w:hAnsi="Times New Roman" w:cs="Times New Roman"/>
          <w:sz w:val="24"/>
          <w:szCs w:val="24"/>
        </w:rPr>
      </w:pPr>
    </w:p>
    <w:p w:rsidR="003F4567" w:rsidRPr="00330E69" w:rsidRDefault="003F4567" w:rsidP="003F4567">
      <w:pPr>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This Schedule sets out the percentage targets for the television product class under </w:t>
      </w:r>
      <w:proofErr w:type="spellStart"/>
      <w:r w:rsidRPr="00330E69">
        <w:rPr>
          <w:rFonts w:ascii="Times New Roman" w:hAnsi="Times New Roman" w:cs="Times New Roman"/>
          <w:sz w:val="24"/>
          <w:szCs w:val="24"/>
        </w:rPr>
        <w:t>Part</w:t>
      </w:r>
      <w:proofErr w:type="spellEnd"/>
      <w:r w:rsidRPr="00330E69">
        <w:rPr>
          <w:rFonts w:ascii="Times New Roman" w:hAnsi="Times New Roman" w:cs="Times New Roman"/>
          <w:sz w:val="24"/>
          <w:szCs w:val="24"/>
        </w:rPr>
        <w:t xml:space="preserve"> 1 and the computers, printers and computer products product class under Part 2 for </w:t>
      </w: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3.04(2).</w:t>
      </w:r>
    </w:p>
    <w:p w:rsidR="003F4567" w:rsidRPr="00330E69" w:rsidRDefault="003F4567" w:rsidP="003F4567">
      <w:pPr>
        <w:spacing w:after="0" w:line="240" w:lineRule="auto"/>
        <w:rPr>
          <w:rFonts w:ascii="Times New Roman" w:hAnsi="Times New Roman" w:cs="Times New Roman"/>
          <w:b/>
          <w:sz w:val="24"/>
          <w:szCs w:val="24"/>
        </w:rPr>
      </w:pPr>
    </w:p>
    <w:p w:rsidR="003F4567" w:rsidRPr="00330E69" w:rsidRDefault="003F4567" w:rsidP="003F4567">
      <w:pPr>
        <w:spacing w:after="0" w:line="240" w:lineRule="auto"/>
        <w:rPr>
          <w:rFonts w:ascii="Times New Roman" w:hAnsi="Times New Roman" w:cs="Times New Roman"/>
          <w:b/>
          <w:sz w:val="24"/>
          <w:szCs w:val="24"/>
        </w:rPr>
      </w:pPr>
      <w:r w:rsidRPr="00330E69">
        <w:rPr>
          <w:rFonts w:ascii="Times New Roman" w:hAnsi="Times New Roman" w:cs="Times New Roman"/>
          <w:b/>
          <w:sz w:val="24"/>
          <w:szCs w:val="24"/>
        </w:rPr>
        <w:t>Schedule 3</w:t>
      </w:r>
      <w:r w:rsidRPr="00330E69">
        <w:rPr>
          <w:rFonts w:ascii="Times New Roman" w:hAnsi="Times New Roman" w:cs="Times New Roman"/>
          <w:b/>
          <w:sz w:val="24"/>
          <w:szCs w:val="24"/>
        </w:rPr>
        <w:tab/>
        <w:t>Converted weights</w:t>
      </w:r>
    </w:p>
    <w:p w:rsidR="003F4567" w:rsidRPr="00330E69" w:rsidRDefault="003F4567" w:rsidP="003F4567">
      <w:pPr>
        <w:spacing w:after="0" w:line="240" w:lineRule="auto"/>
        <w:rPr>
          <w:rFonts w:ascii="Times New Roman" w:hAnsi="Times New Roman" w:cs="Times New Roman"/>
          <w:sz w:val="24"/>
          <w:szCs w:val="24"/>
        </w:rPr>
      </w:pPr>
    </w:p>
    <w:p w:rsidR="006B2A1A" w:rsidRPr="00330E69" w:rsidRDefault="003F4567" w:rsidP="003F4567">
      <w:pPr>
        <w:shd w:val="clear" w:color="auto" w:fill="FFFFFF"/>
        <w:spacing w:after="0" w:line="240" w:lineRule="auto"/>
        <w:rPr>
          <w:rFonts w:ascii="Times New Roman" w:hAnsi="Times New Roman" w:cs="Times New Roman"/>
          <w:sz w:val="24"/>
          <w:szCs w:val="24"/>
        </w:rPr>
      </w:pPr>
      <w:r w:rsidRPr="00330E69">
        <w:rPr>
          <w:rFonts w:ascii="Times New Roman" w:hAnsi="Times New Roman" w:cs="Times New Roman"/>
          <w:sz w:val="24"/>
          <w:szCs w:val="24"/>
        </w:rPr>
        <w:t xml:space="preserve">This Schedule sets out the converted weight as defined in </w:t>
      </w:r>
      <w:proofErr w:type="spellStart"/>
      <w:r>
        <w:rPr>
          <w:rFonts w:ascii="Times New Roman" w:hAnsi="Times New Roman" w:cs="Times New Roman"/>
          <w:sz w:val="24"/>
          <w:szCs w:val="24"/>
        </w:rPr>
        <w:t>sub</w:t>
      </w:r>
      <w:r w:rsidRPr="00330E69">
        <w:rPr>
          <w:rFonts w:ascii="Times New Roman" w:hAnsi="Times New Roman" w:cs="Times New Roman"/>
          <w:sz w:val="24"/>
          <w:szCs w:val="24"/>
        </w:rPr>
        <w:t>regulation</w:t>
      </w:r>
      <w:proofErr w:type="spellEnd"/>
      <w:r w:rsidRPr="00330E69">
        <w:rPr>
          <w:rFonts w:ascii="Times New Roman" w:hAnsi="Times New Roman" w:cs="Times New Roman"/>
          <w:sz w:val="24"/>
          <w:szCs w:val="24"/>
        </w:rPr>
        <w:t xml:space="preserve"> 1.03(2) for each product contained in the television product class under </w:t>
      </w:r>
      <w:proofErr w:type="spellStart"/>
      <w:r w:rsidRPr="00330E69">
        <w:rPr>
          <w:rFonts w:ascii="Times New Roman" w:hAnsi="Times New Roman" w:cs="Times New Roman"/>
          <w:sz w:val="24"/>
          <w:szCs w:val="24"/>
        </w:rPr>
        <w:t>Part</w:t>
      </w:r>
      <w:proofErr w:type="spellEnd"/>
      <w:r w:rsidRPr="00330E69">
        <w:rPr>
          <w:rFonts w:ascii="Times New Roman" w:hAnsi="Times New Roman" w:cs="Times New Roman"/>
          <w:sz w:val="24"/>
          <w:szCs w:val="24"/>
        </w:rPr>
        <w:t xml:space="preserve"> 1 and the computers, printers and computer products product class under Part 2 for </w:t>
      </w:r>
      <w:proofErr w:type="spellStart"/>
      <w:r w:rsidRPr="00330E69">
        <w:rPr>
          <w:rFonts w:ascii="Times New Roman" w:hAnsi="Times New Roman" w:cs="Times New Roman"/>
          <w:sz w:val="24"/>
          <w:szCs w:val="24"/>
        </w:rPr>
        <w:t>subregulation</w:t>
      </w:r>
      <w:proofErr w:type="spellEnd"/>
      <w:r w:rsidRPr="00330E69">
        <w:rPr>
          <w:rFonts w:ascii="Times New Roman" w:hAnsi="Times New Roman" w:cs="Times New Roman"/>
          <w:sz w:val="24"/>
          <w:szCs w:val="24"/>
        </w:rPr>
        <w:t xml:space="preserve"> </w:t>
      </w:r>
      <w:r>
        <w:rPr>
          <w:rFonts w:ascii="Times New Roman" w:hAnsi="Times New Roman" w:cs="Times New Roman"/>
          <w:sz w:val="24"/>
          <w:szCs w:val="24"/>
        </w:rPr>
        <w:t>3.04(3).</w:t>
      </w:r>
    </w:p>
    <w:p w:rsidR="0052657E" w:rsidRPr="00330E69" w:rsidRDefault="0052657E" w:rsidP="002377D6">
      <w:pPr>
        <w:shd w:val="clear" w:color="auto" w:fill="FFFFFF"/>
        <w:spacing w:after="0" w:line="240" w:lineRule="auto"/>
        <w:rPr>
          <w:rFonts w:ascii="Times New Roman" w:hAnsi="Times New Roman" w:cs="Times New Roman"/>
          <w:sz w:val="24"/>
          <w:szCs w:val="24"/>
        </w:rPr>
      </w:pPr>
    </w:p>
    <w:sectPr w:rsidR="0052657E" w:rsidRPr="00330E69" w:rsidSect="00A2486E">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3CF" w:rsidRDefault="00A543CF" w:rsidP="00BA6867">
      <w:pPr>
        <w:spacing w:after="0" w:line="240" w:lineRule="auto"/>
      </w:pPr>
      <w:r>
        <w:separator/>
      </w:r>
    </w:p>
  </w:endnote>
  <w:endnote w:type="continuationSeparator" w:id="0">
    <w:p w:rsidR="00A543CF" w:rsidRDefault="00A543CF" w:rsidP="00BA68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55391"/>
      <w:docPartObj>
        <w:docPartGallery w:val="Page Numbers (Bottom of Page)"/>
        <w:docPartUnique/>
      </w:docPartObj>
    </w:sdtPr>
    <w:sdtEndPr>
      <w:rPr>
        <w:rFonts w:ascii="Times New Roman" w:hAnsi="Times New Roman" w:cs="Times New Roman"/>
        <w:sz w:val="24"/>
        <w:szCs w:val="24"/>
      </w:rPr>
    </w:sdtEndPr>
    <w:sdtContent>
      <w:p w:rsidR="00A543CF" w:rsidRPr="00A2486E" w:rsidRDefault="00CF4FFF">
        <w:pPr>
          <w:pStyle w:val="Footer"/>
          <w:jc w:val="center"/>
          <w:rPr>
            <w:rFonts w:ascii="Times New Roman" w:hAnsi="Times New Roman" w:cs="Times New Roman"/>
            <w:sz w:val="24"/>
            <w:szCs w:val="24"/>
          </w:rPr>
        </w:pPr>
        <w:r w:rsidRPr="00A2486E">
          <w:rPr>
            <w:rFonts w:ascii="Times New Roman" w:hAnsi="Times New Roman" w:cs="Times New Roman"/>
            <w:sz w:val="24"/>
            <w:szCs w:val="24"/>
          </w:rPr>
          <w:fldChar w:fldCharType="begin"/>
        </w:r>
        <w:r w:rsidR="00A543CF" w:rsidRPr="00A2486E">
          <w:rPr>
            <w:rFonts w:ascii="Times New Roman" w:hAnsi="Times New Roman" w:cs="Times New Roman"/>
            <w:sz w:val="24"/>
            <w:szCs w:val="24"/>
          </w:rPr>
          <w:instrText xml:space="preserve"> PAGE   \* MERGEFORMAT </w:instrText>
        </w:r>
        <w:r w:rsidRPr="00A2486E">
          <w:rPr>
            <w:rFonts w:ascii="Times New Roman" w:hAnsi="Times New Roman" w:cs="Times New Roman"/>
            <w:sz w:val="24"/>
            <w:szCs w:val="24"/>
          </w:rPr>
          <w:fldChar w:fldCharType="separate"/>
        </w:r>
        <w:r w:rsidR="006F61E4">
          <w:rPr>
            <w:rFonts w:ascii="Times New Roman" w:hAnsi="Times New Roman" w:cs="Times New Roman"/>
            <w:noProof/>
            <w:sz w:val="24"/>
            <w:szCs w:val="24"/>
          </w:rPr>
          <w:t>6</w:t>
        </w:r>
        <w:r w:rsidRPr="00A2486E">
          <w:rPr>
            <w:rFonts w:ascii="Times New Roman" w:hAnsi="Times New Roman" w:cs="Times New Roman"/>
            <w:sz w:val="24"/>
            <w:szCs w:val="24"/>
          </w:rPr>
          <w:fldChar w:fldCharType="end"/>
        </w:r>
      </w:p>
    </w:sdtContent>
  </w:sdt>
  <w:p w:rsidR="00A543CF" w:rsidRDefault="00A543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3CF" w:rsidRDefault="00A543CF" w:rsidP="00BA6867">
      <w:pPr>
        <w:spacing w:after="0" w:line="240" w:lineRule="auto"/>
      </w:pPr>
      <w:r>
        <w:separator/>
      </w:r>
    </w:p>
  </w:footnote>
  <w:footnote w:type="continuationSeparator" w:id="0">
    <w:p w:rsidR="00A543CF" w:rsidRDefault="00A543CF" w:rsidP="00BA68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DC1"/>
    <w:multiLevelType w:val="multilevel"/>
    <w:tmpl w:val="4FBA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64A55"/>
    <w:multiLevelType w:val="hybridMultilevel"/>
    <w:tmpl w:val="DCF2CF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2CE4F49"/>
    <w:multiLevelType w:val="multilevel"/>
    <w:tmpl w:val="D98AFEB0"/>
    <w:name w:val="StandardBulletedList"/>
    <w:lvl w:ilvl="0">
      <w:start w:val="1"/>
      <w:numFmt w:val="bullet"/>
      <w:pStyle w:val="Bullet"/>
      <w:lvlText w:val="•"/>
      <w:lvlJc w:val="left"/>
      <w:pPr>
        <w:tabs>
          <w:tab w:val="num" w:pos="747"/>
        </w:tabs>
        <w:ind w:left="747" w:hanging="567"/>
      </w:pPr>
      <w:rPr>
        <w:rFonts w:ascii="Times New Roman" w:hAnsi="Times New Roman"/>
      </w:rPr>
    </w:lvl>
    <w:lvl w:ilvl="1">
      <w:start w:val="1"/>
      <w:numFmt w:val="bullet"/>
      <w:pStyle w:val="Dash"/>
      <w:lvlText w:val="–"/>
      <w:lvlJc w:val="left"/>
      <w:pPr>
        <w:tabs>
          <w:tab w:val="num" w:pos="1134"/>
        </w:tabs>
        <w:ind w:left="1134" w:hanging="567"/>
      </w:pPr>
      <w:rPr>
        <w:rFonts w:ascii="Times New Roman" w:hAnsi="Times New Roman"/>
      </w:rPr>
    </w:lvl>
    <w:lvl w:ilvl="2">
      <w:start w:val="1"/>
      <w:numFmt w:val="bullet"/>
      <w:pStyle w:val="DoubleDo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04613191"/>
    <w:multiLevelType w:val="hybridMultilevel"/>
    <w:tmpl w:val="7F100274"/>
    <w:lvl w:ilvl="0" w:tplc="0C09000F">
      <w:start w:val="1"/>
      <w:numFmt w:val="decimal"/>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6021AAD"/>
    <w:multiLevelType w:val="hybridMultilevel"/>
    <w:tmpl w:val="0204C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AA04559"/>
    <w:multiLevelType w:val="hybridMultilevel"/>
    <w:tmpl w:val="3FA299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B0E5AB2"/>
    <w:multiLevelType w:val="hybridMultilevel"/>
    <w:tmpl w:val="515CAD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0D996806"/>
    <w:multiLevelType w:val="hybridMultilevel"/>
    <w:tmpl w:val="E970FF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0DAE6B6D"/>
    <w:multiLevelType w:val="hybridMultilevel"/>
    <w:tmpl w:val="FE966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9">
    <w:nsid w:val="0FF71843"/>
    <w:multiLevelType w:val="hybridMultilevel"/>
    <w:tmpl w:val="DE7E27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0437C7C"/>
    <w:multiLevelType w:val="hybridMultilevel"/>
    <w:tmpl w:val="0284C8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4D43E04"/>
    <w:multiLevelType w:val="hybridMultilevel"/>
    <w:tmpl w:val="BFF840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DB1426B"/>
    <w:multiLevelType w:val="hybridMultilevel"/>
    <w:tmpl w:val="F78EA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24264AB"/>
    <w:multiLevelType w:val="hybridMultilevel"/>
    <w:tmpl w:val="99DC35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60B3857"/>
    <w:multiLevelType w:val="hybridMultilevel"/>
    <w:tmpl w:val="1AB4F2B0"/>
    <w:lvl w:ilvl="0" w:tplc="1368F598">
      <w:start w:val="1"/>
      <w:numFmt w:val="lowerRoman"/>
      <w:lvlText w:val="(%1)"/>
      <w:lvlJc w:val="left"/>
      <w:pPr>
        <w:ind w:left="151" w:hanging="360"/>
      </w:pPr>
      <w:rPr>
        <w:rFonts w:hint="default"/>
      </w:rPr>
    </w:lvl>
    <w:lvl w:ilvl="1" w:tplc="0C090019">
      <w:start w:val="1"/>
      <w:numFmt w:val="lowerLetter"/>
      <w:lvlText w:val="%2."/>
      <w:lvlJc w:val="left"/>
      <w:pPr>
        <w:ind w:left="871" w:hanging="360"/>
      </w:pPr>
    </w:lvl>
    <w:lvl w:ilvl="2" w:tplc="0C09001B" w:tentative="1">
      <w:start w:val="1"/>
      <w:numFmt w:val="lowerRoman"/>
      <w:lvlText w:val="%3."/>
      <w:lvlJc w:val="right"/>
      <w:pPr>
        <w:ind w:left="1591" w:hanging="180"/>
      </w:pPr>
    </w:lvl>
    <w:lvl w:ilvl="3" w:tplc="0C09000F" w:tentative="1">
      <w:start w:val="1"/>
      <w:numFmt w:val="decimal"/>
      <w:lvlText w:val="%4."/>
      <w:lvlJc w:val="left"/>
      <w:pPr>
        <w:ind w:left="2311" w:hanging="360"/>
      </w:pPr>
    </w:lvl>
    <w:lvl w:ilvl="4" w:tplc="0C090019" w:tentative="1">
      <w:start w:val="1"/>
      <w:numFmt w:val="lowerLetter"/>
      <w:lvlText w:val="%5."/>
      <w:lvlJc w:val="left"/>
      <w:pPr>
        <w:ind w:left="3031" w:hanging="360"/>
      </w:pPr>
    </w:lvl>
    <w:lvl w:ilvl="5" w:tplc="0C09001B" w:tentative="1">
      <w:start w:val="1"/>
      <w:numFmt w:val="lowerRoman"/>
      <w:lvlText w:val="%6."/>
      <w:lvlJc w:val="right"/>
      <w:pPr>
        <w:ind w:left="3751" w:hanging="180"/>
      </w:pPr>
    </w:lvl>
    <w:lvl w:ilvl="6" w:tplc="0C09000F" w:tentative="1">
      <w:start w:val="1"/>
      <w:numFmt w:val="decimal"/>
      <w:lvlText w:val="%7."/>
      <w:lvlJc w:val="left"/>
      <w:pPr>
        <w:ind w:left="4471" w:hanging="360"/>
      </w:pPr>
    </w:lvl>
    <w:lvl w:ilvl="7" w:tplc="0C090019" w:tentative="1">
      <w:start w:val="1"/>
      <w:numFmt w:val="lowerLetter"/>
      <w:lvlText w:val="%8."/>
      <w:lvlJc w:val="left"/>
      <w:pPr>
        <w:ind w:left="5191" w:hanging="360"/>
      </w:pPr>
    </w:lvl>
    <w:lvl w:ilvl="8" w:tplc="0C09001B" w:tentative="1">
      <w:start w:val="1"/>
      <w:numFmt w:val="lowerRoman"/>
      <w:lvlText w:val="%9."/>
      <w:lvlJc w:val="right"/>
      <w:pPr>
        <w:ind w:left="5911" w:hanging="180"/>
      </w:pPr>
    </w:lvl>
  </w:abstractNum>
  <w:abstractNum w:abstractNumId="15">
    <w:nsid w:val="28405578"/>
    <w:multiLevelType w:val="hybridMultilevel"/>
    <w:tmpl w:val="2A7C4F06"/>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6">
    <w:nsid w:val="28A502A2"/>
    <w:multiLevelType w:val="hybridMultilevel"/>
    <w:tmpl w:val="7C8213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2B2C6E60"/>
    <w:multiLevelType w:val="hybridMultilevel"/>
    <w:tmpl w:val="4AFAD5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2D8F0B70"/>
    <w:multiLevelType w:val="multilevel"/>
    <w:tmpl w:val="0EA4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0C1BCB"/>
    <w:multiLevelType w:val="hybridMultilevel"/>
    <w:tmpl w:val="34948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0266D9D"/>
    <w:multiLevelType w:val="hybridMultilevel"/>
    <w:tmpl w:val="D01A2F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1245F07"/>
    <w:multiLevelType w:val="hybridMultilevel"/>
    <w:tmpl w:val="C9A20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58E356E"/>
    <w:multiLevelType w:val="hybridMultilevel"/>
    <w:tmpl w:val="2F2858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36AA5215"/>
    <w:multiLevelType w:val="hybridMultilevel"/>
    <w:tmpl w:val="6B645C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3B160963"/>
    <w:multiLevelType w:val="hybridMultilevel"/>
    <w:tmpl w:val="F6860B10"/>
    <w:lvl w:ilvl="0" w:tplc="B3926DB8">
      <w:start w:val="1"/>
      <w:numFmt w:val="bullet"/>
      <w:lvlText w:val=""/>
      <w:lvlJc w:val="left"/>
      <w:pPr>
        <w:ind w:left="360" w:hanging="360"/>
      </w:pPr>
      <w:rPr>
        <w:rFonts w:ascii="Symbol" w:hAnsi="Symbol" w:hint="default"/>
        <w:sz w:val="24"/>
        <w:szCs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44A41BEB"/>
    <w:multiLevelType w:val="hybridMultilevel"/>
    <w:tmpl w:val="7A92D5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45936032"/>
    <w:multiLevelType w:val="hybridMultilevel"/>
    <w:tmpl w:val="3A288F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45B73941"/>
    <w:multiLevelType w:val="hybridMultilevel"/>
    <w:tmpl w:val="855A55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46A55D56"/>
    <w:multiLevelType w:val="hybridMultilevel"/>
    <w:tmpl w:val="DB3AF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480368E4"/>
    <w:multiLevelType w:val="hybridMultilevel"/>
    <w:tmpl w:val="634CD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484C57AE"/>
    <w:multiLevelType w:val="hybridMultilevel"/>
    <w:tmpl w:val="0AE2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8AB7997"/>
    <w:multiLevelType w:val="hybridMultilevel"/>
    <w:tmpl w:val="AB2E717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2">
    <w:nsid w:val="49520CD8"/>
    <w:multiLevelType w:val="hybridMultilevel"/>
    <w:tmpl w:val="DE249CC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nsid w:val="49BD1F58"/>
    <w:multiLevelType w:val="hybridMultilevel"/>
    <w:tmpl w:val="49DE5B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4C5B1235"/>
    <w:multiLevelType w:val="hybridMultilevel"/>
    <w:tmpl w:val="7EEE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4C53F65"/>
    <w:multiLevelType w:val="hybridMultilevel"/>
    <w:tmpl w:val="350EAB04"/>
    <w:lvl w:ilvl="0" w:tplc="3BCEAFD0">
      <w:start w:val="1"/>
      <w:numFmt w:val="lowerLetter"/>
      <w:lvlText w:val="(%1)"/>
      <w:lvlJc w:val="left"/>
      <w:pPr>
        <w:ind w:left="375" w:hanging="375"/>
      </w:pPr>
      <w:rPr>
        <w:rFonts w:hint="default"/>
      </w:rPr>
    </w:lvl>
    <w:lvl w:ilvl="1" w:tplc="1368F598">
      <w:start w:val="1"/>
      <w:numFmt w:val="lowerRoman"/>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55DB7A8C"/>
    <w:multiLevelType w:val="hybridMultilevel"/>
    <w:tmpl w:val="55F64ABE"/>
    <w:lvl w:ilvl="0" w:tplc="1C9C11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C1F5C1E"/>
    <w:multiLevelType w:val="hybridMultilevel"/>
    <w:tmpl w:val="25C6A13C"/>
    <w:lvl w:ilvl="0" w:tplc="0C090001">
      <w:start w:val="1"/>
      <w:numFmt w:val="bullet"/>
      <w:lvlText w:val=""/>
      <w:lvlJc w:val="left"/>
      <w:pPr>
        <w:ind w:left="360" w:hanging="360"/>
      </w:pPr>
      <w:rPr>
        <w:rFonts w:ascii="Symbol" w:hAnsi="Symbol" w:hint="default"/>
      </w:rPr>
    </w:lvl>
    <w:lvl w:ilvl="1" w:tplc="06705144">
      <w:start w:val="2"/>
      <w:numFmt w:val="bullet"/>
      <w:lvlText w:val="-"/>
      <w:lvlJc w:val="left"/>
      <w:pPr>
        <w:ind w:left="1140" w:hanging="4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61A658A7"/>
    <w:multiLevelType w:val="hybridMultilevel"/>
    <w:tmpl w:val="8FFAD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81E0698"/>
    <w:multiLevelType w:val="hybridMultilevel"/>
    <w:tmpl w:val="27788E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6A353D73"/>
    <w:multiLevelType w:val="hybridMultilevel"/>
    <w:tmpl w:val="2E2E29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6AC66F1C"/>
    <w:multiLevelType w:val="hybridMultilevel"/>
    <w:tmpl w:val="95CAE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6C097675"/>
    <w:multiLevelType w:val="hybridMultilevel"/>
    <w:tmpl w:val="769CAF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711C0427"/>
    <w:multiLevelType w:val="hybridMultilevel"/>
    <w:tmpl w:val="DCB83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73210E37"/>
    <w:multiLevelType w:val="hybridMultilevel"/>
    <w:tmpl w:val="24FE8B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76002781"/>
    <w:multiLevelType w:val="hybridMultilevel"/>
    <w:tmpl w:val="68BE98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7BCF7DE1"/>
    <w:multiLevelType w:val="hybridMultilevel"/>
    <w:tmpl w:val="EFFE62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19"/>
  </w:num>
  <w:num w:numId="3">
    <w:abstractNumId w:val="38"/>
  </w:num>
  <w:num w:numId="4">
    <w:abstractNumId w:val="36"/>
  </w:num>
  <w:num w:numId="5">
    <w:abstractNumId w:val="0"/>
  </w:num>
  <w:num w:numId="6">
    <w:abstractNumId w:val="21"/>
  </w:num>
  <w:num w:numId="7">
    <w:abstractNumId w:val="23"/>
  </w:num>
  <w:num w:numId="8">
    <w:abstractNumId w:val="5"/>
  </w:num>
  <w:num w:numId="9">
    <w:abstractNumId w:val="15"/>
  </w:num>
  <w:num w:numId="10">
    <w:abstractNumId w:val="28"/>
  </w:num>
  <w:num w:numId="11">
    <w:abstractNumId w:val="13"/>
  </w:num>
  <w:num w:numId="12">
    <w:abstractNumId w:val="20"/>
  </w:num>
  <w:num w:numId="13">
    <w:abstractNumId w:val="43"/>
  </w:num>
  <w:num w:numId="14">
    <w:abstractNumId w:val="33"/>
  </w:num>
  <w:num w:numId="15">
    <w:abstractNumId w:val="26"/>
  </w:num>
  <w:num w:numId="16">
    <w:abstractNumId w:val="39"/>
  </w:num>
  <w:num w:numId="17">
    <w:abstractNumId w:val="1"/>
  </w:num>
  <w:num w:numId="18">
    <w:abstractNumId w:val="22"/>
  </w:num>
  <w:num w:numId="19">
    <w:abstractNumId w:val="6"/>
  </w:num>
  <w:num w:numId="20">
    <w:abstractNumId w:val="25"/>
  </w:num>
  <w:num w:numId="21">
    <w:abstractNumId w:val="9"/>
  </w:num>
  <w:num w:numId="22">
    <w:abstractNumId w:val="29"/>
  </w:num>
  <w:num w:numId="23">
    <w:abstractNumId w:val="17"/>
  </w:num>
  <w:num w:numId="24">
    <w:abstractNumId w:val="24"/>
  </w:num>
  <w:num w:numId="25">
    <w:abstractNumId w:val="10"/>
  </w:num>
  <w:num w:numId="26">
    <w:abstractNumId w:val="44"/>
  </w:num>
  <w:num w:numId="27">
    <w:abstractNumId w:val="7"/>
  </w:num>
  <w:num w:numId="28">
    <w:abstractNumId w:val="12"/>
  </w:num>
  <w:num w:numId="29">
    <w:abstractNumId w:val="16"/>
  </w:num>
  <w:num w:numId="30">
    <w:abstractNumId w:val="8"/>
  </w:num>
  <w:num w:numId="31">
    <w:abstractNumId w:val="46"/>
  </w:num>
  <w:num w:numId="32">
    <w:abstractNumId w:val="34"/>
  </w:num>
  <w:num w:numId="33">
    <w:abstractNumId w:val="32"/>
  </w:num>
  <w:num w:numId="34">
    <w:abstractNumId w:val="31"/>
  </w:num>
  <w:num w:numId="35">
    <w:abstractNumId w:val="42"/>
  </w:num>
  <w:num w:numId="36">
    <w:abstractNumId w:val="27"/>
  </w:num>
  <w:num w:numId="37">
    <w:abstractNumId w:val="41"/>
  </w:num>
  <w:num w:numId="38">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1"/>
  </w:num>
  <w:num w:numId="41">
    <w:abstractNumId w:val="45"/>
  </w:num>
  <w:num w:numId="42">
    <w:abstractNumId w:val="40"/>
  </w:num>
  <w:num w:numId="43">
    <w:abstractNumId w:val="37"/>
  </w:num>
  <w:num w:numId="44">
    <w:abstractNumId w:val="30"/>
  </w:num>
  <w:num w:numId="45">
    <w:abstractNumId w:val="3"/>
  </w:num>
  <w:num w:numId="46">
    <w:abstractNumId w:val="14"/>
  </w:num>
  <w:num w:numId="4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52657E"/>
    <w:rsid w:val="00012FE6"/>
    <w:rsid w:val="000255EA"/>
    <w:rsid w:val="0003571B"/>
    <w:rsid w:val="00053B97"/>
    <w:rsid w:val="000622BD"/>
    <w:rsid w:val="00082851"/>
    <w:rsid w:val="00083A8B"/>
    <w:rsid w:val="000B5674"/>
    <w:rsid w:val="000D17C2"/>
    <w:rsid w:val="000E49E1"/>
    <w:rsid w:val="000E4F81"/>
    <w:rsid w:val="000F130A"/>
    <w:rsid w:val="00110D3D"/>
    <w:rsid w:val="0011391E"/>
    <w:rsid w:val="00124D70"/>
    <w:rsid w:val="00130EA7"/>
    <w:rsid w:val="00135D9C"/>
    <w:rsid w:val="00142354"/>
    <w:rsid w:val="0015236C"/>
    <w:rsid w:val="00185E0F"/>
    <w:rsid w:val="00187F79"/>
    <w:rsid w:val="00195DDB"/>
    <w:rsid w:val="001B0295"/>
    <w:rsid w:val="001B70E3"/>
    <w:rsid w:val="001D05F6"/>
    <w:rsid w:val="001D2BA4"/>
    <w:rsid w:val="001D5AAA"/>
    <w:rsid w:val="001D5F2F"/>
    <w:rsid w:val="001D62F1"/>
    <w:rsid w:val="001E49D9"/>
    <w:rsid w:val="001F3971"/>
    <w:rsid w:val="001F5552"/>
    <w:rsid w:val="001F61E2"/>
    <w:rsid w:val="00204A04"/>
    <w:rsid w:val="002131D4"/>
    <w:rsid w:val="002134C9"/>
    <w:rsid w:val="002256D9"/>
    <w:rsid w:val="00225F7E"/>
    <w:rsid w:val="00230BB5"/>
    <w:rsid w:val="00233192"/>
    <w:rsid w:val="00233A80"/>
    <w:rsid w:val="00235750"/>
    <w:rsid w:val="002377D6"/>
    <w:rsid w:val="002A424F"/>
    <w:rsid w:val="002A6F5C"/>
    <w:rsid w:val="002C42C8"/>
    <w:rsid w:val="002D5D46"/>
    <w:rsid w:val="002F6E9A"/>
    <w:rsid w:val="002F7A78"/>
    <w:rsid w:val="00301A70"/>
    <w:rsid w:val="00303DC4"/>
    <w:rsid w:val="00313016"/>
    <w:rsid w:val="0031475A"/>
    <w:rsid w:val="003163C1"/>
    <w:rsid w:val="0031726A"/>
    <w:rsid w:val="00330E69"/>
    <w:rsid w:val="00331834"/>
    <w:rsid w:val="003336D2"/>
    <w:rsid w:val="0033447B"/>
    <w:rsid w:val="00381EB5"/>
    <w:rsid w:val="00382B54"/>
    <w:rsid w:val="003A30D3"/>
    <w:rsid w:val="003E44CB"/>
    <w:rsid w:val="003E4D69"/>
    <w:rsid w:val="003F1F0A"/>
    <w:rsid w:val="003F4567"/>
    <w:rsid w:val="00410B38"/>
    <w:rsid w:val="004350C4"/>
    <w:rsid w:val="00442D7F"/>
    <w:rsid w:val="00453C6F"/>
    <w:rsid w:val="00465353"/>
    <w:rsid w:val="004960EE"/>
    <w:rsid w:val="004B209B"/>
    <w:rsid w:val="004D5D43"/>
    <w:rsid w:val="004E73F2"/>
    <w:rsid w:val="004E7465"/>
    <w:rsid w:val="004F27ED"/>
    <w:rsid w:val="004F5BFE"/>
    <w:rsid w:val="005004C0"/>
    <w:rsid w:val="005042BE"/>
    <w:rsid w:val="00505004"/>
    <w:rsid w:val="005158AF"/>
    <w:rsid w:val="00524885"/>
    <w:rsid w:val="0052657E"/>
    <w:rsid w:val="00527034"/>
    <w:rsid w:val="005349D7"/>
    <w:rsid w:val="00537081"/>
    <w:rsid w:val="005462BA"/>
    <w:rsid w:val="005462D5"/>
    <w:rsid w:val="0055245C"/>
    <w:rsid w:val="00556C6B"/>
    <w:rsid w:val="0056172E"/>
    <w:rsid w:val="0057257D"/>
    <w:rsid w:val="00574D71"/>
    <w:rsid w:val="00581ADA"/>
    <w:rsid w:val="005A46FB"/>
    <w:rsid w:val="005A78E6"/>
    <w:rsid w:val="005B6556"/>
    <w:rsid w:val="005C0399"/>
    <w:rsid w:val="005D3E55"/>
    <w:rsid w:val="005E4F37"/>
    <w:rsid w:val="005E5049"/>
    <w:rsid w:val="005F3D8B"/>
    <w:rsid w:val="0060626B"/>
    <w:rsid w:val="00606D32"/>
    <w:rsid w:val="006126AE"/>
    <w:rsid w:val="0061538E"/>
    <w:rsid w:val="00617BB9"/>
    <w:rsid w:val="00617E86"/>
    <w:rsid w:val="00620841"/>
    <w:rsid w:val="00645FF6"/>
    <w:rsid w:val="00646C7C"/>
    <w:rsid w:val="00647CED"/>
    <w:rsid w:val="00647E64"/>
    <w:rsid w:val="006542D9"/>
    <w:rsid w:val="00654687"/>
    <w:rsid w:val="00657EAF"/>
    <w:rsid w:val="00683957"/>
    <w:rsid w:val="00684B1D"/>
    <w:rsid w:val="006961D9"/>
    <w:rsid w:val="006A292D"/>
    <w:rsid w:val="006A2BBE"/>
    <w:rsid w:val="006B1EA8"/>
    <w:rsid w:val="006B2A1A"/>
    <w:rsid w:val="006C4F19"/>
    <w:rsid w:val="006C5BB8"/>
    <w:rsid w:val="006D0E78"/>
    <w:rsid w:val="006E1793"/>
    <w:rsid w:val="006E197B"/>
    <w:rsid w:val="006F1557"/>
    <w:rsid w:val="006F61E4"/>
    <w:rsid w:val="007066D5"/>
    <w:rsid w:val="00710190"/>
    <w:rsid w:val="00722901"/>
    <w:rsid w:val="00737AC6"/>
    <w:rsid w:val="0074387D"/>
    <w:rsid w:val="00751246"/>
    <w:rsid w:val="007549A2"/>
    <w:rsid w:val="00771D6E"/>
    <w:rsid w:val="00774B80"/>
    <w:rsid w:val="00777130"/>
    <w:rsid w:val="00777D88"/>
    <w:rsid w:val="00785CBD"/>
    <w:rsid w:val="00792481"/>
    <w:rsid w:val="00792BCE"/>
    <w:rsid w:val="00792D3D"/>
    <w:rsid w:val="007B11D7"/>
    <w:rsid w:val="007B50AE"/>
    <w:rsid w:val="007B63CF"/>
    <w:rsid w:val="007C09E8"/>
    <w:rsid w:val="007C172F"/>
    <w:rsid w:val="007D0DC1"/>
    <w:rsid w:val="007D35C6"/>
    <w:rsid w:val="007E21B7"/>
    <w:rsid w:val="007F2653"/>
    <w:rsid w:val="00800974"/>
    <w:rsid w:val="00832C1D"/>
    <w:rsid w:val="00840CAD"/>
    <w:rsid w:val="00853061"/>
    <w:rsid w:val="00854A62"/>
    <w:rsid w:val="00867491"/>
    <w:rsid w:val="00882CDC"/>
    <w:rsid w:val="00887FD4"/>
    <w:rsid w:val="00892434"/>
    <w:rsid w:val="008A0049"/>
    <w:rsid w:val="008D3BB0"/>
    <w:rsid w:val="008E180F"/>
    <w:rsid w:val="008E20A3"/>
    <w:rsid w:val="008E2C3F"/>
    <w:rsid w:val="008F0E81"/>
    <w:rsid w:val="00902690"/>
    <w:rsid w:val="009124E3"/>
    <w:rsid w:val="009155DC"/>
    <w:rsid w:val="0092625E"/>
    <w:rsid w:val="009309DE"/>
    <w:rsid w:val="009322FD"/>
    <w:rsid w:val="00957521"/>
    <w:rsid w:val="0097305A"/>
    <w:rsid w:val="00977A6F"/>
    <w:rsid w:val="00993D84"/>
    <w:rsid w:val="009B3F2A"/>
    <w:rsid w:val="009B4D72"/>
    <w:rsid w:val="009B74CA"/>
    <w:rsid w:val="009C302F"/>
    <w:rsid w:val="009C5AAC"/>
    <w:rsid w:val="009C650F"/>
    <w:rsid w:val="009C7D40"/>
    <w:rsid w:val="009F5CA6"/>
    <w:rsid w:val="00A2486E"/>
    <w:rsid w:val="00A32FA3"/>
    <w:rsid w:val="00A543CF"/>
    <w:rsid w:val="00A56B4B"/>
    <w:rsid w:val="00A61DCF"/>
    <w:rsid w:val="00A64C78"/>
    <w:rsid w:val="00A97E49"/>
    <w:rsid w:val="00AB04FA"/>
    <w:rsid w:val="00AC0EAA"/>
    <w:rsid w:val="00AC68DA"/>
    <w:rsid w:val="00AD0DF9"/>
    <w:rsid w:val="00B2444A"/>
    <w:rsid w:val="00B30F97"/>
    <w:rsid w:val="00B327E7"/>
    <w:rsid w:val="00B4207E"/>
    <w:rsid w:val="00B50264"/>
    <w:rsid w:val="00B502CC"/>
    <w:rsid w:val="00B65B36"/>
    <w:rsid w:val="00B72220"/>
    <w:rsid w:val="00B743D1"/>
    <w:rsid w:val="00B8498C"/>
    <w:rsid w:val="00BA0A3B"/>
    <w:rsid w:val="00BA36F6"/>
    <w:rsid w:val="00BA6867"/>
    <w:rsid w:val="00BC11F0"/>
    <w:rsid w:val="00BC2DA8"/>
    <w:rsid w:val="00BC312D"/>
    <w:rsid w:val="00BD0785"/>
    <w:rsid w:val="00BD297A"/>
    <w:rsid w:val="00BD3169"/>
    <w:rsid w:val="00BF0E08"/>
    <w:rsid w:val="00BF34C3"/>
    <w:rsid w:val="00C07B01"/>
    <w:rsid w:val="00C23F5E"/>
    <w:rsid w:val="00C26DE9"/>
    <w:rsid w:val="00C34DEB"/>
    <w:rsid w:val="00C415EE"/>
    <w:rsid w:val="00C433EF"/>
    <w:rsid w:val="00C474C9"/>
    <w:rsid w:val="00C526C5"/>
    <w:rsid w:val="00C61694"/>
    <w:rsid w:val="00C6176D"/>
    <w:rsid w:val="00C704EF"/>
    <w:rsid w:val="00C83C9C"/>
    <w:rsid w:val="00C84778"/>
    <w:rsid w:val="00C8622B"/>
    <w:rsid w:val="00C91939"/>
    <w:rsid w:val="00CC2AB0"/>
    <w:rsid w:val="00CF1AD7"/>
    <w:rsid w:val="00CF4FFF"/>
    <w:rsid w:val="00D01611"/>
    <w:rsid w:val="00D022C0"/>
    <w:rsid w:val="00D070BE"/>
    <w:rsid w:val="00D25D17"/>
    <w:rsid w:val="00D27F82"/>
    <w:rsid w:val="00D460AC"/>
    <w:rsid w:val="00D46857"/>
    <w:rsid w:val="00D47A2F"/>
    <w:rsid w:val="00D50AEA"/>
    <w:rsid w:val="00D5158E"/>
    <w:rsid w:val="00D5286B"/>
    <w:rsid w:val="00D5329F"/>
    <w:rsid w:val="00D568E8"/>
    <w:rsid w:val="00D569B8"/>
    <w:rsid w:val="00D66CEA"/>
    <w:rsid w:val="00D84F27"/>
    <w:rsid w:val="00D85A68"/>
    <w:rsid w:val="00D92875"/>
    <w:rsid w:val="00DB49C0"/>
    <w:rsid w:val="00DB4FEC"/>
    <w:rsid w:val="00DD5BB2"/>
    <w:rsid w:val="00DE55C1"/>
    <w:rsid w:val="00DF2388"/>
    <w:rsid w:val="00DF72D8"/>
    <w:rsid w:val="00E02843"/>
    <w:rsid w:val="00E046D0"/>
    <w:rsid w:val="00E05DD6"/>
    <w:rsid w:val="00E10C80"/>
    <w:rsid w:val="00E12856"/>
    <w:rsid w:val="00E14033"/>
    <w:rsid w:val="00E20A42"/>
    <w:rsid w:val="00E30165"/>
    <w:rsid w:val="00E3018D"/>
    <w:rsid w:val="00E32051"/>
    <w:rsid w:val="00E32D47"/>
    <w:rsid w:val="00E52295"/>
    <w:rsid w:val="00E52ED2"/>
    <w:rsid w:val="00E74DF2"/>
    <w:rsid w:val="00EC1DE0"/>
    <w:rsid w:val="00EC79ED"/>
    <w:rsid w:val="00EE3154"/>
    <w:rsid w:val="00EF131B"/>
    <w:rsid w:val="00EF2877"/>
    <w:rsid w:val="00F15CDF"/>
    <w:rsid w:val="00F247D2"/>
    <w:rsid w:val="00F40FB7"/>
    <w:rsid w:val="00F536E5"/>
    <w:rsid w:val="00F564B3"/>
    <w:rsid w:val="00F5788F"/>
    <w:rsid w:val="00F825FF"/>
    <w:rsid w:val="00F86600"/>
    <w:rsid w:val="00F86855"/>
    <w:rsid w:val="00F960D2"/>
    <w:rsid w:val="00FA536A"/>
    <w:rsid w:val="00FB423F"/>
    <w:rsid w:val="00FD0C1D"/>
    <w:rsid w:val="00FD2A36"/>
    <w:rsid w:val="00FD78AD"/>
    <w:rsid w:val="00FE0993"/>
    <w:rsid w:val="00FE50D2"/>
    <w:rsid w:val="00FF4E6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D32"/>
  </w:style>
  <w:style w:type="paragraph" w:styleId="Heading6">
    <w:name w:val="heading 6"/>
    <w:basedOn w:val="Normal"/>
    <w:next w:val="Normal"/>
    <w:link w:val="Heading6Char"/>
    <w:qFormat/>
    <w:rsid w:val="006B2A1A"/>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657E"/>
    <w:rPr>
      <w:b/>
      <w:bCs/>
    </w:rPr>
  </w:style>
  <w:style w:type="paragraph" w:styleId="BalloonText">
    <w:name w:val="Balloon Text"/>
    <w:basedOn w:val="Normal"/>
    <w:link w:val="BalloonTextChar"/>
    <w:uiPriority w:val="99"/>
    <w:semiHidden/>
    <w:unhideWhenUsed/>
    <w:rsid w:val="00526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57E"/>
    <w:rPr>
      <w:rFonts w:ascii="Tahoma" w:hAnsi="Tahoma" w:cs="Tahoma"/>
      <w:sz w:val="16"/>
      <w:szCs w:val="16"/>
    </w:rPr>
  </w:style>
  <w:style w:type="paragraph" w:styleId="ListParagraph">
    <w:name w:val="List Paragraph"/>
    <w:basedOn w:val="Normal"/>
    <w:uiPriority w:val="99"/>
    <w:qFormat/>
    <w:rsid w:val="006C4F19"/>
    <w:pPr>
      <w:ind w:left="720"/>
      <w:contextualSpacing/>
    </w:pPr>
  </w:style>
  <w:style w:type="paragraph" w:styleId="NormalWeb">
    <w:name w:val="Normal (Web)"/>
    <w:basedOn w:val="Normal"/>
    <w:uiPriority w:val="99"/>
    <w:unhideWhenUsed/>
    <w:rsid w:val="00DB49C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7B63CF"/>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59"/>
    <w:rsid w:val="007B63CF"/>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4387D"/>
    <w:rPr>
      <w:rFonts w:cs="Times New Roman"/>
      <w:color w:val="0000FF"/>
      <w:u w:val="single"/>
    </w:rPr>
  </w:style>
  <w:style w:type="paragraph" w:customStyle="1" w:styleId="subsection">
    <w:name w:val="subsection"/>
    <w:basedOn w:val="Normal"/>
    <w:rsid w:val="00C526C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C526C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C312D"/>
    <w:rPr>
      <w:color w:val="800080" w:themeColor="followedHyperlink"/>
      <w:u w:val="single"/>
    </w:rPr>
  </w:style>
  <w:style w:type="paragraph" w:customStyle="1" w:styleId="Bullet">
    <w:name w:val="Bullet"/>
    <w:basedOn w:val="Normal"/>
    <w:rsid w:val="0061538E"/>
    <w:pPr>
      <w:numPr>
        <w:numId w:val="38"/>
      </w:numPr>
      <w:spacing w:after="240" w:line="240" w:lineRule="auto"/>
    </w:pPr>
    <w:rPr>
      <w:rFonts w:ascii="Times New Roman" w:hAnsi="Times New Roman" w:cs="Times New Roman"/>
      <w:sz w:val="24"/>
      <w:szCs w:val="24"/>
      <w:lang w:eastAsia="en-AU"/>
    </w:rPr>
  </w:style>
  <w:style w:type="paragraph" w:customStyle="1" w:styleId="Dash">
    <w:name w:val="Dash"/>
    <w:basedOn w:val="Normal"/>
    <w:rsid w:val="0061538E"/>
    <w:pPr>
      <w:numPr>
        <w:ilvl w:val="1"/>
        <w:numId w:val="38"/>
      </w:numPr>
      <w:spacing w:after="240" w:line="240" w:lineRule="auto"/>
    </w:pPr>
    <w:rPr>
      <w:rFonts w:ascii="Times New Roman" w:hAnsi="Times New Roman" w:cs="Times New Roman"/>
      <w:sz w:val="24"/>
      <w:szCs w:val="24"/>
      <w:lang w:eastAsia="en-AU"/>
    </w:rPr>
  </w:style>
  <w:style w:type="paragraph" w:customStyle="1" w:styleId="DoubleDot">
    <w:name w:val="Double Dot"/>
    <w:basedOn w:val="Normal"/>
    <w:rsid w:val="0061538E"/>
    <w:pPr>
      <w:numPr>
        <w:ilvl w:val="2"/>
        <w:numId w:val="38"/>
      </w:numPr>
      <w:spacing w:after="240" w:line="240" w:lineRule="auto"/>
    </w:pPr>
    <w:rPr>
      <w:rFonts w:ascii="Times New Roman" w:hAnsi="Times New Roman" w:cs="Times New Roman"/>
      <w:sz w:val="24"/>
      <w:szCs w:val="24"/>
      <w:lang w:eastAsia="en-AU"/>
    </w:rPr>
  </w:style>
  <w:style w:type="paragraph" w:styleId="Header">
    <w:name w:val="header"/>
    <w:basedOn w:val="Normal"/>
    <w:link w:val="HeaderChar"/>
    <w:uiPriority w:val="99"/>
    <w:semiHidden/>
    <w:unhideWhenUsed/>
    <w:rsid w:val="00BA686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A6867"/>
  </w:style>
  <w:style w:type="paragraph" w:styleId="Footer">
    <w:name w:val="footer"/>
    <w:basedOn w:val="Normal"/>
    <w:link w:val="FooterChar"/>
    <w:uiPriority w:val="99"/>
    <w:unhideWhenUsed/>
    <w:rsid w:val="00BA6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867"/>
  </w:style>
  <w:style w:type="character" w:styleId="CommentReference">
    <w:name w:val="annotation reference"/>
    <w:basedOn w:val="DefaultParagraphFont"/>
    <w:uiPriority w:val="99"/>
    <w:semiHidden/>
    <w:unhideWhenUsed/>
    <w:rsid w:val="00230BB5"/>
    <w:rPr>
      <w:sz w:val="16"/>
      <w:szCs w:val="16"/>
    </w:rPr>
  </w:style>
  <w:style w:type="paragraph" w:styleId="CommentText">
    <w:name w:val="annotation text"/>
    <w:basedOn w:val="Normal"/>
    <w:link w:val="CommentTextChar"/>
    <w:uiPriority w:val="99"/>
    <w:semiHidden/>
    <w:unhideWhenUsed/>
    <w:rsid w:val="00230BB5"/>
    <w:pPr>
      <w:spacing w:line="240" w:lineRule="auto"/>
    </w:pPr>
    <w:rPr>
      <w:sz w:val="20"/>
      <w:szCs w:val="20"/>
    </w:rPr>
  </w:style>
  <w:style w:type="character" w:customStyle="1" w:styleId="CommentTextChar">
    <w:name w:val="Comment Text Char"/>
    <w:basedOn w:val="DefaultParagraphFont"/>
    <w:link w:val="CommentText"/>
    <w:uiPriority w:val="99"/>
    <w:semiHidden/>
    <w:rsid w:val="00230BB5"/>
    <w:rPr>
      <w:sz w:val="20"/>
      <w:szCs w:val="20"/>
    </w:rPr>
  </w:style>
  <w:style w:type="paragraph" w:styleId="CommentSubject">
    <w:name w:val="annotation subject"/>
    <w:basedOn w:val="CommentText"/>
    <w:next w:val="CommentText"/>
    <w:link w:val="CommentSubjectChar"/>
    <w:uiPriority w:val="99"/>
    <w:semiHidden/>
    <w:unhideWhenUsed/>
    <w:rsid w:val="00230BB5"/>
    <w:rPr>
      <w:b/>
      <w:bCs/>
    </w:rPr>
  </w:style>
  <w:style w:type="character" w:customStyle="1" w:styleId="CommentSubjectChar">
    <w:name w:val="Comment Subject Char"/>
    <w:basedOn w:val="CommentTextChar"/>
    <w:link w:val="CommentSubject"/>
    <w:uiPriority w:val="99"/>
    <w:semiHidden/>
    <w:rsid w:val="00230BB5"/>
    <w:rPr>
      <w:b/>
      <w:bCs/>
    </w:rPr>
  </w:style>
  <w:style w:type="character" w:customStyle="1" w:styleId="Heading6Char">
    <w:name w:val="Heading 6 Char"/>
    <w:basedOn w:val="DefaultParagraphFont"/>
    <w:link w:val="Heading6"/>
    <w:rsid w:val="006B2A1A"/>
    <w:rPr>
      <w:rFonts w:ascii="Times New Roman" w:eastAsia="Times New Roman" w:hAnsi="Times New Roman" w:cs="Times New Roman"/>
      <w:sz w:val="24"/>
      <w:szCs w:val="20"/>
      <w:u w:val="single"/>
      <w:lang w:eastAsia="en-AU"/>
    </w:rPr>
  </w:style>
  <w:style w:type="paragraph" w:styleId="FootnoteText">
    <w:name w:val="footnote text"/>
    <w:basedOn w:val="Normal"/>
    <w:link w:val="FootnoteTextChar"/>
    <w:uiPriority w:val="99"/>
    <w:semiHidden/>
    <w:unhideWhenUsed/>
    <w:rsid w:val="006B2A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2A1A"/>
    <w:rPr>
      <w:sz w:val="20"/>
      <w:szCs w:val="20"/>
    </w:rPr>
  </w:style>
  <w:style w:type="character" w:styleId="FootnoteReference">
    <w:name w:val="footnote reference"/>
    <w:basedOn w:val="DefaultParagraphFont"/>
    <w:uiPriority w:val="99"/>
    <w:semiHidden/>
    <w:unhideWhenUsed/>
    <w:rsid w:val="006B2A1A"/>
    <w:rPr>
      <w:vertAlign w:val="superscript"/>
    </w:rPr>
  </w:style>
  <w:style w:type="paragraph" w:styleId="EndnoteText">
    <w:name w:val="endnote text"/>
    <w:basedOn w:val="Normal"/>
    <w:link w:val="EndnoteTextChar"/>
    <w:uiPriority w:val="99"/>
    <w:semiHidden/>
    <w:unhideWhenUsed/>
    <w:rsid w:val="006B2A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2A1A"/>
    <w:rPr>
      <w:sz w:val="20"/>
      <w:szCs w:val="20"/>
    </w:rPr>
  </w:style>
  <w:style w:type="character" w:styleId="EndnoteReference">
    <w:name w:val="endnote reference"/>
    <w:basedOn w:val="DefaultParagraphFont"/>
    <w:uiPriority w:val="99"/>
    <w:semiHidden/>
    <w:unhideWhenUsed/>
    <w:rsid w:val="006B2A1A"/>
    <w:rPr>
      <w:vertAlign w:val="superscript"/>
    </w:rPr>
  </w:style>
</w:styles>
</file>

<file path=word/webSettings.xml><?xml version="1.0" encoding="utf-8"?>
<w:webSettings xmlns:r="http://schemas.openxmlformats.org/officeDocument/2006/relationships" xmlns:w="http://schemas.openxmlformats.org/wordprocessingml/2006/main">
  <w:divs>
    <w:div w:id="527720231">
      <w:bodyDiv w:val="1"/>
      <w:marLeft w:val="0"/>
      <w:marRight w:val="0"/>
      <w:marTop w:val="0"/>
      <w:marBottom w:val="0"/>
      <w:divBdr>
        <w:top w:val="none" w:sz="0" w:space="0" w:color="auto"/>
        <w:left w:val="none" w:sz="0" w:space="0" w:color="auto"/>
        <w:bottom w:val="none" w:sz="0" w:space="0" w:color="auto"/>
        <w:right w:val="none" w:sz="0" w:space="0" w:color="auto"/>
      </w:divBdr>
      <w:divsChild>
        <w:div w:id="1022166881">
          <w:marLeft w:val="0"/>
          <w:marRight w:val="0"/>
          <w:marTop w:val="0"/>
          <w:marBottom w:val="0"/>
          <w:divBdr>
            <w:top w:val="none" w:sz="0" w:space="0" w:color="auto"/>
            <w:left w:val="none" w:sz="0" w:space="0" w:color="auto"/>
            <w:bottom w:val="none" w:sz="0" w:space="0" w:color="auto"/>
            <w:right w:val="none" w:sz="0" w:space="0" w:color="auto"/>
          </w:divBdr>
          <w:divsChild>
            <w:div w:id="16230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2188">
      <w:bodyDiv w:val="1"/>
      <w:marLeft w:val="0"/>
      <w:marRight w:val="0"/>
      <w:marTop w:val="0"/>
      <w:marBottom w:val="0"/>
      <w:divBdr>
        <w:top w:val="none" w:sz="0" w:space="0" w:color="auto"/>
        <w:left w:val="none" w:sz="0" w:space="0" w:color="auto"/>
        <w:bottom w:val="none" w:sz="0" w:space="0" w:color="auto"/>
        <w:right w:val="none" w:sz="0" w:space="0" w:color="auto"/>
      </w:divBdr>
    </w:div>
    <w:div w:id="1106849858">
      <w:bodyDiv w:val="1"/>
      <w:marLeft w:val="0"/>
      <w:marRight w:val="0"/>
      <w:marTop w:val="0"/>
      <w:marBottom w:val="0"/>
      <w:divBdr>
        <w:top w:val="none" w:sz="0" w:space="0" w:color="auto"/>
        <w:left w:val="none" w:sz="0" w:space="0" w:color="auto"/>
        <w:bottom w:val="none" w:sz="0" w:space="0" w:color="auto"/>
        <w:right w:val="none" w:sz="0" w:space="0" w:color="auto"/>
      </w:divBdr>
    </w:div>
    <w:div w:id="1272011026">
      <w:bodyDiv w:val="1"/>
      <w:marLeft w:val="0"/>
      <w:marRight w:val="0"/>
      <w:marTop w:val="0"/>
      <w:marBottom w:val="0"/>
      <w:divBdr>
        <w:top w:val="none" w:sz="0" w:space="0" w:color="auto"/>
        <w:left w:val="none" w:sz="0" w:space="0" w:color="auto"/>
        <w:bottom w:val="none" w:sz="0" w:space="0" w:color="auto"/>
        <w:right w:val="none" w:sz="0" w:space="0" w:color="auto"/>
      </w:divBdr>
    </w:div>
    <w:div w:id="1622178106">
      <w:bodyDiv w:val="1"/>
      <w:marLeft w:val="0"/>
      <w:marRight w:val="0"/>
      <w:marTop w:val="0"/>
      <w:marBottom w:val="0"/>
      <w:divBdr>
        <w:top w:val="none" w:sz="0" w:space="0" w:color="auto"/>
        <w:left w:val="none" w:sz="0" w:space="0" w:color="auto"/>
        <w:bottom w:val="none" w:sz="0" w:space="0" w:color="auto"/>
        <w:right w:val="none" w:sz="0" w:space="0" w:color="auto"/>
      </w:divBdr>
    </w:div>
    <w:div w:id="1730300860">
      <w:bodyDiv w:val="1"/>
      <w:marLeft w:val="0"/>
      <w:marRight w:val="0"/>
      <w:marTop w:val="0"/>
      <w:marBottom w:val="0"/>
      <w:divBdr>
        <w:top w:val="none" w:sz="0" w:space="0" w:color="auto"/>
        <w:left w:val="none" w:sz="0" w:space="0" w:color="auto"/>
        <w:bottom w:val="none" w:sz="0" w:space="0" w:color="auto"/>
        <w:right w:val="none" w:sz="0" w:space="0" w:color="auto"/>
      </w:divBdr>
    </w:div>
    <w:div w:id="1860387135">
      <w:bodyDiv w:val="1"/>
      <w:marLeft w:val="0"/>
      <w:marRight w:val="0"/>
      <w:marTop w:val="0"/>
      <w:marBottom w:val="0"/>
      <w:divBdr>
        <w:top w:val="none" w:sz="0" w:space="0" w:color="auto"/>
        <w:left w:val="none" w:sz="0" w:space="0" w:color="auto"/>
        <w:bottom w:val="none" w:sz="0" w:space="0" w:color="auto"/>
        <w:right w:val="none" w:sz="0" w:space="0" w:color="auto"/>
      </w:divBdr>
      <w:divsChild>
        <w:div w:id="1851795295">
          <w:marLeft w:val="0"/>
          <w:marRight w:val="0"/>
          <w:marTop w:val="0"/>
          <w:marBottom w:val="0"/>
          <w:divBdr>
            <w:top w:val="none" w:sz="0" w:space="0" w:color="auto"/>
            <w:left w:val="none" w:sz="0" w:space="0" w:color="auto"/>
            <w:bottom w:val="none" w:sz="0" w:space="0" w:color="auto"/>
            <w:right w:val="none" w:sz="0" w:space="0" w:color="auto"/>
          </w:divBdr>
          <w:divsChild>
            <w:div w:id="16044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42494">
      <w:bodyDiv w:val="1"/>
      <w:marLeft w:val="0"/>
      <w:marRight w:val="0"/>
      <w:marTop w:val="0"/>
      <w:marBottom w:val="0"/>
      <w:divBdr>
        <w:top w:val="none" w:sz="0" w:space="0" w:color="auto"/>
        <w:left w:val="none" w:sz="0" w:space="0" w:color="auto"/>
        <w:bottom w:val="none" w:sz="0" w:space="0" w:color="auto"/>
        <w:right w:val="none" w:sz="0" w:space="0" w:color="auto"/>
      </w:divBdr>
      <w:divsChild>
        <w:div w:id="1798058881">
          <w:marLeft w:val="0"/>
          <w:marRight w:val="0"/>
          <w:marTop w:val="0"/>
          <w:marBottom w:val="0"/>
          <w:divBdr>
            <w:top w:val="none" w:sz="0" w:space="0" w:color="auto"/>
            <w:left w:val="none" w:sz="0" w:space="0" w:color="auto"/>
            <w:bottom w:val="none" w:sz="0" w:space="0" w:color="auto"/>
            <w:right w:val="none" w:sz="0" w:space="0" w:color="auto"/>
          </w:divBdr>
          <w:divsChild>
            <w:div w:id="1097672463">
              <w:marLeft w:val="0"/>
              <w:marRight w:val="0"/>
              <w:marTop w:val="0"/>
              <w:marBottom w:val="0"/>
              <w:divBdr>
                <w:top w:val="none" w:sz="0" w:space="0" w:color="auto"/>
                <w:left w:val="none" w:sz="0" w:space="0" w:color="auto"/>
                <w:bottom w:val="none" w:sz="0" w:space="0" w:color="auto"/>
                <w:right w:val="none" w:sz="0" w:space="0" w:color="auto"/>
              </w:divBdr>
              <w:divsChild>
                <w:div w:id="1667896129">
                  <w:marLeft w:val="0"/>
                  <w:marRight w:val="0"/>
                  <w:marTop w:val="0"/>
                  <w:marBottom w:val="0"/>
                  <w:divBdr>
                    <w:top w:val="none" w:sz="0" w:space="0" w:color="auto"/>
                    <w:left w:val="none" w:sz="0" w:space="0" w:color="auto"/>
                    <w:bottom w:val="none" w:sz="0" w:space="0" w:color="auto"/>
                    <w:right w:val="none" w:sz="0" w:space="0" w:color="auto"/>
                  </w:divBdr>
                  <w:divsChild>
                    <w:div w:id="289243011">
                      <w:marLeft w:val="0"/>
                      <w:marRight w:val="0"/>
                      <w:marTop w:val="0"/>
                      <w:marBottom w:val="0"/>
                      <w:divBdr>
                        <w:top w:val="none" w:sz="0" w:space="0" w:color="auto"/>
                        <w:left w:val="none" w:sz="0" w:space="0" w:color="auto"/>
                        <w:bottom w:val="none" w:sz="0" w:space="0" w:color="auto"/>
                        <w:right w:val="none" w:sz="0" w:space="0" w:color="auto"/>
                      </w:divBdr>
                      <w:divsChild>
                        <w:div w:id="768701058">
                          <w:marLeft w:val="0"/>
                          <w:marRight w:val="0"/>
                          <w:marTop w:val="0"/>
                          <w:marBottom w:val="0"/>
                          <w:divBdr>
                            <w:top w:val="single" w:sz="4" w:space="0" w:color="828282"/>
                            <w:left w:val="single" w:sz="4" w:space="0" w:color="828282"/>
                            <w:bottom w:val="single" w:sz="4" w:space="0" w:color="828282"/>
                            <w:right w:val="single" w:sz="4" w:space="0" w:color="828282"/>
                          </w:divBdr>
                          <w:divsChild>
                            <w:div w:id="601188237">
                              <w:marLeft w:val="0"/>
                              <w:marRight w:val="0"/>
                              <w:marTop w:val="0"/>
                              <w:marBottom w:val="0"/>
                              <w:divBdr>
                                <w:top w:val="none" w:sz="0" w:space="0" w:color="auto"/>
                                <w:left w:val="none" w:sz="0" w:space="0" w:color="auto"/>
                                <w:bottom w:val="none" w:sz="0" w:space="0" w:color="auto"/>
                                <w:right w:val="none" w:sz="0" w:space="0" w:color="auto"/>
                              </w:divBdr>
                              <w:divsChild>
                                <w:div w:id="154296661">
                                  <w:marLeft w:val="0"/>
                                  <w:marRight w:val="0"/>
                                  <w:marTop w:val="0"/>
                                  <w:marBottom w:val="0"/>
                                  <w:divBdr>
                                    <w:top w:val="none" w:sz="0" w:space="0" w:color="auto"/>
                                    <w:left w:val="none" w:sz="0" w:space="0" w:color="auto"/>
                                    <w:bottom w:val="none" w:sz="0" w:space="0" w:color="auto"/>
                                    <w:right w:val="none" w:sz="0" w:space="0" w:color="auto"/>
                                  </w:divBdr>
                                  <w:divsChild>
                                    <w:div w:id="1249928002">
                                      <w:marLeft w:val="0"/>
                                      <w:marRight w:val="0"/>
                                      <w:marTop w:val="0"/>
                                      <w:marBottom w:val="0"/>
                                      <w:divBdr>
                                        <w:top w:val="none" w:sz="0" w:space="0" w:color="auto"/>
                                        <w:left w:val="none" w:sz="0" w:space="0" w:color="auto"/>
                                        <w:bottom w:val="none" w:sz="0" w:space="0" w:color="auto"/>
                                        <w:right w:val="none" w:sz="0" w:space="0" w:color="auto"/>
                                      </w:divBdr>
                                      <w:divsChild>
                                        <w:div w:id="25642601">
                                          <w:marLeft w:val="0"/>
                                          <w:marRight w:val="0"/>
                                          <w:marTop w:val="0"/>
                                          <w:marBottom w:val="0"/>
                                          <w:divBdr>
                                            <w:top w:val="none" w:sz="0" w:space="0" w:color="auto"/>
                                            <w:left w:val="none" w:sz="0" w:space="0" w:color="auto"/>
                                            <w:bottom w:val="none" w:sz="0" w:space="0" w:color="auto"/>
                                            <w:right w:val="none" w:sz="0" w:space="0" w:color="auto"/>
                                          </w:divBdr>
                                          <w:divsChild>
                                            <w:div w:id="691996682">
                                              <w:marLeft w:val="0"/>
                                              <w:marRight w:val="0"/>
                                              <w:marTop w:val="0"/>
                                              <w:marBottom w:val="0"/>
                                              <w:divBdr>
                                                <w:top w:val="none" w:sz="0" w:space="0" w:color="auto"/>
                                                <w:left w:val="none" w:sz="0" w:space="0" w:color="auto"/>
                                                <w:bottom w:val="none" w:sz="0" w:space="0" w:color="auto"/>
                                                <w:right w:val="none" w:sz="0" w:space="0" w:color="auto"/>
                                              </w:divBdr>
                                              <w:divsChild>
                                                <w:div w:id="43302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4793">
              <w:marLeft w:val="0"/>
              <w:marRight w:val="0"/>
              <w:marTop w:val="0"/>
              <w:marBottom w:val="0"/>
              <w:divBdr>
                <w:top w:val="none" w:sz="0" w:space="0" w:color="auto"/>
                <w:left w:val="none" w:sz="0" w:space="0" w:color="auto"/>
                <w:bottom w:val="none" w:sz="0" w:space="0" w:color="auto"/>
                <w:right w:val="none" w:sz="0" w:space="0" w:color="auto"/>
              </w:divBdr>
              <w:divsChild>
                <w:div w:id="2027825864">
                  <w:marLeft w:val="0"/>
                  <w:marRight w:val="0"/>
                  <w:marTop w:val="0"/>
                  <w:marBottom w:val="0"/>
                  <w:divBdr>
                    <w:top w:val="none" w:sz="0" w:space="0" w:color="auto"/>
                    <w:left w:val="none" w:sz="0" w:space="0" w:color="auto"/>
                    <w:bottom w:val="none" w:sz="0" w:space="0" w:color="auto"/>
                    <w:right w:val="none" w:sz="0" w:space="0" w:color="auto"/>
                  </w:divBdr>
                </w:div>
                <w:div w:id="2133086425">
                  <w:marLeft w:val="0"/>
                  <w:marRight w:val="0"/>
                  <w:marTop w:val="0"/>
                  <w:marBottom w:val="0"/>
                  <w:divBdr>
                    <w:top w:val="none" w:sz="0" w:space="0" w:color="auto"/>
                    <w:left w:val="none" w:sz="0" w:space="0" w:color="auto"/>
                    <w:bottom w:val="none" w:sz="0" w:space="0" w:color="auto"/>
                    <w:right w:val="none" w:sz="0" w:space="0" w:color="auto"/>
                  </w:divBdr>
                  <w:divsChild>
                    <w:div w:id="1077823970">
                      <w:marLeft w:val="0"/>
                      <w:marRight w:val="0"/>
                      <w:marTop w:val="0"/>
                      <w:marBottom w:val="0"/>
                      <w:divBdr>
                        <w:top w:val="none" w:sz="0" w:space="0" w:color="auto"/>
                        <w:left w:val="none" w:sz="0" w:space="0" w:color="auto"/>
                        <w:bottom w:val="none" w:sz="0" w:space="0" w:color="auto"/>
                        <w:right w:val="none" w:sz="0" w:space="0" w:color="auto"/>
                      </w:divBdr>
                      <w:divsChild>
                        <w:div w:id="1153793099">
                          <w:marLeft w:val="0"/>
                          <w:marRight w:val="0"/>
                          <w:marTop w:val="0"/>
                          <w:marBottom w:val="0"/>
                          <w:divBdr>
                            <w:top w:val="none" w:sz="0" w:space="0" w:color="auto"/>
                            <w:left w:val="none" w:sz="0" w:space="0" w:color="auto"/>
                            <w:bottom w:val="none" w:sz="0" w:space="0" w:color="auto"/>
                            <w:right w:val="none" w:sz="0" w:space="0" w:color="auto"/>
                          </w:divBdr>
                        </w:div>
                        <w:div w:id="13725121">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36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s.gov.au" TargetMode="External"/><Relationship Id="rId13" Type="http://schemas.openxmlformats.org/officeDocument/2006/relationships/hyperlink" Target="http://www.abs.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ustoms.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gov.au" TargetMode="External"/><Relationship Id="rId5" Type="http://schemas.openxmlformats.org/officeDocument/2006/relationships/webSettings" Target="webSettings.xml"/><Relationship Id="rId15" Type="http://schemas.openxmlformats.org/officeDocument/2006/relationships/hyperlink" Target="http://www.ga.gov.au" TargetMode="External"/><Relationship Id="rId10" Type="http://schemas.openxmlformats.org/officeDocument/2006/relationships/hyperlink" Target="http://www.customs.gov.au" TargetMode="External"/><Relationship Id="rId4" Type="http://schemas.openxmlformats.org/officeDocument/2006/relationships/settings" Target="settings.xml"/><Relationship Id="rId9" Type="http://schemas.openxmlformats.org/officeDocument/2006/relationships/hyperlink" Target="http://www.abs.gov.au" TargetMode="External"/><Relationship Id="rId14" Type="http://schemas.openxmlformats.org/officeDocument/2006/relationships/hyperlink" Target="http://www.ab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508D1-6F3D-4756-BB5A-601BDD0F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10970</Words>
  <Characters>62532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DEWHA</Company>
  <LinksUpToDate>false</LinksUpToDate>
  <CharactersWithSpaces>73356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a09520</dc:creator>
  <cp:lastModifiedBy>hilhma</cp:lastModifiedBy>
  <cp:revision>3</cp:revision>
  <cp:lastPrinted>2011-10-27T06:41:00Z</cp:lastPrinted>
  <dcterms:created xsi:type="dcterms:W3CDTF">2011-11-04T04:52:00Z</dcterms:created>
  <dcterms:modified xsi:type="dcterms:W3CDTF">2011-11-04T05:12:00Z</dcterms:modified>
</cp:coreProperties>
</file>