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0F" w:rsidRPr="00725173" w:rsidRDefault="00FC460F" w:rsidP="00FC460F">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EXPLANATORY STATEMENT</w:t>
      </w:r>
    </w:p>
    <w:p w:rsidR="00FC460F" w:rsidRPr="00725173" w:rsidRDefault="00FC460F" w:rsidP="00FC460F">
      <w:pPr>
        <w:spacing w:before="100" w:beforeAutospacing="1" w:after="100" w:afterAutospacing="1"/>
        <w:jc w:val="center"/>
        <w:rPr>
          <w:rFonts w:ascii="Times New Roman" w:eastAsia="Times New Roman" w:hAnsi="Times New Roman" w:cs="Times New Roman"/>
          <w:sz w:val="24"/>
          <w:szCs w:val="24"/>
          <w:lang w:eastAsia="en-AU"/>
        </w:rPr>
      </w:pPr>
      <w:proofErr w:type="spellStart"/>
      <w:r w:rsidRPr="00725173">
        <w:rPr>
          <w:rFonts w:ascii="Times New Roman" w:eastAsia="Times New Roman" w:hAnsi="Times New Roman" w:cs="Times New Roman"/>
          <w:b/>
          <w:bCs/>
          <w:i/>
          <w:iCs/>
          <w:sz w:val="24"/>
          <w:szCs w:val="24"/>
          <w:lang w:eastAsia="en-AU"/>
        </w:rPr>
        <w:t>Radiocommunications</w:t>
      </w:r>
      <w:proofErr w:type="spellEnd"/>
      <w:r w:rsidRPr="00725173">
        <w:rPr>
          <w:rFonts w:ascii="Times New Roman" w:eastAsia="Times New Roman" w:hAnsi="Times New Roman" w:cs="Times New Roman"/>
          <w:b/>
          <w:bCs/>
          <w:i/>
          <w:iCs/>
          <w:sz w:val="24"/>
          <w:szCs w:val="24"/>
          <w:lang w:eastAsia="en-AU"/>
        </w:rPr>
        <w:t xml:space="preserve"> Act 1992</w:t>
      </w:r>
    </w:p>
    <w:p w:rsidR="00FC460F" w:rsidRPr="00725173" w:rsidRDefault="00FC460F" w:rsidP="00FC460F">
      <w:pPr>
        <w:spacing w:before="100" w:beforeAutospacing="1" w:after="100" w:afterAutospacing="1"/>
        <w:jc w:val="center"/>
        <w:rPr>
          <w:rFonts w:ascii="Times New Roman" w:eastAsia="Times New Roman" w:hAnsi="Times New Roman" w:cs="Times New Roman"/>
          <w:sz w:val="24"/>
          <w:szCs w:val="24"/>
          <w:lang w:eastAsia="en-AU"/>
        </w:rPr>
      </w:pPr>
      <w:proofErr w:type="gramStart"/>
      <w:r w:rsidRPr="00725173">
        <w:rPr>
          <w:rFonts w:ascii="Times New Roman" w:eastAsia="Times New Roman" w:hAnsi="Times New Roman" w:cs="Times New Roman"/>
          <w:b/>
          <w:bCs/>
          <w:sz w:val="24"/>
          <w:szCs w:val="24"/>
          <w:lang w:eastAsia="en-AU"/>
        </w:rPr>
        <w:t>RADIOCOMMUNICATIONS (</w:t>
      </w:r>
      <w:r w:rsidR="00FB6810">
        <w:rPr>
          <w:rFonts w:ascii="Times New Roman" w:eastAsia="Times New Roman" w:hAnsi="Times New Roman" w:cs="Times New Roman"/>
          <w:b/>
          <w:bCs/>
          <w:sz w:val="24"/>
          <w:szCs w:val="24"/>
          <w:lang w:eastAsia="en-AU"/>
        </w:rPr>
        <w:t>S</w:t>
      </w:r>
      <w:r>
        <w:rPr>
          <w:rFonts w:ascii="Times New Roman" w:eastAsia="Times New Roman" w:hAnsi="Times New Roman" w:cs="Times New Roman"/>
          <w:b/>
          <w:bCs/>
          <w:sz w:val="24"/>
          <w:szCs w:val="24"/>
          <w:lang w:eastAsia="en-AU"/>
        </w:rPr>
        <w:t>P</w:t>
      </w:r>
      <w:r w:rsidR="00FB6810">
        <w:rPr>
          <w:rFonts w:ascii="Times New Roman" w:eastAsia="Times New Roman" w:hAnsi="Times New Roman" w:cs="Times New Roman"/>
          <w:b/>
          <w:bCs/>
          <w:sz w:val="24"/>
          <w:szCs w:val="24"/>
          <w:lang w:eastAsia="en-AU"/>
        </w:rPr>
        <w:t>E</w:t>
      </w:r>
      <w:r>
        <w:rPr>
          <w:rFonts w:ascii="Times New Roman" w:eastAsia="Times New Roman" w:hAnsi="Times New Roman" w:cs="Times New Roman"/>
          <w:b/>
          <w:bCs/>
          <w:sz w:val="24"/>
          <w:szCs w:val="24"/>
          <w:lang w:eastAsia="en-AU"/>
        </w:rPr>
        <w:t>CTRUM RE-ALLOCATION</w:t>
      </w:r>
      <w:r w:rsidRPr="00725173">
        <w:rPr>
          <w:rFonts w:ascii="Times New Roman" w:eastAsia="Times New Roman" w:hAnsi="Times New Roman" w:cs="Times New Roman"/>
          <w:b/>
          <w:bCs/>
          <w:sz w:val="24"/>
          <w:szCs w:val="24"/>
          <w:lang w:eastAsia="en-AU"/>
        </w:rPr>
        <w:t xml:space="preserve">) </w:t>
      </w:r>
      <w:r>
        <w:rPr>
          <w:rFonts w:ascii="Times New Roman" w:eastAsia="Times New Roman" w:hAnsi="Times New Roman" w:cs="Times New Roman"/>
          <w:b/>
          <w:bCs/>
          <w:sz w:val="24"/>
          <w:szCs w:val="24"/>
          <w:lang w:eastAsia="en-AU"/>
        </w:rPr>
        <w:t>DECLARATION</w:t>
      </w:r>
      <w:r w:rsidR="003B17B5">
        <w:rPr>
          <w:rFonts w:ascii="Times New Roman" w:eastAsia="Times New Roman" w:hAnsi="Times New Roman" w:cs="Times New Roman"/>
          <w:b/>
          <w:bCs/>
          <w:sz w:val="24"/>
          <w:szCs w:val="24"/>
          <w:lang w:eastAsia="en-AU"/>
        </w:rPr>
        <w:t xml:space="preserve"> </w:t>
      </w:r>
      <w:r w:rsidR="009C3668">
        <w:rPr>
          <w:rFonts w:ascii="Times New Roman" w:eastAsia="Times New Roman" w:hAnsi="Times New Roman" w:cs="Times New Roman"/>
          <w:b/>
          <w:bCs/>
          <w:sz w:val="24"/>
          <w:szCs w:val="24"/>
          <w:lang w:eastAsia="en-AU"/>
        </w:rPr>
        <w:t>NO.</w:t>
      </w:r>
      <w:proofErr w:type="gramEnd"/>
      <w:r w:rsidR="009C3668">
        <w:rPr>
          <w:rFonts w:ascii="Times New Roman" w:eastAsia="Times New Roman" w:hAnsi="Times New Roman" w:cs="Times New Roman"/>
          <w:b/>
          <w:bCs/>
          <w:sz w:val="24"/>
          <w:szCs w:val="24"/>
          <w:lang w:eastAsia="en-AU"/>
        </w:rPr>
        <w:t xml:space="preserve"> 2</w:t>
      </w:r>
      <w:r w:rsidRPr="00725173">
        <w:rPr>
          <w:rFonts w:ascii="Times New Roman" w:eastAsia="Times New Roman" w:hAnsi="Times New Roman" w:cs="Times New Roman"/>
          <w:b/>
          <w:bCs/>
          <w:sz w:val="24"/>
          <w:szCs w:val="24"/>
          <w:lang w:eastAsia="en-AU"/>
        </w:rPr>
        <w:t xml:space="preserve"> OF 20</w:t>
      </w:r>
      <w:r>
        <w:rPr>
          <w:rFonts w:ascii="Times New Roman" w:eastAsia="Times New Roman" w:hAnsi="Times New Roman" w:cs="Times New Roman"/>
          <w:b/>
          <w:bCs/>
          <w:sz w:val="24"/>
          <w:szCs w:val="24"/>
          <w:lang w:eastAsia="en-AU"/>
        </w:rPr>
        <w:t>11</w:t>
      </w:r>
    </w:p>
    <w:p w:rsidR="00FC460F" w:rsidRDefault="00FC460F" w:rsidP="00E04C40">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 xml:space="preserve">Issued by the authority of the Minister for </w:t>
      </w:r>
      <w:r>
        <w:rPr>
          <w:rFonts w:ascii="Times New Roman" w:eastAsia="Times New Roman" w:hAnsi="Times New Roman" w:cs="Times New Roman"/>
          <w:sz w:val="24"/>
          <w:szCs w:val="24"/>
          <w:lang w:eastAsia="en-AU"/>
        </w:rPr>
        <w:t>Broadband, Communi</w:t>
      </w:r>
      <w:r w:rsidR="00E04C40">
        <w:rPr>
          <w:rFonts w:ascii="Times New Roman" w:eastAsia="Times New Roman" w:hAnsi="Times New Roman" w:cs="Times New Roman"/>
          <w:sz w:val="24"/>
          <w:szCs w:val="24"/>
          <w:lang w:eastAsia="en-AU"/>
        </w:rPr>
        <w:t>cations and the Digital Economy</w:t>
      </w:r>
    </w:p>
    <w:p w:rsidR="00E36505" w:rsidRPr="003B17B5" w:rsidRDefault="003B17B5" w:rsidP="00FC460F">
      <w:pPr>
        <w:spacing w:before="100" w:beforeAutospacing="1" w:after="100" w:afterAutospacing="1"/>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Background</w:t>
      </w:r>
    </w:p>
    <w:p w:rsidR="0015468E" w:rsidRPr="00682E29" w:rsidRDefault="007F7B4B" w:rsidP="0015468E">
      <w:pPr>
        <w:spacing w:before="100" w:beforeAutospacing="1" w:after="100" w:afterAutospacing="1"/>
        <w:rPr>
          <w:rFonts w:ascii="Times New Roman" w:eastAsia="Times New Roman" w:hAnsi="Times New Roman" w:cs="Times New Roman"/>
          <w:sz w:val="24"/>
          <w:szCs w:val="24"/>
          <w:lang w:eastAsia="en-AU"/>
        </w:rPr>
      </w:pPr>
      <w:r w:rsidRPr="00706ADB">
        <w:rPr>
          <w:rFonts w:ascii="Times New Roman" w:eastAsia="Times New Roman" w:hAnsi="Times New Roman" w:cs="Times New Roman"/>
          <w:sz w:val="24"/>
          <w:szCs w:val="24"/>
          <w:lang w:eastAsia="en-AU"/>
        </w:rPr>
        <w:t xml:space="preserve">Part 3.6 of the </w:t>
      </w:r>
      <w:proofErr w:type="spellStart"/>
      <w:r w:rsidRPr="00706ADB">
        <w:rPr>
          <w:rFonts w:ascii="Times New Roman" w:eastAsia="Times New Roman" w:hAnsi="Times New Roman" w:cs="Times New Roman"/>
          <w:i/>
          <w:sz w:val="24"/>
          <w:szCs w:val="24"/>
          <w:lang w:eastAsia="en-AU"/>
        </w:rPr>
        <w:t>Radiocommunications</w:t>
      </w:r>
      <w:proofErr w:type="spellEnd"/>
      <w:r w:rsidRPr="00706ADB">
        <w:rPr>
          <w:rFonts w:ascii="Times New Roman" w:eastAsia="Times New Roman" w:hAnsi="Times New Roman" w:cs="Times New Roman"/>
          <w:i/>
          <w:sz w:val="24"/>
          <w:szCs w:val="24"/>
          <w:lang w:eastAsia="en-AU"/>
        </w:rPr>
        <w:t xml:space="preserve"> Act 1992</w:t>
      </w:r>
      <w:r w:rsidRPr="00706ADB">
        <w:rPr>
          <w:rFonts w:ascii="Times New Roman" w:eastAsia="Times New Roman" w:hAnsi="Times New Roman" w:cs="Times New Roman"/>
          <w:sz w:val="24"/>
          <w:szCs w:val="24"/>
          <w:lang w:eastAsia="en-AU"/>
        </w:rPr>
        <w:t xml:space="preserve"> (‘the Act’) deals with the re-allocation of encumbered spectrum. Under section 153B of the Act, the Minister may make a declaration (a disallowable legislative instrument) that one or more parts of the spectrum are subject to re-allocation.</w:t>
      </w:r>
      <w:r w:rsidR="00E21C87" w:rsidRPr="00706ADB">
        <w:rPr>
          <w:rFonts w:ascii="Times New Roman" w:eastAsia="Times New Roman" w:hAnsi="Times New Roman" w:cs="Times New Roman"/>
          <w:sz w:val="24"/>
          <w:szCs w:val="24"/>
          <w:lang w:eastAsia="en-AU"/>
        </w:rPr>
        <w:t xml:space="preserve"> </w:t>
      </w:r>
      <w:r w:rsidR="0015468E" w:rsidRPr="00682E29">
        <w:rPr>
          <w:rFonts w:ascii="Times New Roman" w:eastAsia="Times New Roman" w:hAnsi="Times New Roman" w:cs="Times New Roman"/>
          <w:sz w:val="24"/>
          <w:szCs w:val="24"/>
          <w:lang w:eastAsia="en-AU"/>
        </w:rPr>
        <w:t xml:space="preserve">The spectrum can be re-allocated by issuing either spectrum or apparatus licences.  </w:t>
      </w:r>
    </w:p>
    <w:p w:rsidR="00E422CA" w:rsidRPr="0013364D" w:rsidRDefault="009B3182" w:rsidP="0015468E">
      <w:pPr>
        <w:spacing w:before="100" w:beforeAutospacing="1" w:after="100" w:afterAutospacing="1"/>
        <w:rPr>
          <w:rFonts w:ascii="Times New Roman" w:eastAsia="Times New Roman" w:hAnsi="Times New Roman" w:cs="Times New Roman"/>
          <w:sz w:val="24"/>
          <w:szCs w:val="24"/>
          <w:lang w:eastAsia="en-AU"/>
        </w:rPr>
      </w:pPr>
      <w:r w:rsidRPr="0013364D">
        <w:rPr>
          <w:rFonts w:ascii="Times New Roman" w:eastAsia="Times New Roman" w:hAnsi="Times New Roman" w:cs="Times New Roman"/>
          <w:sz w:val="24"/>
          <w:szCs w:val="24"/>
          <w:lang w:eastAsia="en-AU"/>
        </w:rPr>
        <w:t>I</w:t>
      </w:r>
      <w:r w:rsidR="0015468E" w:rsidRPr="0013364D">
        <w:rPr>
          <w:rFonts w:ascii="Times New Roman" w:eastAsia="Times New Roman" w:hAnsi="Times New Roman" w:cs="Times New Roman"/>
          <w:sz w:val="24"/>
          <w:szCs w:val="24"/>
          <w:lang w:eastAsia="en-AU"/>
        </w:rPr>
        <w:t xml:space="preserve">ncumbent apparatus licensees in subject parts of the spectrum have a period (which is </w:t>
      </w:r>
      <w:r w:rsidRPr="0013364D">
        <w:rPr>
          <w:rFonts w:ascii="Times New Roman" w:eastAsia="Times New Roman" w:hAnsi="Times New Roman" w:cs="Times New Roman"/>
          <w:sz w:val="24"/>
          <w:szCs w:val="24"/>
          <w:lang w:eastAsia="en-AU"/>
        </w:rPr>
        <w:t>described</w:t>
      </w:r>
      <w:r w:rsidR="0015468E" w:rsidRPr="0013364D">
        <w:rPr>
          <w:rFonts w:ascii="Times New Roman" w:eastAsia="Times New Roman" w:hAnsi="Times New Roman" w:cs="Times New Roman"/>
          <w:sz w:val="24"/>
          <w:szCs w:val="24"/>
          <w:lang w:eastAsia="en-AU"/>
        </w:rPr>
        <w:t xml:space="preserve"> in the declaration</w:t>
      </w:r>
      <w:r w:rsidRPr="0013364D">
        <w:rPr>
          <w:rFonts w:ascii="Times New Roman" w:eastAsia="Times New Roman" w:hAnsi="Times New Roman" w:cs="Times New Roman"/>
          <w:sz w:val="24"/>
          <w:szCs w:val="24"/>
          <w:lang w:eastAsia="en-AU"/>
        </w:rPr>
        <w:t xml:space="preserve"> as the ‘re-allocation period’</w:t>
      </w:r>
      <w:r w:rsidR="0015468E" w:rsidRPr="0013364D">
        <w:rPr>
          <w:rFonts w:ascii="Times New Roman" w:eastAsia="Times New Roman" w:hAnsi="Times New Roman" w:cs="Times New Roman"/>
          <w:sz w:val="24"/>
          <w:szCs w:val="24"/>
          <w:lang w:eastAsia="en-AU"/>
        </w:rPr>
        <w:t>) to vacate the spectrum. This avoids delays to the re-allocation process which may be incurred if spectrum is required to be</w:t>
      </w:r>
      <w:r w:rsidR="00E422CA" w:rsidRPr="0013364D">
        <w:rPr>
          <w:rFonts w:ascii="Times New Roman" w:eastAsia="Times New Roman" w:hAnsi="Times New Roman" w:cs="Times New Roman"/>
          <w:sz w:val="24"/>
          <w:szCs w:val="24"/>
          <w:lang w:eastAsia="en-AU"/>
        </w:rPr>
        <w:t xml:space="preserve"> cleared prior to re-allocation.</w:t>
      </w:r>
      <w:r w:rsidR="0015468E" w:rsidRPr="0013364D">
        <w:rPr>
          <w:rFonts w:ascii="Times New Roman" w:eastAsia="Times New Roman" w:hAnsi="Times New Roman" w:cs="Times New Roman"/>
          <w:sz w:val="24"/>
          <w:szCs w:val="24"/>
          <w:lang w:eastAsia="en-AU"/>
        </w:rPr>
        <w:t xml:space="preserve"> </w:t>
      </w:r>
      <w:r w:rsidR="00E422CA" w:rsidRPr="0013364D">
        <w:rPr>
          <w:rFonts w:ascii="Times New Roman" w:eastAsia="Times New Roman" w:hAnsi="Times New Roman" w:cs="Times New Roman"/>
          <w:sz w:val="24"/>
          <w:szCs w:val="24"/>
          <w:lang w:eastAsia="en-AU"/>
        </w:rPr>
        <w:t xml:space="preserve">It also mitigates </w:t>
      </w:r>
      <w:r w:rsidR="00B61D36" w:rsidRPr="0013364D">
        <w:rPr>
          <w:rFonts w:ascii="Times New Roman" w:eastAsia="Times New Roman" w:hAnsi="Times New Roman" w:cs="Times New Roman"/>
          <w:sz w:val="24"/>
          <w:szCs w:val="24"/>
          <w:lang w:eastAsia="en-AU"/>
        </w:rPr>
        <w:t>the risk</w:t>
      </w:r>
      <w:r w:rsidR="00E422CA" w:rsidRPr="0013364D">
        <w:rPr>
          <w:rFonts w:ascii="Times New Roman" w:eastAsia="Times New Roman" w:hAnsi="Times New Roman" w:cs="Times New Roman"/>
          <w:sz w:val="24"/>
          <w:szCs w:val="24"/>
          <w:lang w:eastAsia="en-AU"/>
        </w:rPr>
        <w:t xml:space="preserve"> of clearing spectrum unnecessarily or too early in relation to the demand for its use.</w:t>
      </w:r>
    </w:p>
    <w:p w:rsidR="0015468E" w:rsidRPr="0013364D" w:rsidRDefault="0015468E" w:rsidP="0015468E">
      <w:pPr>
        <w:spacing w:before="100" w:beforeAutospacing="1" w:after="100" w:afterAutospacing="1"/>
        <w:rPr>
          <w:rFonts w:ascii="Times New Roman" w:eastAsia="Times New Roman" w:hAnsi="Times New Roman" w:cs="Times New Roman"/>
          <w:sz w:val="24"/>
          <w:szCs w:val="24"/>
          <w:lang w:eastAsia="en-AU"/>
        </w:rPr>
      </w:pPr>
      <w:r w:rsidRPr="0013364D">
        <w:rPr>
          <w:rFonts w:ascii="Times New Roman" w:eastAsia="Times New Roman" w:hAnsi="Times New Roman" w:cs="Times New Roman"/>
          <w:sz w:val="24"/>
          <w:szCs w:val="24"/>
          <w:lang w:eastAsia="en-AU"/>
        </w:rPr>
        <w:t>Certain apparatus licences that are affected by a spectrum re-allocation declaration will be cancelled at the end of the period specified in the declaration.</w:t>
      </w:r>
    </w:p>
    <w:p w:rsidR="0015468E" w:rsidRPr="0013364D" w:rsidRDefault="0015468E" w:rsidP="0015468E">
      <w:pPr>
        <w:spacing w:before="100" w:beforeAutospacing="1" w:after="100" w:afterAutospacing="1"/>
        <w:rPr>
          <w:rFonts w:ascii="Times New Roman" w:eastAsia="Times New Roman" w:hAnsi="Times New Roman" w:cs="Times New Roman"/>
          <w:sz w:val="24"/>
          <w:szCs w:val="24"/>
          <w:lang w:eastAsia="en-AU"/>
        </w:rPr>
      </w:pPr>
      <w:r w:rsidRPr="0013364D">
        <w:rPr>
          <w:rFonts w:ascii="Times New Roman" w:eastAsia="Times New Roman" w:hAnsi="Times New Roman" w:cs="Times New Roman"/>
          <w:sz w:val="24"/>
          <w:szCs w:val="24"/>
          <w:lang w:eastAsia="en-AU"/>
        </w:rPr>
        <w:t>The re-allocation period must begin within 28 days after the declaration is made, and run for at least 2 years.</w:t>
      </w:r>
    </w:p>
    <w:p w:rsidR="0016340D" w:rsidRDefault="0016340D" w:rsidP="0016340D">
      <w:pPr>
        <w:pStyle w:val="NormalWeb"/>
      </w:pPr>
      <w:r>
        <w:t>Before making a declaration about any part(s) of the spectrum, the Minister must have received, and had regard to, a recommendation from the Australian Communications and Media Authority (ACMA) about the same part(s) of the spectrum (section 153E of the Act). The ACMA’s recommendation must be developed and made in accordance with sections 153F and 153G of the Act</w:t>
      </w:r>
      <w:r w:rsidR="00D46516">
        <w:t>.</w:t>
      </w:r>
      <w:r>
        <w:t xml:space="preserve"> </w:t>
      </w:r>
    </w:p>
    <w:p w:rsidR="00E21C87" w:rsidRDefault="00E21C87" w:rsidP="00E21C87">
      <w:pPr>
        <w:pStyle w:val="NormalWeb"/>
        <w:rPr>
          <w:highlight w:val="yellow"/>
        </w:rPr>
      </w:pPr>
      <w:r>
        <w:t>Only spectrum currently occupied by apparatus licences, or unoccupied spectrum, may be covered by a re-allocation declaration. The reason for allowing unoccupied spectrum to be covered is to facilitate the re</w:t>
      </w:r>
      <w:r>
        <w:noBreakHyphen/>
        <w:t>allocation of contiguous blocks of spectrum, rather than fragmented parts that are separated by intervals of unoccupied spectrum.</w:t>
      </w:r>
      <w:r w:rsidRPr="00E21C87">
        <w:rPr>
          <w:highlight w:val="yellow"/>
        </w:rPr>
        <w:t xml:space="preserve"> </w:t>
      </w:r>
    </w:p>
    <w:p w:rsidR="00E36505" w:rsidRDefault="00E36505" w:rsidP="00E36505">
      <w:pPr>
        <w:pStyle w:val="NormalWeb"/>
        <w:keepNext/>
        <w:rPr>
          <w:b/>
        </w:rPr>
      </w:pPr>
      <w:r w:rsidRPr="00E36505">
        <w:rPr>
          <w:b/>
        </w:rPr>
        <w:t>Purpose</w:t>
      </w:r>
    </w:p>
    <w:p w:rsidR="00706ADB" w:rsidRDefault="00312169" w:rsidP="00706AD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706ADB">
        <w:rPr>
          <w:rFonts w:ascii="Times New Roman" w:eastAsia="Times New Roman" w:hAnsi="Times New Roman" w:cs="Times New Roman"/>
          <w:sz w:val="24"/>
          <w:szCs w:val="24"/>
          <w:lang w:eastAsia="en-AU"/>
        </w:rPr>
        <w:t xml:space="preserve"> Government</w:t>
      </w:r>
      <w:r>
        <w:rPr>
          <w:rFonts w:ascii="Times New Roman" w:eastAsia="Times New Roman" w:hAnsi="Times New Roman" w:cs="Times New Roman"/>
          <w:sz w:val="24"/>
          <w:szCs w:val="24"/>
          <w:lang w:eastAsia="en-AU"/>
        </w:rPr>
        <w:t xml:space="preserve"> has</w:t>
      </w:r>
      <w:r w:rsidR="00706ADB">
        <w:rPr>
          <w:rFonts w:ascii="Times New Roman" w:eastAsia="Times New Roman" w:hAnsi="Times New Roman" w:cs="Times New Roman"/>
          <w:sz w:val="24"/>
          <w:szCs w:val="24"/>
          <w:lang w:eastAsia="en-AU"/>
        </w:rPr>
        <w:t xml:space="preserve"> committed to auctioning the 2.5</w:t>
      </w:r>
      <w:r w:rsidR="009061A1">
        <w:rPr>
          <w:rFonts w:ascii="Times New Roman" w:eastAsia="Times New Roman" w:hAnsi="Times New Roman" w:cs="Times New Roman"/>
          <w:sz w:val="24"/>
          <w:szCs w:val="24"/>
          <w:lang w:eastAsia="en-AU"/>
        </w:rPr>
        <w:t xml:space="preserve"> </w:t>
      </w:r>
      <w:r w:rsidR="00706ADB">
        <w:rPr>
          <w:rFonts w:ascii="Times New Roman" w:eastAsia="Times New Roman" w:hAnsi="Times New Roman" w:cs="Times New Roman"/>
          <w:sz w:val="24"/>
          <w:szCs w:val="24"/>
          <w:lang w:eastAsia="en-AU"/>
        </w:rPr>
        <w:t>GHz band</w:t>
      </w:r>
      <w:r w:rsidR="00FC0652">
        <w:rPr>
          <w:rFonts w:ascii="Times New Roman" w:eastAsia="Times New Roman" w:hAnsi="Times New Roman" w:cs="Times New Roman"/>
          <w:sz w:val="24"/>
          <w:szCs w:val="24"/>
          <w:lang w:eastAsia="en-AU"/>
        </w:rPr>
        <w:t xml:space="preserve"> during 2012-13</w:t>
      </w:r>
      <w:r w:rsidR="00706ADB">
        <w:rPr>
          <w:rFonts w:ascii="Times New Roman" w:eastAsia="Times New Roman" w:hAnsi="Times New Roman" w:cs="Times New Roman"/>
          <w:sz w:val="24"/>
          <w:szCs w:val="24"/>
          <w:lang w:eastAsia="en-AU"/>
        </w:rPr>
        <w:t xml:space="preserve">. </w:t>
      </w:r>
    </w:p>
    <w:p w:rsidR="00706ADB" w:rsidRDefault="00706ADB" w:rsidP="00706ADB">
      <w:pPr>
        <w:spacing w:before="100" w:beforeAutospacing="1" w:after="100" w:afterAutospacing="1"/>
        <w:rPr>
          <w:rFonts w:ascii="Times New Roman" w:eastAsia="Times New Roman" w:hAnsi="Times New Roman" w:cs="Times New Roman"/>
          <w:sz w:val="24"/>
          <w:szCs w:val="24"/>
          <w:lang w:eastAsia="en-AU"/>
        </w:rPr>
      </w:pPr>
      <w:r w:rsidRPr="00705600">
        <w:rPr>
          <w:rFonts w:ascii="Times New Roman" w:eastAsia="Times New Roman" w:hAnsi="Times New Roman" w:cs="Times New Roman"/>
          <w:sz w:val="24"/>
          <w:szCs w:val="24"/>
          <w:lang w:eastAsia="en-AU"/>
        </w:rPr>
        <w:t>An auction is being planned to sell spectrum from the 2.5GHz band</w:t>
      </w:r>
      <w:r>
        <w:rPr>
          <w:rFonts w:ascii="Times New Roman" w:eastAsia="Times New Roman" w:hAnsi="Times New Roman" w:cs="Times New Roman"/>
          <w:sz w:val="24"/>
          <w:szCs w:val="24"/>
          <w:lang w:eastAsia="en-AU"/>
        </w:rPr>
        <w:t xml:space="preserve"> and the digital dividend band (which is subject to a separate spectrum re-allocation declaration)</w:t>
      </w:r>
      <w:r w:rsidRPr="00705600">
        <w:rPr>
          <w:rFonts w:ascii="Times New Roman" w:eastAsia="Times New Roman" w:hAnsi="Times New Roman" w:cs="Times New Roman"/>
          <w:sz w:val="24"/>
          <w:szCs w:val="24"/>
          <w:lang w:eastAsia="en-AU"/>
        </w:rPr>
        <w:t xml:space="preserve"> through a single process at the end of 2012. </w:t>
      </w:r>
      <w:r w:rsidR="00FC0652">
        <w:rPr>
          <w:rFonts w:ascii="Times New Roman" w:eastAsia="Times New Roman" w:hAnsi="Times New Roman" w:cs="Times New Roman"/>
          <w:sz w:val="24"/>
          <w:szCs w:val="24"/>
          <w:lang w:eastAsia="en-AU"/>
        </w:rPr>
        <w:t>This declaration</w:t>
      </w:r>
      <w:r>
        <w:rPr>
          <w:rFonts w:ascii="Times New Roman" w:eastAsia="Times New Roman" w:hAnsi="Times New Roman" w:cs="Times New Roman"/>
          <w:sz w:val="24"/>
          <w:szCs w:val="24"/>
          <w:lang w:eastAsia="en-AU"/>
        </w:rPr>
        <w:t xml:space="preserve"> formally initiate</w:t>
      </w:r>
      <w:r w:rsidR="00FC0652">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re-allocation process</w:t>
      </w:r>
      <w:r w:rsidR="00FC0652">
        <w:rPr>
          <w:rFonts w:ascii="Times New Roman" w:eastAsia="Times New Roman" w:hAnsi="Times New Roman" w:cs="Times New Roman"/>
          <w:sz w:val="24"/>
          <w:szCs w:val="24"/>
          <w:lang w:eastAsia="en-AU"/>
        </w:rPr>
        <w:t xml:space="preserve"> for the 2.5 GHz band, paving the way for the auction of the spectrum</w:t>
      </w:r>
      <w:r>
        <w:rPr>
          <w:rFonts w:ascii="Times New Roman" w:eastAsia="Times New Roman" w:hAnsi="Times New Roman" w:cs="Times New Roman"/>
          <w:sz w:val="24"/>
          <w:szCs w:val="24"/>
          <w:lang w:eastAsia="en-AU"/>
        </w:rPr>
        <w:t>.</w:t>
      </w:r>
    </w:p>
    <w:p w:rsidR="00312169" w:rsidRDefault="00312169" w:rsidP="0027656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2.5 GHz band is currently almost exclusively licensed to the three commercial free-to-air television broadcasters and the Australian Broadcasting Corporation </w:t>
      </w:r>
      <w:r w:rsidR="0027656F">
        <w:rPr>
          <w:rFonts w:ascii="Times New Roman" w:eastAsia="Times New Roman" w:hAnsi="Times New Roman" w:cs="Times New Roman"/>
          <w:sz w:val="24"/>
          <w:szCs w:val="24"/>
          <w:lang w:eastAsia="en-AU"/>
        </w:rPr>
        <w:t xml:space="preserve">(ABC) to facilitate </w:t>
      </w:r>
      <w:r w:rsidR="0027656F" w:rsidRPr="003B17B5">
        <w:rPr>
          <w:rFonts w:ascii="Times New Roman" w:eastAsia="Times New Roman" w:hAnsi="Times New Roman" w:cs="Times New Roman"/>
          <w:sz w:val="24"/>
          <w:szCs w:val="24"/>
          <w:lang w:eastAsia="en-AU"/>
        </w:rPr>
        <w:t>television broadcasting coverage of an event remotely loc</w:t>
      </w:r>
      <w:r w:rsidR="0027656F">
        <w:rPr>
          <w:rFonts w:ascii="Times New Roman" w:eastAsia="Times New Roman" w:hAnsi="Times New Roman" w:cs="Times New Roman"/>
          <w:sz w:val="24"/>
          <w:szCs w:val="24"/>
          <w:lang w:eastAsia="en-AU"/>
        </w:rPr>
        <w:t xml:space="preserve">ated from a broadcasting studio (also known as outside broadcasting). This includes </w:t>
      </w:r>
      <w:r w:rsidR="0027656F" w:rsidRPr="006772BC">
        <w:rPr>
          <w:rFonts w:ascii="Times New Roman" w:eastAsia="Times New Roman" w:hAnsi="Times New Roman" w:cs="Times New Roman"/>
          <w:sz w:val="24"/>
          <w:szCs w:val="24"/>
          <w:lang w:eastAsia="en-AU"/>
        </w:rPr>
        <w:t xml:space="preserve">electronic news gathering (ENG). </w:t>
      </w:r>
      <w:r w:rsidR="00706ADB" w:rsidRPr="0054317C">
        <w:rPr>
          <w:rFonts w:ascii="Times New Roman" w:eastAsia="Times New Roman" w:hAnsi="Times New Roman" w:cs="Times New Roman"/>
          <w:sz w:val="24"/>
          <w:szCs w:val="24"/>
          <w:lang w:eastAsia="en-AU"/>
        </w:rPr>
        <w:t>The parts of the spectrum specified in th</w:t>
      </w:r>
      <w:r w:rsidR="00706ADB">
        <w:rPr>
          <w:rFonts w:ascii="Times New Roman" w:eastAsia="Times New Roman" w:hAnsi="Times New Roman" w:cs="Times New Roman"/>
          <w:sz w:val="24"/>
          <w:szCs w:val="24"/>
          <w:lang w:eastAsia="en-AU"/>
        </w:rPr>
        <w:t xml:space="preserve">is </w:t>
      </w:r>
      <w:r w:rsidR="00706ADB" w:rsidRPr="0054317C">
        <w:rPr>
          <w:rFonts w:ascii="Times New Roman" w:eastAsia="Times New Roman" w:hAnsi="Times New Roman" w:cs="Times New Roman"/>
          <w:sz w:val="24"/>
          <w:szCs w:val="24"/>
          <w:lang w:eastAsia="en-AU"/>
        </w:rPr>
        <w:t xml:space="preserve">declaration are to be re-allocated to allow for new uses, such as Wireless Access Services (WAS). </w:t>
      </w:r>
      <w:r w:rsidR="00464D6B">
        <w:rPr>
          <w:rFonts w:ascii="Times New Roman" w:eastAsia="Times New Roman" w:hAnsi="Times New Roman" w:cs="Times New Roman"/>
          <w:sz w:val="24"/>
          <w:szCs w:val="24"/>
          <w:lang w:eastAsia="en-AU"/>
        </w:rPr>
        <w:t xml:space="preserve">The demand for WAS is growing, both nationally and globally, in response to technological advancements and consumer expectations. </w:t>
      </w:r>
    </w:p>
    <w:p w:rsidR="00706ADB" w:rsidRDefault="00312169" w:rsidP="00706AD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Government’s goal in re-allocating the spectrum is to maximise the overall public benefit derived from the use of that spectrum. </w:t>
      </w:r>
      <w:r w:rsidR="00706ADB">
        <w:rPr>
          <w:rFonts w:ascii="Times New Roman" w:eastAsia="Times New Roman" w:hAnsi="Times New Roman" w:cs="Times New Roman"/>
          <w:sz w:val="24"/>
          <w:szCs w:val="24"/>
          <w:lang w:eastAsia="en-AU"/>
        </w:rPr>
        <w:t>The re</w:t>
      </w:r>
      <w:r>
        <w:rPr>
          <w:rFonts w:ascii="Times New Roman" w:eastAsia="Times New Roman" w:hAnsi="Times New Roman" w:cs="Times New Roman"/>
          <w:sz w:val="24"/>
          <w:szCs w:val="24"/>
          <w:lang w:eastAsia="en-AU"/>
        </w:rPr>
        <w:t>-</w:t>
      </w:r>
      <w:r w:rsidR="00706ADB">
        <w:rPr>
          <w:rFonts w:ascii="Times New Roman" w:eastAsia="Times New Roman" w:hAnsi="Times New Roman" w:cs="Times New Roman"/>
          <w:sz w:val="24"/>
          <w:szCs w:val="24"/>
          <w:lang w:eastAsia="en-AU"/>
        </w:rPr>
        <w:t>allocation of this spectrum promises benefits to business, consumers and the broader Australian community and economy in the form of service improvements, greater connectivity and productivity gains.</w:t>
      </w:r>
      <w:r w:rsidR="00706ADB" w:rsidRPr="00203852">
        <w:rPr>
          <w:rFonts w:ascii="Times New Roman" w:eastAsia="Times New Roman" w:hAnsi="Times New Roman" w:cs="Times New Roman"/>
          <w:sz w:val="24"/>
          <w:szCs w:val="24"/>
          <w:lang w:eastAsia="en-AU"/>
        </w:rPr>
        <w:t xml:space="preserve"> </w:t>
      </w:r>
    </w:p>
    <w:p w:rsidR="00706ADB" w:rsidRDefault="00706ADB" w:rsidP="00706ADB">
      <w:pPr>
        <w:pStyle w:val="NormalWeb"/>
        <w:spacing w:after="120" w:afterAutospacing="0"/>
      </w:pPr>
      <w:r>
        <w:t xml:space="preserve">In relation to this declaration affecting </w:t>
      </w:r>
      <w:proofErr w:type="gramStart"/>
      <w:r>
        <w:t xml:space="preserve">spectrum </w:t>
      </w:r>
      <w:r w:rsidR="00B04EEC" w:rsidRPr="00B04EEC">
        <w:t xml:space="preserve"> </w:t>
      </w:r>
      <w:r w:rsidR="00B04EEC">
        <w:t>in</w:t>
      </w:r>
      <w:proofErr w:type="gramEnd"/>
      <w:r w:rsidR="00B04EEC">
        <w:t xml:space="preserve"> relation to 2.5 GHz</w:t>
      </w:r>
      <w:r>
        <w:t xml:space="preserve"> band, the ACMA made a recommendation to the Minister on 19 August 2011. </w:t>
      </w:r>
      <w:r w:rsidRPr="00DF331E">
        <w:t>The ACMA recommend</w:t>
      </w:r>
      <w:r>
        <w:t>ed the following</w:t>
      </w:r>
      <w:r w:rsidRPr="00DF331E">
        <w:t>:</w:t>
      </w:r>
    </w:p>
    <w:p w:rsidR="001D777E" w:rsidRPr="00C123CF" w:rsidRDefault="001D777E" w:rsidP="001D777E">
      <w:pPr>
        <w:pStyle w:val="NormalWeb"/>
        <w:numPr>
          <w:ilvl w:val="0"/>
          <w:numId w:val="1"/>
        </w:numPr>
        <w:spacing w:before="0" w:beforeAutospacing="0" w:after="120" w:afterAutospacing="0"/>
        <w:ind w:left="714" w:hanging="357"/>
      </w:pPr>
      <w:r>
        <w:t>t</w:t>
      </w:r>
      <w:r w:rsidRPr="00C123CF">
        <w:t xml:space="preserve">wo </w:t>
      </w:r>
      <w:r>
        <w:t>70</w:t>
      </w:r>
      <w:r w:rsidRPr="00C123CF">
        <w:t xml:space="preserve"> MHz blocks of spectrum, with frequency boundaries </w:t>
      </w:r>
      <w:r>
        <w:t>2500-2570</w:t>
      </w:r>
      <w:r w:rsidRPr="00C123CF">
        <w:t xml:space="preserve"> MHz and </w:t>
      </w:r>
      <w:r>
        <w:t>2620-2690</w:t>
      </w:r>
      <w:r w:rsidRPr="00C123CF">
        <w:t xml:space="preserve"> MHz, </w:t>
      </w:r>
      <w:r>
        <w:t xml:space="preserve">should </w:t>
      </w:r>
      <w:r w:rsidRPr="00C123CF">
        <w:t>be re-allocated nationally, excluding  the Mid West Radio Quiet Zone</w:t>
      </w:r>
      <w:r>
        <w:t>;</w:t>
      </w:r>
    </w:p>
    <w:p w:rsidR="00905E03" w:rsidRDefault="001D777E" w:rsidP="00905E03">
      <w:pPr>
        <w:pStyle w:val="NormalWeb"/>
        <w:numPr>
          <w:ilvl w:val="0"/>
          <w:numId w:val="1"/>
        </w:numPr>
        <w:spacing w:before="0" w:beforeAutospacing="0" w:after="120" w:afterAutospacing="0"/>
        <w:ind w:left="714" w:hanging="357"/>
      </w:pPr>
      <w:r>
        <w:t xml:space="preserve">the </w:t>
      </w:r>
      <w:r w:rsidR="005168C1">
        <w:t>re-allocation</w:t>
      </w:r>
      <w:r>
        <w:t xml:space="preserve"> period should start on 2 November 2011 and should end on</w:t>
      </w:r>
      <w:r w:rsidR="00905E03">
        <w:t>:</w:t>
      </w:r>
      <w:r>
        <w:t xml:space="preserve">              </w:t>
      </w:r>
    </w:p>
    <w:p w:rsidR="00905E03" w:rsidRPr="00905E03" w:rsidRDefault="00905E03" w:rsidP="00905E03">
      <w:pPr>
        <w:pStyle w:val="NormalWeb"/>
        <w:spacing w:before="0" w:beforeAutospacing="0" w:after="120" w:afterAutospacing="0"/>
        <w:ind w:left="714"/>
      </w:pPr>
      <w:r w:rsidRPr="00905E03">
        <w:t>(a) 31 January 2016 for the Perth area</w:t>
      </w:r>
      <w:r>
        <w:t>; and</w:t>
      </w:r>
    </w:p>
    <w:p w:rsidR="001D777E" w:rsidRDefault="00905E03" w:rsidP="00905E03">
      <w:pPr>
        <w:pStyle w:val="NormalWeb"/>
        <w:spacing w:after="120" w:afterAutospacing="0"/>
        <w:ind w:left="714"/>
      </w:pPr>
      <w:r w:rsidRPr="00E253EA">
        <w:t xml:space="preserve">(b) </w:t>
      </w:r>
      <w:r w:rsidRPr="00905E03">
        <w:rPr>
          <w:bCs/>
        </w:rPr>
        <w:t>30</w:t>
      </w:r>
      <w:r w:rsidRPr="00905E03">
        <w:t xml:space="preserve"> </w:t>
      </w:r>
      <w:r w:rsidRPr="00905E03">
        <w:rPr>
          <w:bCs/>
        </w:rPr>
        <w:t>September 2014</w:t>
      </w:r>
      <w:r w:rsidRPr="00E253EA">
        <w:t xml:space="preserve"> f</w:t>
      </w:r>
      <w:r>
        <w:t>or all other parts of Australia</w:t>
      </w:r>
      <w:r w:rsidR="001D777E">
        <w:t>;</w:t>
      </w:r>
    </w:p>
    <w:p w:rsidR="001D777E" w:rsidRDefault="001D777E" w:rsidP="001D777E">
      <w:pPr>
        <w:pStyle w:val="NormalWeb"/>
        <w:numPr>
          <w:ilvl w:val="0"/>
          <w:numId w:val="1"/>
        </w:numPr>
        <w:spacing w:after="120" w:afterAutospacing="0"/>
        <w:ind w:left="714" w:hanging="357"/>
      </w:pPr>
      <w:r>
        <w:t xml:space="preserve">the re-allocation deadline should be </w:t>
      </w:r>
      <w:r w:rsidR="00905E03">
        <w:t>30 September</w:t>
      </w:r>
      <w:r>
        <w:t xml:space="preserve"> 2013; and</w:t>
      </w:r>
    </w:p>
    <w:p w:rsidR="001D777E" w:rsidRDefault="001D777E" w:rsidP="001D777E">
      <w:pPr>
        <w:pStyle w:val="NormalWeb"/>
        <w:numPr>
          <w:ilvl w:val="0"/>
          <w:numId w:val="1"/>
        </w:numPr>
        <w:spacing w:after="240" w:afterAutospacing="0"/>
        <w:ind w:left="714" w:hanging="357"/>
      </w:pPr>
      <w:r>
        <w:t xml:space="preserve">Spectrum licensing should apply. </w:t>
      </w:r>
    </w:p>
    <w:p w:rsidR="00074580" w:rsidRPr="00074580" w:rsidRDefault="00074580" w:rsidP="00074580">
      <w:pPr>
        <w:spacing w:before="100" w:beforeAutospacing="1" w:after="100" w:afterAutospacing="1"/>
        <w:rPr>
          <w:rFonts w:ascii="Times New Roman" w:eastAsia="Times New Roman" w:hAnsi="Times New Roman" w:cs="Times New Roman"/>
          <w:sz w:val="24"/>
          <w:szCs w:val="24"/>
          <w:lang w:eastAsia="en-AU"/>
        </w:rPr>
      </w:pPr>
      <w:r w:rsidRPr="00074580">
        <w:rPr>
          <w:rFonts w:ascii="Times New Roman" w:eastAsia="Times New Roman" w:hAnsi="Times New Roman" w:cs="Times New Roman"/>
          <w:sz w:val="24"/>
          <w:szCs w:val="24"/>
          <w:lang w:eastAsia="en-AU"/>
        </w:rPr>
        <w:t>Spectrum licensing will apply to the spectrum being re-allocated. Spectrum licensing is considered to be the option most likely to ensure the efficient allocation and use of the spectrum and to provide licensees with the flexibility and security of tenure needed to encourage investment in infrastructure.</w:t>
      </w:r>
    </w:p>
    <w:p w:rsidR="006F5CC7" w:rsidRDefault="006F5CC7" w:rsidP="006F5CC7">
      <w:pPr>
        <w:pStyle w:val="NormalWeb"/>
      </w:pPr>
      <w:r>
        <w:t>The ACMA undertook a review of the 2.5 GHz band during 2010. It released the discussion paper</w:t>
      </w:r>
      <w:r w:rsidR="00330AFF">
        <w:t xml:space="preserve"> titled </w:t>
      </w:r>
      <w:r w:rsidR="00330AFF" w:rsidRPr="00445507">
        <w:rPr>
          <w:i/>
        </w:rPr>
        <w:t>Review of the 2.5GHz band and long term arrangements for ENG</w:t>
      </w:r>
      <w:r w:rsidR="0013364D">
        <w:t xml:space="preserve"> </w:t>
      </w:r>
      <w:r>
        <w:t>seeking public comment on a range of options for future licensing arrangements, planning and pricing for the 2.5 GHz band. The purpose of this review was to align the use of the band with its highest value use and identify long-term arrangements for existing ENG services. This paper generated 42 submissions during the consultation period which closed on 12 March 2010. The ACMA released a</w:t>
      </w:r>
      <w:r w:rsidR="00330AFF">
        <w:t xml:space="preserve"> Response to Submissions</w:t>
      </w:r>
      <w:r w:rsidR="0013364D">
        <w:t xml:space="preserve"> </w:t>
      </w:r>
      <w:r>
        <w:t>paper on 21 October 2010.</w:t>
      </w:r>
      <w:r w:rsidR="00445507">
        <w:t xml:space="preserve"> Both papers have been published on the ACMA website at www.acma.gov.au.</w:t>
      </w:r>
      <w:r>
        <w:t xml:space="preserve"> </w:t>
      </w:r>
    </w:p>
    <w:p w:rsidR="001D222A" w:rsidRPr="001D222A" w:rsidRDefault="001D222A" w:rsidP="001D222A">
      <w:pPr>
        <w:rPr>
          <w:rFonts w:ascii="Times New Roman" w:hAnsi="Times New Roman" w:cs="Times New Roman"/>
          <w:sz w:val="24"/>
          <w:szCs w:val="24"/>
        </w:rPr>
      </w:pPr>
      <w:r w:rsidRPr="001D222A">
        <w:rPr>
          <w:rFonts w:ascii="Times New Roman" w:hAnsi="Times New Roman" w:cs="Times New Roman"/>
          <w:sz w:val="24"/>
          <w:szCs w:val="24"/>
        </w:rPr>
        <w:t>The ACMA undertook consultation with affected apparatus licensees and the public as required under section 153G of the Act from 2</w:t>
      </w:r>
      <w:r>
        <w:rPr>
          <w:rFonts w:ascii="Times New Roman" w:hAnsi="Times New Roman" w:cs="Times New Roman"/>
          <w:sz w:val="24"/>
          <w:szCs w:val="24"/>
        </w:rPr>
        <w:t>8</w:t>
      </w:r>
      <w:r w:rsidRPr="001D222A">
        <w:rPr>
          <w:rFonts w:ascii="Times New Roman" w:hAnsi="Times New Roman" w:cs="Times New Roman"/>
          <w:sz w:val="24"/>
          <w:szCs w:val="24"/>
        </w:rPr>
        <w:t xml:space="preserve"> May 2011 to 15 July 2011. N</w:t>
      </w:r>
      <w:r w:rsidR="00FC54A1">
        <w:rPr>
          <w:rFonts w:ascii="Times New Roman" w:hAnsi="Times New Roman" w:cs="Times New Roman"/>
          <w:sz w:val="24"/>
          <w:szCs w:val="24"/>
        </w:rPr>
        <w:t>ine submissions were received</w:t>
      </w:r>
      <w:r w:rsidRPr="001D222A">
        <w:rPr>
          <w:rFonts w:ascii="Times New Roman" w:hAnsi="Times New Roman" w:cs="Times New Roman"/>
          <w:sz w:val="24"/>
          <w:szCs w:val="24"/>
        </w:rPr>
        <w:t>.</w:t>
      </w:r>
      <w:r w:rsidR="0092567D">
        <w:rPr>
          <w:rFonts w:ascii="Times New Roman" w:hAnsi="Times New Roman" w:cs="Times New Roman"/>
          <w:sz w:val="24"/>
          <w:szCs w:val="24"/>
        </w:rPr>
        <w:t xml:space="preserve"> These have been published on the ACMA website at www.acma.gov.au.</w:t>
      </w:r>
      <w:r w:rsidRPr="001D222A">
        <w:rPr>
          <w:rFonts w:ascii="Times New Roman" w:hAnsi="Times New Roman" w:cs="Times New Roman"/>
          <w:sz w:val="24"/>
          <w:szCs w:val="24"/>
        </w:rPr>
        <w:t xml:space="preserve"> The ACMA had regard to </w:t>
      </w:r>
      <w:r>
        <w:rPr>
          <w:rFonts w:ascii="Times New Roman" w:hAnsi="Times New Roman" w:cs="Times New Roman"/>
          <w:sz w:val="24"/>
          <w:szCs w:val="24"/>
        </w:rPr>
        <w:t xml:space="preserve">the </w:t>
      </w:r>
      <w:r w:rsidRPr="001D222A">
        <w:rPr>
          <w:rFonts w:ascii="Times New Roman" w:hAnsi="Times New Roman" w:cs="Times New Roman"/>
          <w:sz w:val="24"/>
          <w:szCs w:val="24"/>
        </w:rPr>
        <w:t xml:space="preserve">comments </w:t>
      </w:r>
      <w:r>
        <w:rPr>
          <w:rFonts w:ascii="Times New Roman" w:hAnsi="Times New Roman" w:cs="Times New Roman"/>
          <w:sz w:val="24"/>
          <w:szCs w:val="24"/>
        </w:rPr>
        <w:t xml:space="preserve">made </w:t>
      </w:r>
      <w:r w:rsidRPr="001D222A">
        <w:rPr>
          <w:rFonts w:ascii="Times New Roman" w:hAnsi="Times New Roman" w:cs="Times New Roman"/>
          <w:sz w:val="24"/>
          <w:szCs w:val="24"/>
        </w:rPr>
        <w:t>when deve</w:t>
      </w:r>
      <w:r w:rsidR="005A5A8B">
        <w:rPr>
          <w:rFonts w:ascii="Times New Roman" w:hAnsi="Times New Roman" w:cs="Times New Roman"/>
          <w:sz w:val="24"/>
          <w:szCs w:val="24"/>
        </w:rPr>
        <w:t>loping its final recommendation</w:t>
      </w:r>
      <w:r w:rsidRPr="001D222A">
        <w:rPr>
          <w:rFonts w:ascii="Times New Roman" w:hAnsi="Times New Roman" w:cs="Times New Roman"/>
          <w:sz w:val="24"/>
          <w:szCs w:val="24"/>
        </w:rPr>
        <w:t xml:space="preserve"> to the Minister. </w:t>
      </w:r>
    </w:p>
    <w:p w:rsidR="0013364D" w:rsidRDefault="00706ADB" w:rsidP="00706ADB">
      <w:pPr>
        <w:rPr>
          <w:rFonts w:ascii="Times New Roman" w:eastAsia="Times New Roman" w:hAnsi="Times New Roman" w:cs="Times New Roman"/>
          <w:sz w:val="24"/>
          <w:szCs w:val="24"/>
          <w:lang w:eastAsia="en-AU"/>
        </w:rPr>
      </w:pPr>
      <w:r w:rsidRPr="00706ADB">
        <w:rPr>
          <w:rFonts w:ascii="Times New Roman" w:eastAsia="Times New Roman" w:hAnsi="Times New Roman" w:cs="Times New Roman"/>
          <w:sz w:val="24"/>
          <w:szCs w:val="24"/>
          <w:lang w:eastAsia="en-AU"/>
        </w:rPr>
        <w:lastRenderedPageBreak/>
        <w:t>A regulation impact statement</w:t>
      </w:r>
      <w:r w:rsidR="0092567D">
        <w:rPr>
          <w:rFonts w:ascii="Times New Roman" w:eastAsia="Times New Roman" w:hAnsi="Times New Roman" w:cs="Times New Roman"/>
          <w:sz w:val="24"/>
          <w:szCs w:val="24"/>
          <w:lang w:eastAsia="en-AU"/>
        </w:rPr>
        <w:t xml:space="preserve"> (RIS)</w:t>
      </w:r>
      <w:r w:rsidR="00330AFF">
        <w:rPr>
          <w:rFonts w:ascii="Times New Roman" w:eastAsia="Times New Roman" w:hAnsi="Times New Roman" w:cs="Times New Roman"/>
          <w:sz w:val="24"/>
          <w:szCs w:val="24"/>
          <w:lang w:eastAsia="en-AU"/>
        </w:rPr>
        <w:t xml:space="preserve"> titled</w:t>
      </w:r>
      <w:r w:rsidRPr="00706ADB">
        <w:rPr>
          <w:rFonts w:ascii="Times New Roman" w:eastAsia="Times New Roman" w:hAnsi="Times New Roman" w:cs="Times New Roman"/>
          <w:sz w:val="24"/>
          <w:szCs w:val="24"/>
          <w:lang w:eastAsia="en-AU"/>
        </w:rPr>
        <w:t xml:space="preserve"> </w:t>
      </w:r>
      <w:r w:rsidRPr="00706ADB">
        <w:rPr>
          <w:rFonts w:ascii="Times New Roman" w:eastAsia="Times New Roman" w:hAnsi="Times New Roman" w:cs="Times New Roman"/>
          <w:i/>
          <w:sz w:val="24"/>
          <w:szCs w:val="24"/>
          <w:lang w:eastAsia="en-AU"/>
        </w:rPr>
        <w:t>Regulation Impact Statement</w:t>
      </w:r>
      <w:r>
        <w:rPr>
          <w:rFonts w:ascii="Times New Roman" w:eastAsia="Times New Roman" w:hAnsi="Times New Roman" w:cs="Times New Roman"/>
          <w:i/>
          <w:sz w:val="24"/>
          <w:szCs w:val="24"/>
          <w:lang w:eastAsia="en-AU"/>
        </w:rPr>
        <w:t xml:space="preserve">: </w:t>
      </w:r>
      <w:r w:rsidRPr="00706ADB">
        <w:rPr>
          <w:rFonts w:ascii="Times New Roman" w:eastAsia="Times New Roman" w:hAnsi="Times New Roman" w:cs="Times New Roman"/>
          <w:i/>
          <w:sz w:val="24"/>
          <w:szCs w:val="24"/>
          <w:lang w:eastAsia="en-AU"/>
        </w:rPr>
        <w:t>Future arrangements for the 2.5 GHz radiofrequency spectrum band and long-term arrangements for ENG</w:t>
      </w:r>
      <w:r w:rsidRPr="00706ADB">
        <w:rPr>
          <w:rFonts w:ascii="Times New Roman" w:eastAsia="Times New Roman" w:hAnsi="Times New Roman" w:cs="Times New Roman"/>
          <w:sz w:val="24"/>
          <w:szCs w:val="24"/>
          <w:lang w:eastAsia="en-AU"/>
        </w:rPr>
        <w:t xml:space="preserve"> </w:t>
      </w:r>
      <w:proofErr w:type="gramStart"/>
      <w:r w:rsidRPr="00706ADB">
        <w:rPr>
          <w:rFonts w:ascii="Times New Roman" w:eastAsia="Times New Roman" w:hAnsi="Times New Roman" w:cs="Times New Roman"/>
          <w:sz w:val="24"/>
          <w:szCs w:val="24"/>
          <w:lang w:eastAsia="en-AU"/>
        </w:rPr>
        <w:t>was</w:t>
      </w:r>
      <w:proofErr w:type="gramEnd"/>
      <w:r w:rsidRPr="00706ADB">
        <w:rPr>
          <w:rFonts w:ascii="Times New Roman" w:eastAsia="Times New Roman" w:hAnsi="Times New Roman" w:cs="Times New Roman"/>
          <w:sz w:val="24"/>
          <w:szCs w:val="24"/>
          <w:lang w:eastAsia="en-AU"/>
        </w:rPr>
        <w:t xml:space="preserve"> prepared by the ACMA </w:t>
      </w:r>
      <w:r w:rsidR="0013364D">
        <w:rPr>
          <w:rFonts w:ascii="Times New Roman" w:eastAsia="Times New Roman" w:hAnsi="Times New Roman" w:cs="Times New Roman"/>
          <w:sz w:val="24"/>
          <w:szCs w:val="24"/>
          <w:lang w:eastAsia="en-AU"/>
        </w:rPr>
        <w:t xml:space="preserve">to inform its decision-making </w:t>
      </w:r>
      <w:r w:rsidR="007F37B4">
        <w:rPr>
          <w:rFonts w:ascii="Times New Roman" w:eastAsia="Times New Roman" w:hAnsi="Times New Roman" w:cs="Times New Roman"/>
          <w:sz w:val="24"/>
          <w:szCs w:val="24"/>
          <w:lang w:eastAsia="en-AU"/>
        </w:rPr>
        <w:t xml:space="preserve">when making </w:t>
      </w:r>
      <w:r w:rsidR="0013364D">
        <w:rPr>
          <w:rFonts w:ascii="Times New Roman" w:eastAsia="Times New Roman" w:hAnsi="Times New Roman" w:cs="Times New Roman"/>
          <w:sz w:val="24"/>
          <w:szCs w:val="24"/>
          <w:lang w:eastAsia="en-AU"/>
        </w:rPr>
        <w:t>the recommendation to the Minister</w:t>
      </w:r>
      <w:r w:rsidR="0092567D">
        <w:rPr>
          <w:rFonts w:ascii="Times New Roman" w:eastAsia="Times New Roman" w:hAnsi="Times New Roman" w:cs="Times New Roman"/>
          <w:sz w:val="24"/>
          <w:szCs w:val="24"/>
          <w:lang w:eastAsia="en-AU"/>
        </w:rPr>
        <w:t>. The RIS</w:t>
      </w:r>
      <w:r w:rsidRPr="00706ADB">
        <w:rPr>
          <w:rFonts w:ascii="Times New Roman" w:eastAsia="Times New Roman" w:hAnsi="Times New Roman" w:cs="Times New Roman"/>
          <w:sz w:val="24"/>
          <w:szCs w:val="24"/>
          <w:lang w:eastAsia="en-AU"/>
        </w:rPr>
        <w:t xml:space="preserve"> has been published on the Office of Best Practice Regulation website</w:t>
      </w:r>
      <w:r w:rsidR="007F37B4">
        <w:rPr>
          <w:rFonts w:ascii="Times New Roman" w:eastAsia="Times New Roman" w:hAnsi="Times New Roman" w:cs="Times New Roman"/>
          <w:sz w:val="24"/>
          <w:szCs w:val="24"/>
          <w:lang w:eastAsia="en-AU"/>
        </w:rPr>
        <w:t xml:space="preserve"> at www.obpr.gov.au</w:t>
      </w:r>
      <w:r w:rsidR="00330AFF">
        <w:rPr>
          <w:rFonts w:ascii="Times New Roman" w:eastAsia="Times New Roman" w:hAnsi="Times New Roman" w:cs="Times New Roman"/>
          <w:sz w:val="24"/>
          <w:szCs w:val="24"/>
          <w:lang w:eastAsia="en-AU"/>
        </w:rPr>
        <w:t>.</w:t>
      </w:r>
    </w:p>
    <w:p w:rsidR="00FC460F" w:rsidRPr="004C2AB6" w:rsidRDefault="00FC460F" w:rsidP="00706ADB">
      <w:pPr>
        <w:rPr>
          <w:rFonts w:ascii="Times New Roman" w:hAnsi="Times New Roman" w:cs="Times New Roman"/>
          <w:b/>
          <w:sz w:val="24"/>
          <w:szCs w:val="24"/>
        </w:rPr>
      </w:pPr>
      <w:r w:rsidRPr="004C2AB6">
        <w:rPr>
          <w:rFonts w:ascii="Times New Roman" w:hAnsi="Times New Roman" w:cs="Times New Roman"/>
          <w:b/>
          <w:sz w:val="24"/>
          <w:szCs w:val="24"/>
        </w:rPr>
        <w:t xml:space="preserve">Notes on </w:t>
      </w:r>
      <w:r w:rsidR="007F7B4B" w:rsidRPr="004C2AB6">
        <w:rPr>
          <w:rFonts w:ascii="Times New Roman" w:hAnsi="Times New Roman" w:cs="Times New Roman"/>
          <w:b/>
          <w:sz w:val="24"/>
          <w:szCs w:val="24"/>
        </w:rPr>
        <w:t>Clauses</w:t>
      </w:r>
    </w:p>
    <w:p w:rsidR="00A649B4" w:rsidRPr="006772BC" w:rsidRDefault="00A649B4" w:rsidP="0016340D">
      <w:pPr>
        <w:pStyle w:val="BodyText"/>
        <w:keepNext/>
        <w:spacing w:after="240"/>
        <w:rPr>
          <w:b/>
        </w:rPr>
      </w:pPr>
      <w:r w:rsidRPr="006772BC">
        <w:rPr>
          <w:b/>
        </w:rPr>
        <w:t>Clause 1</w:t>
      </w:r>
    </w:p>
    <w:p w:rsidR="00AA0F29" w:rsidRPr="006772BC" w:rsidRDefault="00A649B4" w:rsidP="0016340D">
      <w:pPr>
        <w:pStyle w:val="BodyText"/>
        <w:spacing w:after="240"/>
      </w:pPr>
      <w:r w:rsidRPr="006772BC">
        <w:t xml:space="preserve">Clause 1 provides for the citation of the </w:t>
      </w:r>
      <w:r w:rsidR="00692FD8" w:rsidRPr="006772BC">
        <w:t xml:space="preserve">Declaration </w:t>
      </w:r>
      <w:r w:rsidRPr="006772BC">
        <w:t xml:space="preserve">as the </w:t>
      </w:r>
      <w:proofErr w:type="spellStart"/>
      <w:r w:rsidRPr="006772BC">
        <w:rPr>
          <w:i/>
        </w:rPr>
        <w:t>Radiocommunications</w:t>
      </w:r>
      <w:proofErr w:type="spellEnd"/>
      <w:r w:rsidRPr="006772BC">
        <w:rPr>
          <w:i/>
        </w:rPr>
        <w:t xml:space="preserve"> (Spectrum </w:t>
      </w:r>
      <w:r w:rsidR="00692FD8" w:rsidRPr="006772BC">
        <w:rPr>
          <w:i/>
        </w:rPr>
        <w:t>Re-allocation</w:t>
      </w:r>
      <w:r w:rsidRPr="006772BC">
        <w:rPr>
          <w:i/>
        </w:rPr>
        <w:t xml:space="preserve">) </w:t>
      </w:r>
      <w:r w:rsidR="00692FD8" w:rsidRPr="006772BC">
        <w:rPr>
          <w:i/>
        </w:rPr>
        <w:t>Declaration</w:t>
      </w:r>
      <w:r w:rsidR="009C3668">
        <w:rPr>
          <w:i/>
        </w:rPr>
        <w:t xml:space="preserve"> No. 2</w:t>
      </w:r>
      <w:r w:rsidRPr="006772BC">
        <w:rPr>
          <w:i/>
        </w:rPr>
        <w:t xml:space="preserve"> of 2011</w:t>
      </w:r>
      <w:r w:rsidRPr="006772BC">
        <w:t>.</w:t>
      </w:r>
    </w:p>
    <w:p w:rsidR="00A649B4" w:rsidRPr="006772BC" w:rsidRDefault="00A649B4" w:rsidP="007F7B4B">
      <w:pPr>
        <w:keepNext/>
        <w:rPr>
          <w:rFonts w:ascii="Times New Roman" w:hAnsi="Times New Roman" w:cs="Times New Roman"/>
          <w:b/>
          <w:sz w:val="24"/>
          <w:szCs w:val="24"/>
        </w:rPr>
      </w:pPr>
      <w:r w:rsidRPr="006772BC">
        <w:rPr>
          <w:rFonts w:ascii="Times New Roman" w:hAnsi="Times New Roman" w:cs="Times New Roman"/>
          <w:b/>
          <w:sz w:val="24"/>
          <w:szCs w:val="24"/>
        </w:rPr>
        <w:t>Clause 2</w:t>
      </w:r>
    </w:p>
    <w:p w:rsidR="00692FD8" w:rsidRPr="006772BC" w:rsidRDefault="00692FD8">
      <w:pPr>
        <w:rPr>
          <w:rFonts w:ascii="Times New Roman" w:hAnsi="Times New Roman" w:cs="Times New Roman"/>
          <w:sz w:val="24"/>
          <w:szCs w:val="24"/>
        </w:rPr>
      </w:pPr>
      <w:r w:rsidRPr="006772BC">
        <w:rPr>
          <w:rFonts w:ascii="Times New Roman" w:hAnsi="Times New Roman" w:cs="Times New Roman"/>
          <w:sz w:val="24"/>
          <w:szCs w:val="24"/>
        </w:rPr>
        <w:t>Clause 2 provides that the Declaration will commence on the day</w:t>
      </w:r>
      <w:r w:rsidR="009C3668">
        <w:rPr>
          <w:rFonts w:ascii="Times New Roman" w:hAnsi="Times New Roman" w:cs="Times New Roman"/>
          <w:sz w:val="24"/>
          <w:szCs w:val="24"/>
        </w:rPr>
        <w:t xml:space="preserve"> after</w:t>
      </w:r>
      <w:r w:rsidRPr="006772BC">
        <w:rPr>
          <w:rFonts w:ascii="Times New Roman" w:hAnsi="Times New Roman" w:cs="Times New Roman"/>
          <w:sz w:val="24"/>
          <w:szCs w:val="24"/>
        </w:rPr>
        <w:t xml:space="preserve"> it is registered on the Federal Register of Legislative Instruments.</w:t>
      </w:r>
    </w:p>
    <w:p w:rsidR="00A649B4" w:rsidRPr="006772BC" w:rsidRDefault="00A649B4" w:rsidP="007F7B4B">
      <w:pPr>
        <w:keepNext/>
        <w:rPr>
          <w:rFonts w:ascii="Times New Roman" w:hAnsi="Times New Roman" w:cs="Times New Roman"/>
          <w:b/>
          <w:sz w:val="24"/>
          <w:szCs w:val="24"/>
        </w:rPr>
      </w:pPr>
      <w:r w:rsidRPr="006772BC">
        <w:rPr>
          <w:rFonts w:ascii="Times New Roman" w:hAnsi="Times New Roman" w:cs="Times New Roman"/>
          <w:b/>
          <w:sz w:val="24"/>
          <w:szCs w:val="24"/>
        </w:rPr>
        <w:t>Clause 3</w:t>
      </w:r>
    </w:p>
    <w:p w:rsidR="00692FD8" w:rsidRPr="006772BC" w:rsidRDefault="00692FD8">
      <w:pPr>
        <w:rPr>
          <w:rFonts w:ascii="Times New Roman" w:hAnsi="Times New Roman" w:cs="Times New Roman"/>
          <w:sz w:val="24"/>
          <w:szCs w:val="24"/>
        </w:rPr>
      </w:pPr>
      <w:r w:rsidRPr="006772BC">
        <w:rPr>
          <w:rFonts w:ascii="Times New Roman" w:hAnsi="Times New Roman" w:cs="Times New Roman"/>
          <w:sz w:val="24"/>
          <w:szCs w:val="24"/>
        </w:rPr>
        <w:t>Clause 3 sets out a number of definitions for the purpose of the Declaration.</w:t>
      </w:r>
    </w:p>
    <w:p w:rsidR="00692FD8" w:rsidRPr="006772BC" w:rsidRDefault="00692FD8">
      <w:pPr>
        <w:rPr>
          <w:rFonts w:ascii="Times New Roman" w:hAnsi="Times New Roman" w:cs="Times New Roman"/>
          <w:sz w:val="24"/>
          <w:szCs w:val="24"/>
        </w:rPr>
      </w:pPr>
      <w:r w:rsidRPr="006772BC">
        <w:rPr>
          <w:rFonts w:ascii="Times New Roman" w:hAnsi="Times New Roman" w:cs="Times New Roman"/>
          <w:sz w:val="24"/>
          <w:szCs w:val="24"/>
        </w:rPr>
        <w:t xml:space="preserve">‘Act’ is defined to mean the </w:t>
      </w:r>
      <w:proofErr w:type="spellStart"/>
      <w:r w:rsidRPr="006772BC">
        <w:rPr>
          <w:rFonts w:ascii="Times New Roman" w:hAnsi="Times New Roman" w:cs="Times New Roman"/>
          <w:i/>
          <w:sz w:val="24"/>
          <w:szCs w:val="24"/>
        </w:rPr>
        <w:t>Radiocommunications</w:t>
      </w:r>
      <w:proofErr w:type="spellEnd"/>
      <w:r w:rsidRPr="006772BC">
        <w:rPr>
          <w:rFonts w:ascii="Times New Roman" w:hAnsi="Times New Roman" w:cs="Times New Roman"/>
          <w:i/>
          <w:sz w:val="24"/>
          <w:szCs w:val="24"/>
        </w:rPr>
        <w:t xml:space="preserve"> Act 1992</w:t>
      </w:r>
      <w:r w:rsidRPr="006772BC">
        <w:rPr>
          <w:rFonts w:ascii="Times New Roman" w:hAnsi="Times New Roman" w:cs="Times New Roman"/>
          <w:sz w:val="24"/>
          <w:szCs w:val="24"/>
        </w:rPr>
        <w:t xml:space="preserve">. </w:t>
      </w:r>
    </w:p>
    <w:p w:rsidR="00C61B93" w:rsidRDefault="00C61B93" w:rsidP="00C61B93">
      <w:pPr>
        <w:rPr>
          <w:rFonts w:ascii="Times New Roman" w:hAnsi="Times New Roman" w:cs="Times New Roman"/>
          <w:sz w:val="24"/>
          <w:szCs w:val="24"/>
        </w:rPr>
      </w:pPr>
      <w:r>
        <w:rPr>
          <w:rFonts w:ascii="Times New Roman" w:hAnsi="Times New Roman" w:cs="Times New Roman"/>
          <w:sz w:val="24"/>
          <w:szCs w:val="24"/>
        </w:rPr>
        <w:t>‘Mid West Radio Quiet Zone’ (RQZ) is defined by reference to the geographic coordinates set out in Table B of the Schedule.</w:t>
      </w:r>
    </w:p>
    <w:p w:rsidR="00C61B93" w:rsidRPr="006772BC" w:rsidRDefault="00C61B93" w:rsidP="00C61B93">
      <w:pPr>
        <w:rPr>
          <w:rFonts w:ascii="Times New Roman" w:hAnsi="Times New Roman" w:cs="Times New Roman"/>
          <w:sz w:val="24"/>
          <w:szCs w:val="24"/>
        </w:rPr>
      </w:pPr>
      <w:r>
        <w:rPr>
          <w:rFonts w:ascii="Times New Roman" w:hAnsi="Times New Roman" w:cs="Times New Roman"/>
          <w:sz w:val="24"/>
          <w:szCs w:val="24"/>
        </w:rPr>
        <w:t xml:space="preserve">‘National Area’ is defined by reference to the geographic coordinates set out in Table A </w:t>
      </w:r>
      <w:r w:rsidR="002F5B88">
        <w:rPr>
          <w:rFonts w:ascii="Times New Roman" w:hAnsi="Times New Roman" w:cs="Times New Roman"/>
          <w:sz w:val="24"/>
          <w:szCs w:val="24"/>
        </w:rPr>
        <w:t xml:space="preserve">of </w:t>
      </w:r>
      <w:r>
        <w:rPr>
          <w:rFonts w:ascii="Times New Roman" w:hAnsi="Times New Roman" w:cs="Times New Roman"/>
          <w:sz w:val="24"/>
          <w:szCs w:val="24"/>
        </w:rPr>
        <w:t>the Schedule.  The area bounded by the given coordinates encompasses most of Australia, excluding the external territories.</w:t>
      </w:r>
    </w:p>
    <w:p w:rsidR="00B04EEC" w:rsidRPr="006772BC" w:rsidRDefault="00B04EEC" w:rsidP="00B04EEC">
      <w:pPr>
        <w:rPr>
          <w:rFonts w:ascii="Times New Roman" w:hAnsi="Times New Roman" w:cs="Times New Roman"/>
          <w:sz w:val="24"/>
          <w:szCs w:val="24"/>
        </w:rPr>
      </w:pPr>
      <w:r w:rsidRPr="006772BC">
        <w:rPr>
          <w:rFonts w:ascii="Times New Roman" w:hAnsi="Times New Roman" w:cs="Times New Roman"/>
          <w:sz w:val="24"/>
          <w:szCs w:val="24"/>
        </w:rPr>
        <w:t xml:space="preserve">‘Perth Area’ is defined by reference to the geographic coordinates set out in Table </w:t>
      </w:r>
      <w:r>
        <w:rPr>
          <w:rFonts w:ascii="Times New Roman" w:hAnsi="Times New Roman" w:cs="Times New Roman"/>
          <w:sz w:val="24"/>
          <w:szCs w:val="24"/>
        </w:rPr>
        <w:t>B</w:t>
      </w:r>
      <w:r w:rsidRPr="006772BC">
        <w:rPr>
          <w:rFonts w:ascii="Times New Roman" w:hAnsi="Times New Roman" w:cs="Times New Roman"/>
          <w:sz w:val="24"/>
          <w:szCs w:val="24"/>
        </w:rPr>
        <w:t xml:space="preserve"> of the Schedule.</w:t>
      </w:r>
    </w:p>
    <w:p w:rsidR="00692FD8" w:rsidRPr="006772BC" w:rsidRDefault="00692FD8">
      <w:pPr>
        <w:rPr>
          <w:rFonts w:ascii="Times New Roman" w:hAnsi="Times New Roman" w:cs="Times New Roman"/>
          <w:sz w:val="24"/>
          <w:szCs w:val="24"/>
        </w:rPr>
      </w:pPr>
      <w:r w:rsidRPr="006772BC">
        <w:rPr>
          <w:rFonts w:ascii="Times New Roman" w:hAnsi="Times New Roman" w:cs="Times New Roman"/>
          <w:sz w:val="24"/>
          <w:szCs w:val="24"/>
        </w:rPr>
        <w:t xml:space="preserve">The terms ‘re-allocation period’ and </w:t>
      </w:r>
      <w:r w:rsidR="00E14348">
        <w:rPr>
          <w:rFonts w:ascii="Times New Roman" w:hAnsi="Times New Roman" w:cs="Times New Roman"/>
          <w:sz w:val="24"/>
          <w:szCs w:val="24"/>
        </w:rPr>
        <w:t>‘</w:t>
      </w:r>
      <w:r w:rsidRPr="006772BC">
        <w:rPr>
          <w:rFonts w:ascii="Times New Roman" w:hAnsi="Times New Roman" w:cs="Times New Roman"/>
          <w:sz w:val="24"/>
          <w:szCs w:val="24"/>
        </w:rPr>
        <w:t xml:space="preserve">re-allocation deadline’ both </w:t>
      </w:r>
      <w:r w:rsidR="00E36505">
        <w:rPr>
          <w:rFonts w:ascii="Times New Roman" w:hAnsi="Times New Roman" w:cs="Times New Roman"/>
          <w:sz w:val="24"/>
          <w:szCs w:val="24"/>
        </w:rPr>
        <w:t>have</w:t>
      </w:r>
      <w:r w:rsidRPr="006772BC">
        <w:rPr>
          <w:rFonts w:ascii="Times New Roman" w:hAnsi="Times New Roman" w:cs="Times New Roman"/>
          <w:sz w:val="24"/>
          <w:szCs w:val="24"/>
        </w:rPr>
        <w:t xml:space="preserve"> the </w:t>
      </w:r>
      <w:r w:rsidR="00E36505">
        <w:rPr>
          <w:rFonts w:ascii="Times New Roman" w:hAnsi="Times New Roman" w:cs="Times New Roman"/>
          <w:sz w:val="24"/>
          <w:szCs w:val="24"/>
        </w:rPr>
        <w:t xml:space="preserve">same </w:t>
      </w:r>
      <w:r w:rsidRPr="006772BC">
        <w:rPr>
          <w:rFonts w:ascii="Times New Roman" w:hAnsi="Times New Roman" w:cs="Times New Roman"/>
          <w:sz w:val="24"/>
          <w:szCs w:val="24"/>
        </w:rPr>
        <w:t xml:space="preserve">meaning </w:t>
      </w:r>
      <w:r w:rsidR="00E36505">
        <w:rPr>
          <w:rFonts w:ascii="Times New Roman" w:hAnsi="Times New Roman" w:cs="Times New Roman"/>
          <w:sz w:val="24"/>
          <w:szCs w:val="24"/>
        </w:rPr>
        <w:t xml:space="preserve">as in </w:t>
      </w:r>
      <w:r w:rsidRPr="006772BC">
        <w:rPr>
          <w:rFonts w:ascii="Times New Roman" w:hAnsi="Times New Roman" w:cs="Times New Roman"/>
          <w:sz w:val="24"/>
          <w:szCs w:val="24"/>
        </w:rPr>
        <w:t>section 153B of the Act.</w:t>
      </w:r>
    </w:p>
    <w:p w:rsidR="00A649B4" w:rsidRPr="006772BC" w:rsidRDefault="00A649B4" w:rsidP="007F7B4B">
      <w:pPr>
        <w:keepNext/>
        <w:rPr>
          <w:rFonts w:ascii="Times New Roman" w:hAnsi="Times New Roman" w:cs="Times New Roman"/>
          <w:b/>
          <w:sz w:val="24"/>
          <w:szCs w:val="24"/>
        </w:rPr>
      </w:pPr>
      <w:r w:rsidRPr="006772BC">
        <w:rPr>
          <w:rFonts w:ascii="Times New Roman" w:hAnsi="Times New Roman" w:cs="Times New Roman"/>
          <w:b/>
          <w:sz w:val="24"/>
          <w:szCs w:val="24"/>
        </w:rPr>
        <w:t>Clause 4</w:t>
      </w:r>
    </w:p>
    <w:p w:rsidR="00E97EA1" w:rsidRPr="006772BC" w:rsidRDefault="00E97EA1">
      <w:pPr>
        <w:rPr>
          <w:rFonts w:ascii="Times New Roman" w:hAnsi="Times New Roman" w:cs="Times New Roman"/>
          <w:sz w:val="24"/>
          <w:szCs w:val="24"/>
        </w:rPr>
      </w:pPr>
      <w:r w:rsidRPr="006772BC">
        <w:rPr>
          <w:rFonts w:ascii="Times New Roman" w:hAnsi="Times New Roman" w:cs="Times New Roman"/>
          <w:sz w:val="24"/>
          <w:szCs w:val="24"/>
        </w:rPr>
        <w:t xml:space="preserve">Clause 4 sets out the parts of the spectrum that are subject to </w:t>
      </w:r>
      <w:r w:rsidR="00584484">
        <w:rPr>
          <w:rFonts w:ascii="Times New Roman" w:hAnsi="Times New Roman" w:cs="Times New Roman"/>
          <w:sz w:val="24"/>
          <w:szCs w:val="24"/>
        </w:rPr>
        <w:t>re-allocation</w:t>
      </w:r>
      <w:r w:rsidRPr="006772BC">
        <w:rPr>
          <w:rFonts w:ascii="Times New Roman" w:hAnsi="Times New Roman" w:cs="Times New Roman"/>
          <w:sz w:val="24"/>
          <w:szCs w:val="24"/>
        </w:rPr>
        <w:t xml:space="preserve"> under the Declaration, the specific areas to which the Declaration applies and a number of other relevant matters in accordance with section 153B of the Act.</w:t>
      </w:r>
    </w:p>
    <w:p w:rsidR="00721A4D" w:rsidRPr="006772BC" w:rsidRDefault="00A36CB1">
      <w:pPr>
        <w:rPr>
          <w:rFonts w:ascii="Times New Roman" w:hAnsi="Times New Roman" w:cs="Times New Roman"/>
          <w:sz w:val="24"/>
          <w:szCs w:val="24"/>
        </w:rPr>
      </w:pPr>
      <w:r w:rsidRPr="006772BC">
        <w:rPr>
          <w:rFonts w:ascii="Times New Roman" w:hAnsi="Times New Roman" w:cs="Times New Roman"/>
          <w:sz w:val="24"/>
          <w:szCs w:val="24"/>
        </w:rPr>
        <w:t>Subc</w:t>
      </w:r>
      <w:r w:rsidR="00721A4D" w:rsidRPr="006772BC">
        <w:rPr>
          <w:rFonts w:ascii="Times New Roman" w:hAnsi="Times New Roman" w:cs="Times New Roman"/>
          <w:sz w:val="24"/>
          <w:szCs w:val="24"/>
        </w:rPr>
        <w:t>lause 4</w:t>
      </w:r>
      <w:r w:rsidRPr="006772BC">
        <w:rPr>
          <w:rFonts w:ascii="Times New Roman" w:hAnsi="Times New Roman" w:cs="Times New Roman"/>
          <w:sz w:val="24"/>
          <w:szCs w:val="24"/>
        </w:rPr>
        <w:t>(1)</w:t>
      </w:r>
      <w:r w:rsidR="00721A4D" w:rsidRPr="006772BC">
        <w:rPr>
          <w:rFonts w:ascii="Times New Roman" w:hAnsi="Times New Roman" w:cs="Times New Roman"/>
          <w:sz w:val="24"/>
          <w:szCs w:val="24"/>
        </w:rPr>
        <w:t xml:space="preserve"> sets out the parts of the spectrum that are subject to re-allocation</w:t>
      </w:r>
      <w:r w:rsidRPr="006772BC">
        <w:rPr>
          <w:rFonts w:ascii="Times New Roman" w:hAnsi="Times New Roman" w:cs="Times New Roman"/>
          <w:sz w:val="24"/>
          <w:szCs w:val="24"/>
        </w:rPr>
        <w:t xml:space="preserve"> in relation to the re-allocation period </w:t>
      </w:r>
      <w:r w:rsidR="00721A4D" w:rsidRPr="006772BC">
        <w:rPr>
          <w:rFonts w:ascii="Times New Roman" w:hAnsi="Times New Roman" w:cs="Times New Roman"/>
          <w:sz w:val="24"/>
          <w:szCs w:val="24"/>
        </w:rPr>
        <w:t xml:space="preserve">under Part 3.6 of the Act, </w:t>
      </w:r>
      <w:r w:rsidRPr="006772BC">
        <w:rPr>
          <w:rFonts w:ascii="Times New Roman" w:hAnsi="Times New Roman" w:cs="Times New Roman"/>
          <w:sz w:val="24"/>
          <w:szCs w:val="24"/>
        </w:rPr>
        <w:t>in accordance with subsection 153B(1) of the Act.</w:t>
      </w:r>
    </w:p>
    <w:p w:rsidR="00935357" w:rsidRPr="006772BC" w:rsidRDefault="009C3668" w:rsidP="003B17B5">
      <w:pPr>
        <w:rPr>
          <w:rFonts w:ascii="Times New Roman" w:eastAsia="Times New Roman" w:hAnsi="Times New Roman" w:cs="Times New Roman"/>
          <w:sz w:val="24"/>
          <w:szCs w:val="24"/>
          <w:lang w:eastAsia="en-AU"/>
        </w:rPr>
      </w:pPr>
      <w:r>
        <w:rPr>
          <w:rFonts w:ascii="Times New Roman" w:hAnsi="Times New Roman" w:cs="Times New Roman"/>
          <w:sz w:val="24"/>
          <w:szCs w:val="24"/>
        </w:rPr>
        <w:t>Two</w:t>
      </w:r>
      <w:r w:rsidR="00A36CB1" w:rsidRPr="006772BC">
        <w:rPr>
          <w:rFonts w:ascii="Times New Roman" w:hAnsi="Times New Roman" w:cs="Times New Roman"/>
          <w:sz w:val="24"/>
          <w:szCs w:val="24"/>
        </w:rPr>
        <w:t xml:space="preserve"> separate parts of the spectrum are specified </w:t>
      </w:r>
      <w:r w:rsidR="00313333">
        <w:rPr>
          <w:rFonts w:ascii="Times New Roman" w:hAnsi="Times New Roman" w:cs="Times New Roman"/>
          <w:sz w:val="24"/>
          <w:szCs w:val="24"/>
        </w:rPr>
        <w:t>in</w:t>
      </w:r>
      <w:r w:rsidR="00A36CB1" w:rsidRPr="006772BC">
        <w:rPr>
          <w:rFonts w:ascii="Times New Roman" w:hAnsi="Times New Roman" w:cs="Times New Roman"/>
          <w:sz w:val="24"/>
          <w:szCs w:val="24"/>
        </w:rPr>
        <w:t xml:space="preserve"> subclause 4(1).  The parts of the spectrum specified in paragraphs 4(1</w:t>
      </w:r>
      <w:proofErr w:type="gramStart"/>
      <w:r w:rsidR="00A36CB1" w:rsidRPr="006772BC">
        <w:rPr>
          <w:rFonts w:ascii="Times New Roman" w:hAnsi="Times New Roman" w:cs="Times New Roman"/>
          <w:sz w:val="24"/>
          <w:szCs w:val="24"/>
        </w:rPr>
        <w:t>)(</w:t>
      </w:r>
      <w:proofErr w:type="gramEnd"/>
      <w:r w:rsidR="00A36CB1" w:rsidRPr="006772BC">
        <w:rPr>
          <w:rFonts w:ascii="Times New Roman" w:hAnsi="Times New Roman" w:cs="Times New Roman"/>
          <w:sz w:val="24"/>
          <w:szCs w:val="24"/>
        </w:rPr>
        <w:t xml:space="preserve">a) and (b) form part of the </w:t>
      </w:r>
      <w:r w:rsidR="003B17B5">
        <w:rPr>
          <w:rFonts w:ascii="Times New Roman" w:hAnsi="Times New Roman" w:cs="Times New Roman"/>
          <w:sz w:val="24"/>
          <w:szCs w:val="24"/>
        </w:rPr>
        <w:t xml:space="preserve">2.5GHz frequency band. </w:t>
      </w:r>
      <w:r w:rsidR="00935357" w:rsidRPr="006772BC">
        <w:rPr>
          <w:rFonts w:ascii="Times New Roman" w:hAnsi="Times New Roman" w:cs="Times New Roman"/>
          <w:sz w:val="24"/>
          <w:szCs w:val="24"/>
        </w:rPr>
        <w:t>T</w:t>
      </w:r>
      <w:r w:rsidR="00935357" w:rsidRPr="006772BC">
        <w:rPr>
          <w:rFonts w:ascii="Times New Roman" w:eastAsia="Times New Roman" w:hAnsi="Times New Roman" w:cs="Times New Roman"/>
          <w:sz w:val="24"/>
          <w:szCs w:val="24"/>
          <w:lang w:eastAsia="en-AU"/>
        </w:rPr>
        <w:t xml:space="preserve">he 2.5 GHz band is currently </w:t>
      </w:r>
      <w:r w:rsidR="00E36505">
        <w:rPr>
          <w:rFonts w:ascii="Times New Roman" w:eastAsia="Times New Roman" w:hAnsi="Times New Roman" w:cs="Times New Roman"/>
          <w:sz w:val="24"/>
          <w:szCs w:val="24"/>
          <w:lang w:eastAsia="en-AU"/>
        </w:rPr>
        <w:t>used by apparatus licensees</w:t>
      </w:r>
      <w:r w:rsidR="00935357" w:rsidRPr="006772BC">
        <w:rPr>
          <w:rFonts w:ascii="Times New Roman" w:eastAsia="Times New Roman" w:hAnsi="Times New Roman" w:cs="Times New Roman"/>
          <w:sz w:val="24"/>
          <w:szCs w:val="24"/>
          <w:lang w:eastAsia="en-AU"/>
        </w:rPr>
        <w:t xml:space="preserve"> </w:t>
      </w:r>
      <w:r w:rsidR="00E36505">
        <w:rPr>
          <w:rFonts w:ascii="Times New Roman" w:eastAsia="Times New Roman" w:hAnsi="Times New Roman" w:cs="Times New Roman"/>
          <w:sz w:val="24"/>
          <w:szCs w:val="24"/>
          <w:lang w:eastAsia="en-AU"/>
        </w:rPr>
        <w:t xml:space="preserve">– </w:t>
      </w:r>
      <w:r w:rsidR="003B17B5">
        <w:rPr>
          <w:rFonts w:ascii="Times New Roman" w:eastAsia="Times New Roman" w:hAnsi="Times New Roman" w:cs="Times New Roman"/>
          <w:sz w:val="24"/>
          <w:szCs w:val="24"/>
          <w:lang w:eastAsia="en-AU"/>
        </w:rPr>
        <w:t>mainly</w:t>
      </w:r>
      <w:r w:rsidR="00E36505">
        <w:rPr>
          <w:rFonts w:ascii="Times New Roman" w:eastAsia="Times New Roman" w:hAnsi="Times New Roman" w:cs="Times New Roman"/>
          <w:sz w:val="24"/>
          <w:szCs w:val="24"/>
          <w:lang w:eastAsia="en-AU"/>
        </w:rPr>
        <w:t xml:space="preserve"> </w:t>
      </w:r>
      <w:r w:rsidR="0027656F">
        <w:rPr>
          <w:rFonts w:ascii="Times New Roman" w:eastAsia="Times New Roman" w:hAnsi="Times New Roman" w:cs="Times New Roman"/>
          <w:sz w:val="24"/>
          <w:szCs w:val="24"/>
          <w:lang w:eastAsia="en-AU"/>
        </w:rPr>
        <w:t xml:space="preserve">the </w:t>
      </w:r>
      <w:r w:rsidR="003B17B5">
        <w:rPr>
          <w:rFonts w:ascii="Times New Roman" w:eastAsia="Times New Roman" w:hAnsi="Times New Roman" w:cs="Times New Roman"/>
          <w:sz w:val="24"/>
          <w:szCs w:val="24"/>
          <w:lang w:eastAsia="en-AU"/>
        </w:rPr>
        <w:t xml:space="preserve">commercial </w:t>
      </w:r>
      <w:proofErr w:type="spellStart"/>
      <w:r w:rsidR="003B17B5">
        <w:rPr>
          <w:rFonts w:ascii="Times New Roman" w:eastAsia="Times New Roman" w:hAnsi="Times New Roman" w:cs="Times New Roman"/>
          <w:sz w:val="24"/>
          <w:szCs w:val="24"/>
          <w:lang w:eastAsia="en-AU"/>
        </w:rPr>
        <w:t>free</w:t>
      </w:r>
      <w:r w:rsidR="003B17B5">
        <w:rPr>
          <w:rFonts w:ascii="Times New Roman" w:eastAsia="Times New Roman" w:hAnsi="Times New Roman" w:cs="Times New Roman"/>
          <w:sz w:val="24"/>
          <w:szCs w:val="24"/>
          <w:lang w:eastAsia="en-AU"/>
        </w:rPr>
        <w:noBreakHyphen/>
      </w:r>
      <w:r w:rsidR="00935357" w:rsidRPr="006772BC">
        <w:rPr>
          <w:rFonts w:ascii="Times New Roman" w:eastAsia="Times New Roman" w:hAnsi="Times New Roman" w:cs="Times New Roman"/>
          <w:sz w:val="24"/>
          <w:szCs w:val="24"/>
          <w:lang w:eastAsia="en-AU"/>
        </w:rPr>
        <w:t>to</w:t>
      </w:r>
      <w:proofErr w:type="spellEnd"/>
      <w:r w:rsidR="00935357" w:rsidRPr="006772BC">
        <w:rPr>
          <w:rFonts w:ascii="Times New Roman" w:eastAsia="Times New Roman" w:hAnsi="Times New Roman" w:cs="Times New Roman"/>
          <w:sz w:val="24"/>
          <w:szCs w:val="24"/>
          <w:lang w:eastAsia="en-AU"/>
        </w:rPr>
        <w:t>-air television broadcasters and the ABC</w:t>
      </w:r>
      <w:r w:rsidR="0027656F">
        <w:rPr>
          <w:rFonts w:ascii="Times New Roman" w:eastAsia="Times New Roman" w:hAnsi="Times New Roman" w:cs="Times New Roman"/>
          <w:sz w:val="24"/>
          <w:szCs w:val="24"/>
          <w:lang w:eastAsia="en-AU"/>
        </w:rPr>
        <w:t xml:space="preserve"> – for outside broadcasting including ENG.</w:t>
      </w:r>
    </w:p>
    <w:p w:rsidR="002F5B88" w:rsidRDefault="00AA0F29" w:rsidP="002F5B88">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lastRenderedPageBreak/>
        <w:t xml:space="preserve">Subclause 4(2) </w:t>
      </w:r>
      <w:r w:rsidR="008544BF" w:rsidRPr="006772BC">
        <w:rPr>
          <w:rFonts w:ascii="Times New Roman" w:eastAsia="Times New Roman" w:hAnsi="Times New Roman" w:cs="Times New Roman"/>
          <w:sz w:val="24"/>
          <w:szCs w:val="24"/>
          <w:lang w:eastAsia="en-AU"/>
        </w:rPr>
        <w:t xml:space="preserve">specifies </w:t>
      </w:r>
      <w:r w:rsidRPr="006772BC">
        <w:rPr>
          <w:rFonts w:ascii="Times New Roman" w:eastAsia="Times New Roman" w:hAnsi="Times New Roman" w:cs="Times New Roman"/>
          <w:sz w:val="24"/>
          <w:szCs w:val="24"/>
          <w:lang w:eastAsia="en-AU"/>
        </w:rPr>
        <w:t xml:space="preserve">the </w:t>
      </w:r>
      <w:r w:rsidR="00447EEE" w:rsidRPr="006772BC">
        <w:rPr>
          <w:rFonts w:ascii="Times New Roman" w:eastAsia="Times New Roman" w:hAnsi="Times New Roman" w:cs="Times New Roman"/>
          <w:sz w:val="24"/>
          <w:szCs w:val="24"/>
          <w:lang w:eastAsia="en-AU"/>
        </w:rPr>
        <w:t>areas</w:t>
      </w:r>
      <w:r w:rsidR="008544BF" w:rsidRPr="006772BC">
        <w:rPr>
          <w:rFonts w:ascii="Times New Roman" w:eastAsia="Times New Roman" w:hAnsi="Times New Roman" w:cs="Times New Roman"/>
          <w:sz w:val="24"/>
          <w:szCs w:val="24"/>
          <w:lang w:eastAsia="en-AU"/>
        </w:rPr>
        <w:t xml:space="preserve"> to which the Declaration is to apply, for each part of the spectrum specified in the Declaration, as required by </w:t>
      </w:r>
      <w:r w:rsidR="00447EEE" w:rsidRPr="006772BC">
        <w:rPr>
          <w:rFonts w:ascii="Times New Roman" w:eastAsia="Times New Roman" w:hAnsi="Times New Roman" w:cs="Times New Roman"/>
          <w:sz w:val="24"/>
          <w:szCs w:val="24"/>
          <w:lang w:eastAsia="en-AU"/>
        </w:rPr>
        <w:t xml:space="preserve">subsection </w:t>
      </w:r>
      <w:proofErr w:type="gramStart"/>
      <w:r w:rsidR="00447EEE" w:rsidRPr="006772BC">
        <w:rPr>
          <w:rFonts w:ascii="Times New Roman" w:eastAsia="Times New Roman" w:hAnsi="Times New Roman" w:cs="Times New Roman"/>
          <w:sz w:val="24"/>
          <w:szCs w:val="24"/>
          <w:lang w:eastAsia="en-AU"/>
        </w:rPr>
        <w:t>153B(</w:t>
      </w:r>
      <w:proofErr w:type="gramEnd"/>
      <w:r w:rsidR="00447EEE" w:rsidRPr="006772BC">
        <w:rPr>
          <w:rFonts w:ascii="Times New Roman" w:eastAsia="Times New Roman" w:hAnsi="Times New Roman" w:cs="Times New Roman"/>
          <w:sz w:val="24"/>
          <w:szCs w:val="24"/>
          <w:lang w:eastAsia="en-AU"/>
        </w:rPr>
        <w:t>3)</w:t>
      </w:r>
      <w:r w:rsidR="008544BF" w:rsidRPr="006772BC">
        <w:rPr>
          <w:rFonts w:ascii="Times New Roman" w:eastAsia="Times New Roman" w:hAnsi="Times New Roman" w:cs="Times New Roman"/>
          <w:sz w:val="24"/>
          <w:szCs w:val="24"/>
          <w:lang w:eastAsia="en-AU"/>
        </w:rPr>
        <w:t xml:space="preserve"> of the Act.</w:t>
      </w:r>
      <w:r w:rsidR="00447EEE" w:rsidRPr="006772BC">
        <w:rPr>
          <w:rFonts w:ascii="Times New Roman" w:eastAsia="Times New Roman" w:hAnsi="Times New Roman" w:cs="Times New Roman"/>
          <w:sz w:val="24"/>
          <w:szCs w:val="24"/>
          <w:lang w:eastAsia="en-AU"/>
        </w:rPr>
        <w:t xml:space="preserve">  There are two separate areas specified under subclause 4(2).  The f</w:t>
      </w:r>
      <w:r w:rsidR="009C3668">
        <w:rPr>
          <w:rFonts w:ascii="Times New Roman" w:eastAsia="Times New Roman" w:hAnsi="Times New Roman" w:cs="Times New Roman"/>
          <w:sz w:val="24"/>
          <w:szCs w:val="24"/>
          <w:lang w:eastAsia="en-AU"/>
        </w:rPr>
        <w:t>irst area, set out in paragraph </w:t>
      </w:r>
      <w:r w:rsidR="00397C0E" w:rsidRPr="006772BC">
        <w:rPr>
          <w:rFonts w:ascii="Times New Roman" w:eastAsia="Times New Roman" w:hAnsi="Times New Roman" w:cs="Times New Roman"/>
          <w:sz w:val="24"/>
          <w:szCs w:val="24"/>
          <w:lang w:eastAsia="en-AU"/>
        </w:rPr>
        <w:t>4(</w:t>
      </w:r>
      <w:r w:rsidR="00447EEE" w:rsidRPr="006772BC">
        <w:rPr>
          <w:rFonts w:ascii="Times New Roman" w:eastAsia="Times New Roman" w:hAnsi="Times New Roman" w:cs="Times New Roman"/>
          <w:sz w:val="24"/>
          <w:szCs w:val="24"/>
          <w:lang w:eastAsia="en-AU"/>
        </w:rPr>
        <w:t>2</w:t>
      </w:r>
      <w:proofErr w:type="gramStart"/>
      <w:r w:rsidR="00397C0E" w:rsidRPr="006772BC">
        <w:rPr>
          <w:rFonts w:ascii="Times New Roman" w:eastAsia="Times New Roman" w:hAnsi="Times New Roman" w:cs="Times New Roman"/>
          <w:sz w:val="24"/>
          <w:szCs w:val="24"/>
          <w:lang w:eastAsia="en-AU"/>
        </w:rPr>
        <w:t>)</w:t>
      </w:r>
      <w:r w:rsidR="00447EEE" w:rsidRPr="006772BC">
        <w:rPr>
          <w:rFonts w:ascii="Times New Roman" w:eastAsia="Times New Roman" w:hAnsi="Times New Roman" w:cs="Times New Roman"/>
          <w:sz w:val="24"/>
          <w:szCs w:val="24"/>
          <w:lang w:eastAsia="en-AU"/>
        </w:rPr>
        <w:t>(</w:t>
      </w:r>
      <w:proofErr w:type="gramEnd"/>
      <w:r w:rsidR="00447EEE" w:rsidRPr="006772BC">
        <w:rPr>
          <w:rFonts w:ascii="Times New Roman" w:eastAsia="Times New Roman" w:hAnsi="Times New Roman" w:cs="Times New Roman"/>
          <w:sz w:val="24"/>
          <w:szCs w:val="24"/>
          <w:lang w:eastAsia="en-AU"/>
        </w:rPr>
        <w:t>a)</w:t>
      </w:r>
      <w:r w:rsidR="00397C0E" w:rsidRPr="006772BC">
        <w:rPr>
          <w:rFonts w:ascii="Times New Roman" w:eastAsia="Times New Roman" w:hAnsi="Times New Roman" w:cs="Times New Roman"/>
          <w:sz w:val="24"/>
          <w:szCs w:val="24"/>
          <w:lang w:eastAsia="en-AU"/>
        </w:rPr>
        <w:t>,</w:t>
      </w:r>
      <w:r w:rsidR="00447EEE" w:rsidRPr="006772BC">
        <w:rPr>
          <w:rFonts w:ascii="Times New Roman" w:eastAsia="Times New Roman" w:hAnsi="Times New Roman" w:cs="Times New Roman"/>
          <w:sz w:val="24"/>
          <w:szCs w:val="24"/>
          <w:lang w:eastAsia="en-AU"/>
        </w:rPr>
        <w:t xml:space="preserve"> is </w:t>
      </w:r>
      <w:r w:rsidR="00330AFF">
        <w:rPr>
          <w:rFonts w:ascii="Times New Roman" w:eastAsia="Times New Roman" w:hAnsi="Times New Roman" w:cs="Times New Roman"/>
          <w:sz w:val="24"/>
          <w:szCs w:val="24"/>
          <w:lang w:eastAsia="en-AU"/>
        </w:rPr>
        <w:t>the ‘National Area’</w:t>
      </w:r>
      <w:r w:rsidR="00397C0E" w:rsidRPr="006772BC">
        <w:rPr>
          <w:rFonts w:ascii="Times New Roman" w:eastAsia="Times New Roman" w:hAnsi="Times New Roman" w:cs="Times New Roman"/>
          <w:sz w:val="24"/>
          <w:szCs w:val="24"/>
          <w:lang w:eastAsia="en-AU"/>
        </w:rPr>
        <w:t xml:space="preserve">, </w:t>
      </w:r>
      <w:r w:rsidR="00330AFF">
        <w:rPr>
          <w:rFonts w:ascii="Times New Roman" w:eastAsia="Times New Roman" w:hAnsi="Times New Roman" w:cs="Times New Roman"/>
          <w:sz w:val="24"/>
          <w:szCs w:val="24"/>
          <w:lang w:eastAsia="en-AU"/>
        </w:rPr>
        <w:t xml:space="preserve">but </w:t>
      </w:r>
      <w:r w:rsidR="00397C0E" w:rsidRPr="006772BC">
        <w:rPr>
          <w:rFonts w:ascii="Times New Roman" w:eastAsia="Times New Roman" w:hAnsi="Times New Roman" w:cs="Times New Roman"/>
          <w:sz w:val="24"/>
          <w:szCs w:val="24"/>
          <w:lang w:eastAsia="en-AU"/>
        </w:rPr>
        <w:t>excluding</w:t>
      </w:r>
      <w:r w:rsidR="00330AFF">
        <w:rPr>
          <w:rFonts w:ascii="Times New Roman" w:eastAsia="Times New Roman" w:hAnsi="Times New Roman" w:cs="Times New Roman"/>
          <w:sz w:val="24"/>
          <w:szCs w:val="24"/>
          <w:lang w:eastAsia="en-AU"/>
        </w:rPr>
        <w:t xml:space="preserve"> firstly</w:t>
      </w:r>
      <w:r w:rsidR="00397C0E" w:rsidRPr="006772BC">
        <w:rPr>
          <w:rFonts w:ascii="Times New Roman" w:eastAsia="Times New Roman" w:hAnsi="Times New Roman" w:cs="Times New Roman"/>
          <w:sz w:val="24"/>
          <w:szCs w:val="24"/>
          <w:lang w:eastAsia="en-AU"/>
        </w:rPr>
        <w:t xml:space="preserve"> the </w:t>
      </w:r>
      <w:r w:rsidR="00046232" w:rsidRPr="006772BC">
        <w:rPr>
          <w:rFonts w:ascii="Times New Roman" w:eastAsia="Times New Roman" w:hAnsi="Times New Roman" w:cs="Times New Roman"/>
          <w:sz w:val="24"/>
          <w:szCs w:val="24"/>
          <w:lang w:eastAsia="en-AU"/>
        </w:rPr>
        <w:t>‘</w:t>
      </w:r>
      <w:r w:rsidR="00397C0E" w:rsidRPr="006772BC">
        <w:rPr>
          <w:rFonts w:ascii="Times New Roman" w:eastAsia="Times New Roman" w:hAnsi="Times New Roman" w:cs="Times New Roman"/>
          <w:sz w:val="24"/>
          <w:szCs w:val="24"/>
          <w:lang w:eastAsia="en-AU"/>
        </w:rPr>
        <w:t>Perth Area</w:t>
      </w:r>
      <w:r w:rsidR="00046232" w:rsidRPr="006772BC">
        <w:rPr>
          <w:rFonts w:ascii="Times New Roman" w:eastAsia="Times New Roman" w:hAnsi="Times New Roman" w:cs="Times New Roman"/>
          <w:sz w:val="24"/>
          <w:szCs w:val="24"/>
          <w:lang w:eastAsia="en-AU"/>
        </w:rPr>
        <w:t xml:space="preserve">’, </w:t>
      </w:r>
      <w:r w:rsidR="00397C0E" w:rsidRPr="006772BC">
        <w:rPr>
          <w:rFonts w:ascii="Times New Roman" w:eastAsia="Times New Roman" w:hAnsi="Times New Roman" w:cs="Times New Roman"/>
          <w:sz w:val="24"/>
          <w:szCs w:val="24"/>
          <w:lang w:eastAsia="en-AU"/>
        </w:rPr>
        <w:t xml:space="preserve">and </w:t>
      </w:r>
      <w:r w:rsidR="00330AFF">
        <w:rPr>
          <w:rFonts w:ascii="Times New Roman" w:eastAsia="Times New Roman" w:hAnsi="Times New Roman" w:cs="Times New Roman"/>
          <w:sz w:val="24"/>
          <w:szCs w:val="24"/>
          <w:lang w:eastAsia="en-AU"/>
        </w:rPr>
        <w:t>secondly an</w:t>
      </w:r>
      <w:r w:rsidR="00397C0E" w:rsidRPr="006772BC">
        <w:rPr>
          <w:rFonts w:ascii="Times New Roman" w:eastAsia="Times New Roman" w:hAnsi="Times New Roman" w:cs="Times New Roman"/>
          <w:sz w:val="24"/>
          <w:szCs w:val="24"/>
          <w:lang w:eastAsia="en-AU"/>
        </w:rPr>
        <w:t xml:space="preserve"> area</w:t>
      </w:r>
      <w:r w:rsidR="00330AFF">
        <w:rPr>
          <w:rFonts w:ascii="Times New Roman" w:eastAsia="Times New Roman" w:hAnsi="Times New Roman" w:cs="Times New Roman"/>
          <w:sz w:val="24"/>
          <w:szCs w:val="24"/>
          <w:lang w:eastAsia="en-AU"/>
        </w:rPr>
        <w:t xml:space="preserve"> referred to as the ‘Mid West Radio Quiet Zone’ (RQZ).  Definitions for the ‘National Area, the ‘Perth Area’ and the RQZ are provided in clause 3.</w:t>
      </w:r>
      <w:r w:rsidRPr="006772BC">
        <w:rPr>
          <w:rFonts w:ascii="Times New Roman" w:eastAsia="Times New Roman" w:hAnsi="Times New Roman" w:cs="Times New Roman"/>
          <w:sz w:val="24"/>
          <w:szCs w:val="24"/>
          <w:lang w:eastAsia="en-AU"/>
        </w:rPr>
        <w:t xml:space="preserve">  </w:t>
      </w:r>
    </w:p>
    <w:p w:rsidR="002F5B88" w:rsidRDefault="002F5B88" w:rsidP="002F5B88">
      <w:pPr>
        <w:spacing w:before="100" w:beforeAutospacing="1" w:after="100" w:afterAutospacing="1"/>
        <w:rPr>
          <w:rFonts w:ascii="Times New Roman" w:eastAsia="Times New Roman" w:hAnsi="Times New Roman" w:cs="Times New Roman"/>
          <w:sz w:val="24"/>
          <w:szCs w:val="24"/>
          <w:lang w:eastAsia="en-AU"/>
        </w:rPr>
      </w:pPr>
      <w:r w:rsidRPr="00251C98">
        <w:rPr>
          <w:rFonts w:ascii="Times New Roman" w:eastAsia="Times New Roman" w:hAnsi="Times New Roman" w:cs="Times New Roman"/>
          <w:sz w:val="24"/>
          <w:szCs w:val="24"/>
          <w:lang w:eastAsia="en-AU"/>
        </w:rPr>
        <w:t>The specified area identified as the ‘National Area’ refers to the area bounded by the geographic coordinates set out in Table A to the Schedule.  This area encompasses most of Australia, excluding the external territories.  A pictorial representation of the ‘National Area’</w:t>
      </w:r>
      <w:r w:rsidR="00966765">
        <w:rPr>
          <w:rFonts w:ascii="Times New Roman" w:eastAsia="Times New Roman" w:hAnsi="Times New Roman" w:cs="Times New Roman"/>
          <w:sz w:val="24"/>
          <w:szCs w:val="24"/>
          <w:lang w:eastAsia="en-AU"/>
        </w:rPr>
        <w:t xml:space="preserve">, ‘Perth Area’ (in </w:t>
      </w:r>
      <w:r w:rsidR="00A0475B">
        <w:rPr>
          <w:rFonts w:ascii="Times New Roman" w:eastAsia="Times New Roman" w:hAnsi="Times New Roman" w:cs="Times New Roman"/>
          <w:sz w:val="24"/>
          <w:szCs w:val="24"/>
          <w:lang w:eastAsia="en-AU"/>
        </w:rPr>
        <w:t xml:space="preserve">bright </w:t>
      </w:r>
      <w:r w:rsidR="00966765">
        <w:rPr>
          <w:rFonts w:ascii="Times New Roman" w:eastAsia="Times New Roman" w:hAnsi="Times New Roman" w:cs="Times New Roman"/>
          <w:sz w:val="24"/>
          <w:szCs w:val="24"/>
          <w:lang w:eastAsia="en-AU"/>
        </w:rPr>
        <w:t>green) and RQZ</w:t>
      </w:r>
      <w:r w:rsidRPr="00251C98">
        <w:rPr>
          <w:rFonts w:ascii="Times New Roman" w:eastAsia="Times New Roman" w:hAnsi="Times New Roman" w:cs="Times New Roman"/>
          <w:sz w:val="24"/>
          <w:szCs w:val="24"/>
          <w:lang w:eastAsia="en-AU"/>
        </w:rPr>
        <w:t xml:space="preserve"> </w:t>
      </w:r>
      <w:r w:rsidR="00966765">
        <w:rPr>
          <w:rFonts w:ascii="Times New Roman" w:eastAsia="Times New Roman" w:hAnsi="Times New Roman" w:cs="Times New Roman"/>
          <w:sz w:val="24"/>
          <w:szCs w:val="24"/>
          <w:lang w:eastAsia="en-AU"/>
        </w:rPr>
        <w:t xml:space="preserve">(in pink) </w:t>
      </w:r>
      <w:r w:rsidRPr="00251C98">
        <w:rPr>
          <w:rFonts w:ascii="Times New Roman" w:eastAsia="Times New Roman" w:hAnsi="Times New Roman" w:cs="Times New Roman"/>
          <w:sz w:val="24"/>
          <w:szCs w:val="24"/>
          <w:lang w:eastAsia="en-AU"/>
        </w:rPr>
        <w:t xml:space="preserve">based on the coordinates </w:t>
      </w:r>
      <w:r w:rsidR="00966765">
        <w:rPr>
          <w:rFonts w:ascii="Times New Roman" w:eastAsia="Times New Roman" w:hAnsi="Times New Roman" w:cs="Times New Roman"/>
          <w:sz w:val="24"/>
          <w:szCs w:val="24"/>
          <w:lang w:eastAsia="en-AU"/>
        </w:rPr>
        <w:t>contained in Tables A, B and C of the Schedule</w:t>
      </w:r>
      <w:r w:rsidRPr="00251C98">
        <w:rPr>
          <w:rFonts w:ascii="Times New Roman" w:eastAsia="Times New Roman" w:hAnsi="Times New Roman" w:cs="Times New Roman"/>
          <w:sz w:val="24"/>
          <w:szCs w:val="24"/>
          <w:lang w:eastAsia="en-AU"/>
        </w:rPr>
        <w:t xml:space="preserve"> is provided as Figure </w:t>
      </w:r>
      <w:r>
        <w:rPr>
          <w:rFonts w:ascii="Times New Roman" w:eastAsia="Times New Roman" w:hAnsi="Times New Roman" w:cs="Times New Roman"/>
          <w:sz w:val="24"/>
          <w:szCs w:val="24"/>
          <w:lang w:eastAsia="en-AU"/>
        </w:rPr>
        <w:t>1</w:t>
      </w:r>
      <w:r w:rsidRPr="00251C98">
        <w:rPr>
          <w:rFonts w:ascii="Times New Roman" w:eastAsia="Times New Roman" w:hAnsi="Times New Roman" w:cs="Times New Roman"/>
          <w:sz w:val="24"/>
          <w:szCs w:val="24"/>
          <w:lang w:eastAsia="en-AU"/>
        </w:rPr>
        <w:t xml:space="preserve"> below.</w:t>
      </w:r>
    </w:p>
    <w:p w:rsidR="00CD4FA5" w:rsidRDefault="00A73E4A" w:rsidP="00935357">
      <w:pPr>
        <w:spacing w:before="100" w:beforeAutospacing="1" w:after="100" w:afterAutospacing="1"/>
        <w:rPr>
          <w:rFonts w:ascii="Times New Roman" w:eastAsia="Times New Roman" w:hAnsi="Times New Roman" w:cs="Times New Roman"/>
          <w:sz w:val="24"/>
          <w:szCs w:val="24"/>
          <w:lang w:eastAsia="en-AU"/>
        </w:rPr>
      </w:pPr>
      <w:r w:rsidRPr="00A73E4A">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31.55pt;margin-top:212.85pt;width:67.6pt;height:23.75pt;z-index:251660288;mso-width-relative:margin;mso-height-relative:margin" stroked="f">
            <v:textbox>
              <w:txbxContent>
                <w:p w:rsidR="00FA37A5" w:rsidRDefault="00FA37A5">
                  <w:r>
                    <w:t>Figure 1</w:t>
                  </w:r>
                </w:p>
              </w:txbxContent>
            </v:textbox>
          </v:shape>
        </w:pict>
      </w:r>
      <w:r w:rsidR="00EA1D69" w:rsidRPr="00FA37A5">
        <w:rPr>
          <w:noProof/>
          <w:lang w:eastAsia="en-AU"/>
        </w:rPr>
        <w:drawing>
          <wp:inline distT="0" distB="0" distL="0" distR="0">
            <wp:extent cx="4537836" cy="3028402"/>
            <wp:effectExtent l="19050" t="0" r="0" b="0"/>
            <wp:docPr id="2" name="Picture 1" descr="C:\Users\nvajrabukka\AppData\Local\Microsoft\Windows\Temporary Internet Files\Content.Outlook\H8FTEFEU\Auswide Al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jrabukka\AppData\Local\Microsoft\Windows\Temporary Internet Files\Content.Outlook\H8FTEFEU\Auswide Allocation.jpg"/>
                    <pic:cNvPicPr>
                      <a:picLocks noChangeAspect="1" noChangeArrowheads="1"/>
                    </pic:cNvPicPr>
                  </pic:nvPicPr>
                  <pic:blipFill>
                    <a:blip r:embed="rId8" cstate="print"/>
                    <a:srcRect/>
                    <a:stretch>
                      <a:fillRect/>
                    </a:stretch>
                  </pic:blipFill>
                  <pic:spPr bwMode="auto">
                    <a:xfrm>
                      <a:off x="0" y="0"/>
                      <a:ext cx="4539582" cy="3029567"/>
                    </a:xfrm>
                    <a:prstGeom prst="rect">
                      <a:avLst/>
                    </a:prstGeom>
                    <a:noFill/>
                    <a:ln w="9525">
                      <a:noFill/>
                      <a:miter lim="800000"/>
                      <a:headEnd/>
                      <a:tailEnd/>
                    </a:ln>
                  </pic:spPr>
                </pic:pic>
              </a:graphicData>
            </a:graphic>
          </wp:inline>
        </w:drawing>
      </w:r>
    </w:p>
    <w:p w:rsidR="00966765" w:rsidRDefault="00046232" w:rsidP="00BA3761">
      <w:pPr>
        <w:rPr>
          <w:rFonts w:ascii="Times New Roman" w:hAnsi="Times New Roman" w:cs="Times New Roman"/>
          <w:sz w:val="24"/>
          <w:szCs w:val="24"/>
        </w:rPr>
      </w:pPr>
      <w:r w:rsidRPr="006772BC">
        <w:rPr>
          <w:rFonts w:ascii="Times New Roman" w:hAnsi="Times New Roman" w:cs="Times New Roman"/>
          <w:sz w:val="24"/>
          <w:szCs w:val="24"/>
        </w:rPr>
        <w:t>The Perth Area is excluded from the area specified under paragraph 4(2</w:t>
      </w:r>
      <w:proofErr w:type="gramStart"/>
      <w:r w:rsidRPr="006772BC">
        <w:rPr>
          <w:rFonts w:ascii="Times New Roman" w:hAnsi="Times New Roman" w:cs="Times New Roman"/>
          <w:sz w:val="24"/>
          <w:szCs w:val="24"/>
        </w:rPr>
        <w:t>)(</w:t>
      </w:r>
      <w:proofErr w:type="gramEnd"/>
      <w:r w:rsidRPr="006772BC">
        <w:rPr>
          <w:rFonts w:ascii="Times New Roman" w:hAnsi="Times New Roman" w:cs="Times New Roman"/>
          <w:sz w:val="24"/>
          <w:szCs w:val="24"/>
        </w:rPr>
        <w:t xml:space="preserve">a) because </w:t>
      </w:r>
      <w:r w:rsidR="0002476F" w:rsidRPr="006772BC">
        <w:rPr>
          <w:rFonts w:ascii="Times New Roman" w:hAnsi="Times New Roman" w:cs="Times New Roman"/>
          <w:sz w:val="24"/>
          <w:szCs w:val="24"/>
        </w:rPr>
        <w:t xml:space="preserve">it is specified as a separate area under paragraph 4(2)(b).  It is necessary to specify the Perth Area </w:t>
      </w:r>
      <w:r w:rsidR="00CD4FA5">
        <w:rPr>
          <w:rFonts w:ascii="Times New Roman" w:hAnsi="Times New Roman" w:cs="Times New Roman"/>
          <w:sz w:val="24"/>
          <w:szCs w:val="24"/>
        </w:rPr>
        <w:t>separately</w:t>
      </w:r>
      <w:r w:rsidR="0002476F" w:rsidRPr="006772BC">
        <w:rPr>
          <w:rFonts w:ascii="Times New Roman" w:hAnsi="Times New Roman" w:cs="Times New Roman"/>
          <w:sz w:val="24"/>
          <w:szCs w:val="24"/>
        </w:rPr>
        <w:t xml:space="preserve"> in order to accommodate the longer re-allocation period for the Perth Area in respect of the spectrum specified in </w:t>
      </w:r>
      <w:r w:rsidR="0010679D">
        <w:rPr>
          <w:rFonts w:ascii="Times New Roman" w:hAnsi="Times New Roman" w:cs="Times New Roman"/>
          <w:sz w:val="24"/>
          <w:szCs w:val="24"/>
        </w:rPr>
        <w:t>subclause</w:t>
      </w:r>
      <w:r w:rsidR="0002476F" w:rsidRPr="006772BC">
        <w:rPr>
          <w:rFonts w:ascii="Times New Roman" w:hAnsi="Times New Roman" w:cs="Times New Roman"/>
          <w:sz w:val="24"/>
          <w:szCs w:val="24"/>
        </w:rPr>
        <w:t xml:space="preserve"> 4(1)</w:t>
      </w:r>
      <w:r w:rsidR="0010679D">
        <w:rPr>
          <w:rFonts w:ascii="Times New Roman" w:hAnsi="Times New Roman" w:cs="Times New Roman"/>
          <w:sz w:val="24"/>
          <w:szCs w:val="24"/>
        </w:rPr>
        <w:t xml:space="preserve"> (see subclause </w:t>
      </w:r>
      <w:r w:rsidR="0002476F" w:rsidRPr="006772BC">
        <w:rPr>
          <w:rFonts w:ascii="Times New Roman" w:hAnsi="Times New Roman" w:cs="Times New Roman"/>
          <w:sz w:val="24"/>
          <w:szCs w:val="24"/>
        </w:rPr>
        <w:t xml:space="preserve">4(4)) for the re-allocation periods for those parts of the spectrum).  </w:t>
      </w:r>
    </w:p>
    <w:p w:rsidR="00BA3761" w:rsidRDefault="00BA3761" w:rsidP="00BA3761">
      <w:pPr>
        <w:rPr>
          <w:rFonts w:ascii="Times New Roman" w:hAnsi="Times New Roman" w:cs="Times New Roman"/>
          <w:sz w:val="24"/>
          <w:szCs w:val="24"/>
        </w:rPr>
      </w:pPr>
      <w:r>
        <w:rPr>
          <w:rFonts w:ascii="Times New Roman" w:hAnsi="Times New Roman" w:cs="Times New Roman"/>
          <w:sz w:val="24"/>
          <w:szCs w:val="24"/>
        </w:rPr>
        <w:t>The RQZ is an area</w:t>
      </w:r>
      <w:r w:rsidRPr="00B2109A">
        <w:rPr>
          <w:rFonts w:ascii="Times New Roman" w:hAnsi="Times New Roman" w:cs="Times New Roman"/>
          <w:sz w:val="24"/>
          <w:szCs w:val="24"/>
        </w:rPr>
        <w:t xml:space="preserve"> approximately 300 kilometres north-east of Geraldton, Western Australia.  The ACMA endeavours to maintain low levels of radiofrequency for this area in order to facilitate the development and use of new radio astronomy technologies at that location, and support Australia's bid to host the Square Kilometre Array (SKA).</w:t>
      </w:r>
      <w:r>
        <w:rPr>
          <w:rFonts w:ascii="Times New Roman" w:hAnsi="Times New Roman" w:cs="Times New Roman"/>
          <w:sz w:val="24"/>
          <w:szCs w:val="24"/>
        </w:rPr>
        <w:t xml:space="preserve">  When built, the SKA will be the largest and most sensitive radio telescope.  Australia and South Africa are currently shortlisted as potential locations for the SKA. </w:t>
      </w:r>
      <w:r w:rsidRPr="00B2109A">
        <w:rPr>
          <w:rFonts w:ascii="Times New Roman" w:hAnsi="Times New Roman" w:cs="Times New Roman"/>
          <w:sz w:val="24"/>
          <w:szCs w:val="24"/>
        </w:rPr>
        <w:t xml:space="preserve"> </w:t>
      </w:r>
    </w:p>
    <w:p w:rsidR="00966765" w:rsidRDefault="00BA3761" w:rsidP="00B04EEC">
      <w:pPr>
        <w:spacing w:before="100" w:beforeAutospacing="1" w:after="100" w:afterAutospacing="1"/>
        <w:rPr>
          <w:rFonts w:ascii="Times New Roman" w:eastAsia="Times New Roman" w:hAnsi="Times New Roman" w:cs="Times New Roman"/>
          <w:sz w:val="24"/>
          <w:szCs w:val="24"/>
          <w:lang w:eastAsia="en-AU"/>
        </w:rPr>
      </w:pPr>
      <w:r>
        <w:rPr>
          <w:rFonts w:ascii="Times New Roman" w:hAnsi="Times New Roman" w:cs="Times New Roman"/>
          <w:sz w:val="24"/>
          <w:szCs w:val="24"/>
        </w:rPr>
        <w:t>The ACMA has excluded the RQZ from the area designated for allocation i</w:t>
      </w:r>
      <w:r w:rsidRPr="00B2109A">
        <w:rPr>
          <w:rFonts w:ascii="Times New Roman" w:hAnsi="Times New Roman" w:cs="Times New Roman"/>
          <w:sz w:val="24"/>
          <w:szCs w:val="24"/>
        </w:rPr>
        <w:t xml:space="preserve">n order to </w:t>
      </w:r>
      <w:r>
        <w:rPr>
          <w:rFonts w:ascii="Times New Roman" w:hAnsi="Times New Roman" w:cs="Times New Roman"/>
          <w:sz w:val="24"/>
          <w:szCs w:val="24"/>
        </w:rPr>
        <w:t xml:space="preserve">preserve licensing options for the Murchison Radioastronomy Observatory at the centre of the RQZ, and for other services in the areas around the centre of the RQZ, subject to their compliance with conditions contained in the </w:t>
      </w:r>
      <w:proofErr w:type="spellStart"/>
      <w:r>
        <w:rPr>
          <w:rFonts w:ascii="Times New Roman" w:hAnsi="Times New Roman" w:cs="Times New Roman"/>
          <w:i/>
          <w:sz w:val="24"/>
          <w:szCs w:val="24"/>
        </w:rPr>
        <w:t>Radiocommunications</w:t>
      </w:r>
      <w:proofErr w:type="spellEnd"/>
      <w:r>
        <w:rPr>
          <w:rFonts w:ascii="Times New Roman" w:hAnsi="Times New Roman" w:cs="Times New Roman"/>
          <w:i/>
          <w:sz w:val="24"/>
          <w:szCs w:val="24"/>
        </w:rPr>
        <w:t xml:space="preserve"> (Mid West Radio Quiet Zone) Frequency Band Plan 2011</w:t>
      </w:r>
      <w:r>
        <w:rPr>
          <w:rFonts w:ascii="Times New Roman" w:hAnsi="Times New Roman" w:cs="Times New Roman"/>
          <w:sz w:val="24"/>
          <w:szCs w:val="24"/>
        </w:rPr>
        <w:t xml:space="preserve"> to protect radioastronomy.</w:t>
      </w:r>
    </w:p>
    <w:p w:rsidR="00E36505" w:rsidRDefault="009C3668" w:rsidP="00E36505">
      <w:pPr>
        <w:pStyle w:val="NormalWeb"/>
      </w:pPr>
      <w:r>
        <w:lastRenderedPageBreak/>
        <w:t>Subclause 4(3</w:t>
      </w:r>
      <w:r w:rsidR="00CE48DB" w:rsidRPr="006772BC">
        <w:t xml:space="preserve">) sets out </w:t>
      </w:r>
      <w:r w:rsidR="006D66AB" w:rsidRPr="006772BC">
        <w:t xml:space="preserve">the </w:t>
      </w:r>
      <w:r w:rsidR="00CE48DB" w:rsidRPr="006772BC">
        <w:t>re-allocation period</w:t>
      </w:r>
      <w:r w:rsidR="006D66AB" w:rsidRPr="006772BC">
        <w:t>s</w:t>
      </w:r>
      <w:r w:rsidR="00CE48DB" w:rsidRPr="006772BC">
        <w:t xml:space="preserve"> in relation to the parts of the spectrum mentioned in </w:t>
      </w:r>
      <w:r>
        <w:t>subclause</w:t>
      </w:r>
      <w:r w:rsidR="00CE48DB" w:rsidRPr="006772BC">
        <w:t xml:space="preserve"> (4</w:t>
      </w:r>
      <w:proofErr w:type="gramStart"/>
      <w:r w:rsidR="00CE48DB" w:rsidRPr="006772BC">
        <w:t>)(</w:t>
      </w:r>
      <w:proofErr w:type="gramEnd"/>
      <w:r w:rsidR="00CE48DB" w:rsidRPr="006772BC">
        <w:t xml:space="preserve">1).  </w:t>
      </w:r>
      <w:r w:rsidR="00E36505">
        <w:t xml:space="preserve">The most significant feature of the re-allocation period under the Act is that, at the end of the period, most apparatus licences will automatically be cancelled if they are in a part of the spectrum covered by the declaration (section 153H of the Act).  Particular kinds of broadcasting apparatus licence are not automatically cancelled by operation of section 153H (paragraph </w:t>
      </w:r>
      <w:proofErr w:type="gramStart"/>
      <w:r w:rsidR="00E36505">
        <w:t>153H(</w:t>
      </w:r>
      <w:proofErr w:type="gramEnd"/>
      <w:r w:rsidR="00E36505">
        <w:t>3)(c) refers). However none of these kinds of ‘protected’ apparatus licences are in the parts of the spectrum covered by this declaration.</w:t>
      </w:r>
    </w:p>
    <w:p w:rsidR="00BD5FF9" w:rsidRDefault="00CE48DB" w:rsidP="00582A47">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t>Two different re-allocation periods a</w:t>
      </w:r>
      <w:r w:rsidR="009C3668">
        <w:rPr>
          <w:rFonts w:ascii="Times New Roman" w:eastAsia="Times New Roman" w:hAnsi="Times New Roman" w:cs="Times New Roman"/>
          <w:sz w:val="24"/>
          <w:szCs w:val="24"/>
          <w:lang w:eastAsia="en-AU"/>
        </w:rPr>
        <w:t>re specified under subclause 4(3</w:t>
      </w:r>
      <w:r w:rsidRPr="006772BC">
        <w:rPr>
          <w:rFonts w:ascii="Times New Roman" w:eastAsia="Times New Roman" w:hAnsi="Times New Roman" w:cs="Times New Roman"/>
          <w:sz w:val="24"/>
          <w:szCs w:val="24"/>
          <w:lang w:eastAsia="en-AU"/>
        </w:rPr>
        <w:t xml:space="preserve">).  The first re-allocation period is specified to begin in 2 November 2011 and end on 30 September 2014.  This </w:t>
      </w:r>
      <w:r w:rsidR="00E36505">
        <w:rPr>
          <w:rFonts w:ascii="Times New Roman" w:eastAsia="Times New Roman" w:hAnsi="Times New Roman" w:cs="Times New Roman"/>
          <w:sz w:val="24"/>
          <w:szCs w:val="24"/>
          <w:lang w:eastAsia="en-AU"/>
        </w:rPr>
        <w:t>re </w:t>
      </w:r>
      <w:r w:rsidRPr="006772BC">
        <w:rPr>
          <w:rFonts w:ascii="Times New Roman" w:eastAsia="Times New Roman" w:hAnsi="Times New Roman" w:cs="Times New Roman"/>
          <w:sz w:val="24"/>
          <w:szCs w:val="24"/>
          <w:lang w:eastAsia="en-AU"/>
        </w:rPr>
        <w:t>allocation period applies in respect of the area specified in paragraph 4(2</w:t>
      </w:r>
      <w:proofErr w:type="gramStart"/>
      <w:r w:rsidRPr="006772BC">
        <w:rPr>
          <w:rFonts w:ascii="Times New Roman" w:eastAsia="Times New Roman" w:hAnsi="Times New Roman" w:cs="Times New Roman"/>
          <w:sz w:val="24"/>
          <w:szCs w:val="24"/>
          <w:lang w:eastAsia="en-AU"/>
        </w:rPr>
        <w:t>)(</w:t>
      </w:r>
      <w:proofErr w:type="gramEnd"/>
      <w:r w:rsidRPr="006772BC">
        <w:rPr>
          <w:rFonts w:ascii="Times New Roman" w:eastAsia="Times New Roman" w:hAnsi="Times New Roman" w:cs="Times New Roman"/>
          <w:sz w:val="24"/>
          <w:szCs w:val="24"/>
          <w:lang w:eastAsia="en-AU"/>
        </w:rPr>
        <w:t xml:space="preserve">a), which is </w:t>
      </w:r>
      <w:r w:rsidR="00330AFF">
        <w:rPr>
          <w:rFonts w:ascii="Times New Roman" w:eastAsia="Times New Roman" w:hAnsi="Times New Roman" w:cs="Times New Roman"/>
          <w:sz w:val="24"/>
          <w:szCs w:val="24"/>
          <w:lang w:eastAsia="en-AU"/>
        </w:rPr>
        <w:t>the National Area</w:t>
      </w:r>
      <w:r w:rsidRPr="006772BC">
        <w:rPr>
          <w:rFonts w:ascii="Times New Roman" w:eastAsia="Times New Roman" w:hAnsi="Times New Roman" w:cs="Times New Roman"/>
          <w:sz w:val="24"/>
          <w:szCs w:val="24"/>
          <w:lang w:eastAsia="en-AU"/>
        </w:rPr>
        <w:t xml:space="preserve">, excluding the Perth Area and the RQZ. The second </w:t>
      </w:r>
      <w:r w:rsidR="00584484">
        <w:rPr>
          <w:rFonts w:ascii="Times New Roman" w:eastAsia="Times New Roman" w:hAnsi="Times New Roman" w:cs="Times New Roman"/>
          <w:sz w:val="24"/>
          <w:szCs w:val="24"/>
          <w:lang w:eastAsia="en-AU"/>
        </w:rPr>
        <w:t>re-</w:t>
      </w:r>
      <w:r w:rsidRPr="006772BC">
        <w:rPr>
          <w:rFonts w:ascii="Times New Roman" w:eastAsia="Times New Roman" w:hAnsi="Times New Roman" w:cs="Times New Roman"/>
          <w:sz w:val="24"/>
          <w:szCs w:val="24"/>
          <w:lang w:eastAsia="en-AU"/>
        </w:rPr>
        <w:t xml:space="preserve">allocation period is specified to also begin on 2 November 2011, but it has a different end date of 31 January 2016. This </w:t>
      </w:r>
      <w:r w:rsidR="00584484">
        <w:rPr>
          <w:rFonts w:ascii="Times New Roman" w:eastAsia="Times New Roman" w:hAnsi="Times New Roman" w:cs="Times New Roman"/>
          <w:sz w:val="24"/>
          <w:szCs w:val="24"/>
          <w:lang w:eastAsia="en-AU"/>
        </w:rPr>
        <w:t>re-</w:t>
      </w:r>
      <w:r w:rsidRPr="006772BC">
        <w:rPr>
          <w:rFonts w:ascii="Times New Roman" w:eastAsia="Times New Roman" w:hAnsi="Times New Roman" w:cs="Times New Roman"/>
          <w:sz w:val="24"/>
          <w:szCs w:val="24"/>
          <w:lang w:eastAsia="en-AU"/>
        </w:rPr>
        <w:t xml:space="preserve">allocation period applies in respect of the Perth Area. </w:t>
      </w:r>
    </w:p>
    <w:p w:rsidR="00582A47" w:rsidRPr="006772BC" w:rsidRDefault="00BD5FF9" w:rsidP="00582A47">
      <w:pPr>
        <w:spacing w:before="100" w:beforeAutospacing="1" w:after="100" w:afterAutospacing="1"/>
        <w:rPr>
          <w:rFonts w:ascii="Times New Roman" w:hAnsi="Times New Roman" w:cs="Times New Roman"/>
          <w:sz w:val="24"/>
          <w:szCs w:val="24"/>
        </w:rPr>
      </w:pPr>
      <w:r w:rsidRPr="0013364D">
        <w:rPr>
          <w:rFonts w:ascii="Times New Roman" w:eastAsia="Times New Roman" w:hAnsi="Times New Roman" w:cs="Times New Roman"/>
          <w:sz w:val="24"/>
          <w:szCs w:val="24"/>
          <w:lang w:eastAsia="en-AU"/>
        </w:rPr>
        <w:t xml:space="preserve">The timing of the re-allocation period for the 2.5 GHz band is affected by the need to </w:t>
      </w:r>
      <w:r w:rsidR="00352DCF" w:rsidRPr="0013364D">
        <w:rPr>
          <w:rFonts w:ascii="Times New Roman" w:eastAsia="Times New Roman" w:hAnsi="Times New Roman" w:cs="Times New Roman"/>
          <w:sz w:val="24"/>
          <w:szCs w:val="24"/>
          <w:lang w:eastAsia="en-AU"/>
        </w:rPr>
        <w:t>relocate</w:t>
      </w:r>
      <w:r w:rsidRPr="0013364D">
        <w:rPr>
          <w:rFonts w:ascii="Times New Roman" w:eastAsia="Times New Roman" w:hAnsi="Times New Roman" w:cs="Times New Roman"/>
          <w:sz w:val="24"/>
          <w:szCs w:val="24"/>
          <w:lang w:eastAsia="en-AU"/>
        </w:rPr>
        <w:t xml:space="preserve"> incumbent ENG services </w:t>
      </w:r>
      <w:r w:rsidR="00352DCF" w:rsidRPr="0013364D">
        <w:rPr>
          <w:rFonts w:ascii="Times New Roman" w:eastAsia="Times New Roman" w:hAnsi="Times New Roman" w:cs="Times New Roman"/>
          <w:sz w:val="24"/>
          <w:szCs w:val="24"/>
          <w:lang w:eastAsia="en-AU"/>
        </w:rPr>
        <w:t>to</w:t>
      </w:r>
      <w:r w:rsidRPr="0013364D">
        <w:rPr>
          <w:rFonts w:ascii="Times New Roman" w:eastAsia="Times New Roman" w:hAnsi="Times New Roman" w:cs="Times New Roman"/>
          <w:sz w:val="24"/>
          <w:szCs w:val="24"/>
          <w:lang w:eastAsia="en-AU"/>
        </w:rPr>
        <w:t xml:space="preserve"> alternative bands </w:t>
      </w:r>
      <w:r w:rsidR="00352DCF" w:rsidRPr="0013364D">
        <w:rPr>
          <w:rFonts w:ascii="Times New Roman" w:eastAsia="Times New Roman" w:hAnsi="Times New Roman" w:cs="Times New Roman"/>
          <w:sz w:val="24"/>
          <w:szCs w:val="24"/>
          <w:lang w:eastAsia="en-AU"/>
        </w:rPr>
        <w:t>before</w:t>
      </w:r>
      <w:r w:rsidRPr="0013364D">
        <w:rPr>
          <w:rFonts w:ascii="Times New Roman" w:eastAsia="Times New Roman" w:hAnsi="Times New Roman" w:cs="Times New Roman"/>
          <w:sz w:val="24"/>
          <w:szCs w:val="24"/>
          <w:lang w:eastAsia="en-AU"/>
        </w:rPr>
        <w:t xml:space="preserve"> prospective new licensees </w:t>
      </w:r>
      <w:r w:rsidR="00352DCF" w:rsidRPr="0013364D">
        <w:rPr>
          <w:rFonts w:ascii="Times New Roman" w:eastAsia="Times New Roman" w:hAnsi="Times New Roman" w:cs="Times New Roman"/>
          <w:sz w:val="24"/>
          <w:szCs w:val="24"/>
          <w:lang w:eastAsia="en-AU"/>
        </w:rPr>
        <w:t>can obtain</w:t>
      </w:r>
      <w:r w:rsidRPr="0013364D">
        <w:rPr>
          <w:rFonts w:ascii="Times New Roman" w:eastAsia="Times New Roman" w:hAnsi="Times New Roman" w:cs="Times New Roman"/>
          <w:sz w:val="24"/>
          <w:szCs w:val="24"/>
          <w:lang w:eastAsia="en-AU"/>
        </w:rPr>
        <w:t xml:space="preserve"> access to the spectrum.</w:t>
      </w:r>
      <w:r w:rsidR="00352DCF" w:rsidRPr="0013364D">
        <w:rPr>
          <w:rFonts w:ascii="Times New Roman" w:eastAsia="Times New Roman" w:hAnsi="Times New Roman" w:cs="Times New Roman"/>
          <w:sz w:val="24"/>
          <w:szCs w:val="24"/>
          <w:lang w:eastAsia="en-AU"/>
        </w:rPr>
        <w:t xml:space="preserve"> In the Perth area, the identified alternative bands for ENG </w:t>
      </w:r>
      <w:r w:rsidR="00D02184" w:rsidRPr="0013364D">
        <w:rPr>
          <w:rFonts w:ascii="Times New Roman" w:eastAsia="Times New Roman" w:hAnsi="Times New Roman" w:cs="Times New Roman"/>
          <w:sz w:val="24"/>
          <w:szCs w:val="24"/>
          <w:lang w:eastAsia="en-AU"/>
        </w:rPr>
        <w:t>are unlikely to</w:t>
      </w:r>
      <w:r w:rsidR="00352DCF" w:rsidRPr="0013364D">
        <w:rPr>
          <w:rFonts w:ascii="Times New Roman" w:eastAsia="Times New Roman" w:hAnsi="Times New Roman" w:cs="Times New Roman"/>
          <w:sz w:val="24"/>
          <w:szCs w:val="24"/>
          <w:lang w:eastAsia="en-AU"/>
        </w:rPr>
        <w:t xml:space="preserve"> b</w:t>
      </w:r>
      <w:r w:rsidR="00557E7A" w:rsidRPr="0013364D">
        <w:rPr>
          <w:rFonts w:ascii="Times New Roman" w:eastAsia="Times New Roman" w:hAnsi="Times New Roman" w:cs="Times New Roman"/>
          <w:sz w:val="24"/>
          <w:szCs w:val="24"/>
          <w:lang w:eastAsia="en-AU"/>
        </w:rPr>
        <w:t xml:space="preserve">e available until January 2016. </w:t>
      </w:r>
      <w:r w:rsidR="00352DCF" w:rsidRPr="0013364D">
        <w:rPr>
          <w:rFonts w:ascii="Times New Roman" w:eastAsia="Times New Roman" w:hAnsi="Times New Roman" w:cs="Times New Roman"/>
          <w:sz w:val="24"/>
          <w:szCs w:val="24"/>
          <w:lang w:eastAsia="en-AU"/>
        </w:rPr>
        <w:t>A longer re-allocation period has been set for the Perth area reflecting this relocation timing</w:t>
      </w:r>
      <w:r w:rsidR="00557E7A" w:rsidRPr="0013364D">
        <w:rPr>
          <w:rFonts w:ascii="Times New Roman" w:eastAsia="Times New Roman" w:hAnsi="Times New Roman" w:cs="Times New Roman"/>
          <w:sz w:val="24"/>
          <w:szCs w:val="24"/>
          <w:lang w:eastAsia="en-AU"/>
        </w:rPr>
        <w:t xml:space="preserve">. Specifying two different re-allocation periods means that spectrum </w:t>
      </w:r>
      <w:r w:rsidR="0053605F" w:rsidRPr="0013364D">
        <w:rPr>
          <w:rFonts w:ascii="Times New Roman" w:eastAsia="Times New Roman" w:hAnsi="Times New Roman" w:cs="Times New Roman"/>
          <w:sz w:val="24"/>
          <w:szCs w:val="24"/>
          <w:lang w:eastAsia="en-AU"/>
        </w:rPr>
        <w:t xml:space="preserve">in the </w:t>
      </w:r>
      <w:r w:rsidR="00D02184" w:rsidRPr="0013364D">
        <w:rPr>
          <w:rFonts w:ascii="Times New Roman" w:eastAsia="Times New Roman" w:hAnsi="Times New Roman" w:cs="Times New Roman"/>
          <w:sz w:val="24"/>
          <w:szCs w:val="24"/>
          <w:lang w:eastAsia="en-AU"/>
        </w:rPr>
        <w:t>majority of Australia</w:t>
      </w:r>
      <w:r w:rsidR="0053605F" w:rsidRPr="0013364D">
        <w:rPr>
          <w:rFonts w:ascii="Times New Roman" w:eastAsia="Times New Roman" w:hAnsi="Times New Roman" w:cs="Times New Roman"/>
          <w:sz w:val="24"/>
          <w:szCs w:val="24"/>
          <w:lang w:eastAsia="en-AU"/>
        </w:rPr>
        <w:t xml:space="preserve"> </w:t>
      </w:r>
      <w:r w:rsidR="00557E7A" w:rsidRPr="0013364D">
        <w:rPr>
          <w:rFonts w:ascii="Times New Roman" w:eastAsia="Times New Roman" w:hAnsi="Times New Roman" w:cs="Times New Roman"/>
          <w:sz w:val="24"/>
          <w:szCs w:val="24"/>
          <w:lang w:eastAsia="en-AU"/>
        </w:rPr>
        <w:t>can be made available</w:t>
      </w:r>
      <w:r w:rsidR="0053605F" w:rsidRPr="0013364D">
        <w:rPr>
          <w:rFonts w:ascii="Times New Roman" w:eastAsia="Times New Roman" w:hAnsi="Times New Roman" w:cs="Times New Roman"/>
          <w:sz w:val="24"/>
          <w:szCs w:val="24"/>
          <w:lang w:eastAsia="en-AU"/>
        </w:rPr>
        <w:t xml:space="preserve"> to the new licensees as soon as it is cleared</w:t>
      </w:r>
      <w:r w:rsidR="00557E7A" w:rsidRPr="0013364D">
        <w:rPr>
          <w:rFonts w:ascii="Times New Roman" w:eastAsia="Times New Roman" w:hAnsi="Times New Roman" w:cs="Times New Roman"/>
          <w:sz w:val="24"/>
          <w:szCs w:val="24"/>
          <w:lang w:eastAsia="en-AU"/>
        </w:rPr>
        <w:t xml:space="preserve">, rather than having this spectrum </w:t>
      </w:r>
      <w:r w:rsidR="00D02184" w:rsidRPr="0013364D">
        <w:rPr>
          <w:rFonts w:ascii="Times New Roman" w:eastAsia="Times New Roman" w:hAnsi="Times New Roman" w:cs="Times New Roman"/>
          <w:sz w:val="24"/>
          <w:szCs w:val="24"/>
          <w:lang w:eastAsia="en-AU"/>
        </w:rPr>
        <w:t>remain unused</w:t>
      </w:r>
      <w:r w:rsidR="00557E7A" w:rsidRPr="0013364D">
        <w:rPr>
          <w:rFonts w:ascii="Times New Roman" w:eastAsia="Times New Roman" w:hAnsi="Times New Roman" w:cs="Times New Roman"/>
          <w:sz w:val="24"/>
          <w:szCs w:val="24"/>
          <w:lang w:eastAsia="en-AU"/>
        </w:rPr>
        <w:t xml:space="preserve"> until such time as the spectrum in the Perth are</w:t>
      </w:r>
      <w:r w:rsidR="00E422CA" w:rsidRPr="0013364D">
        <w:rPr>
          <w:rFonts w:ascii="Times New Roman" w:eastAsia="Times New Roman" w:hAnsi="Times New Roman" w:cs="Times New Roman"/>
          <w:sz w:val="24"/>
          <w:szCs w:val="24"/>
          <w:lang w:eastAsia="en-AU"/>
        </w:rPr>
        <w:t>a</w:t>
      </w:r>
      <w:r w:rsidR="00557E7A" w:rsidRPr="0013364D">
        <w:rPr>
          <w:rFonts w:ascii="Times New Roman" w:eastAsia="Times New Roman" w:hAnsi="Times New Roman" w:cs="Times New Roman"/>
          <w:sz w:val="24"/>
          <w:szCs w:val="24"/>
          <w:lang w:eastAsia="en-AU"/>
        </w:rPr>
        <w:t xml:space="preserve"> is able to be cleared</w:t>
      </w:r>
      <w:r w:rsidR="00D02184" w:rsidRPr="0013364D">
        <w:rPr>
          <w:rFonts w:ascii="Times New Roman" w:eastAsia="Times New Roman" w:hAnsi="Times New Roman" w:cs="Times New Roman"/>
          <w:sz w:val="24"/>
          <w:szCs w:val="24"/>
          <w:lang w:eastAsia="en-AU"/>
        </w:rPr>
        <w:t>.</w:t>
      </w:r>
      <w:r w:rsidR="00557E7A" w:rsidRPr="0013364D">
        <w:rPr>
          <w:rFonts w:ascii="Times New Roman" w:eastAsia="Times New Roman" w:hAnsi="Times New Roman" w:cs="Times New Roman"/>
          <w:sz w:val="24"/>
          <w:szCs w:val="24"/>
          <w:lang w:eastAsia="en-AU"/>
        </w:rPr>
        <w:t xml:space="preserve"> </w:t>
      </w:r>
    </w:p>
    <w:p w:rsidR="00CE48DB" w:rsidRPr="006772BC" w:rsidRDefault="00CE48DB" w:rsidP="00935357">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t>Subclause</w:t>
      </w:r>
      <w:r w:rsidR="009C3668">
        <w:rPr>
          <w:rFonts w:ascii="Times New Roman" w:eastAsia="Times New Roman" w:hAnsi="Times New Roman" w:cs="Times New Roman"/>
          <w:sz w:val="24"/>
          <w:szCs w:val="24"/>
          <w:lang w:eastAsia="en-AU"/>
        </w:rPr>
        <w:t xml:space="preserve"> 4(4</w:t>
      </w:r>
      <w:r w:rsidRPr="006772BC">
        <w:rPr>
          <w:rFonts w:ascii="Times New Roman" w:eastAsia="Times New Roman" w:hAnsi="Times New Roman" w:cs="Times New Roman"/>
          <w:sz w:val="24"/>
          <w:szCs w:val="24"/>
          <w:lang w:eastAsia="en-AU"/>
        </w:rPr>
        <w:t xml:space="preserve">) </w:t>
      </w:r>
      <w:r w:rsidR="009C3668">
        <w:rPr>
          <w:rFonts w:ascii="Times New Roman" w:eastAsia="Times New Roman" w:hAnsi="Times New Roman" w:cs="Times New Roman"/>
          <w:sz w:val="24"/>
          <w:szCs w:val="24"/>
          <w:lang w:eastAsia="en-AU"/>
        </w:rPr>
        <w:t>specifies the re-allocation deadline</w:t>
      </w:r>
      <w:r w:rsidR="006D66AB" w:rsidRPr="006772BC">
        <w:rPr>
          <w:rFonts w:ascii="Times New Roman" w:eastAsia="Times New Roman" w:hAnsi="Times New Roman" w:cs="Times New Roman"/>
          <w:sz w:val="24"/>
          <w:szCs w:val="24"/>
          <w:lang w:eastAsia="en-AU"/>
        </w:rPr>
        <w:t xml:space="preserve"> for the parts of the spectrum specified in subclause 4(1), as required by subsection </w:t>
      </w:r>
      <w:proofErr w:type="gramStart"/>
      <w:r w:rsidR="006D66AB" w:rsidRPr="006772BC">
        <w:rPr>
          <w:rFonts w:ascii="Times New Roman" w:eastAsia="Times New Roman" w:hAnsi="Times New Roman" w:cs="Times New Roman"/>
          <w:sz w:val="24"/>
          <w:szCs w:val="24"/>
          <w:lang w:eastAsia="en-AU"/>
        </w:rPr>
        <w:t>153B(</w:t>
      </w:r>
      <w:proofErr w:type="gramEnd"/>
      <w:r w:rsidR="006D66AB" w:rsidRPr="006772BC">
        <w:rPr>
          <w:rFonts w:ascii="Times New Roman" w:eastAsia="Times New Roman" w:hAnsi="Times New Roman" w:cs="Times New Roman"/>
          <w:sz w:val="24"/>
          <w:szCs w:val="24"/>
          <w:lang w:eastAsia="en-AU"/>
        </w:rPr>
        <w:t>5) of the Act.  In accordance wit</w:t>
      </w:r>
      <w:r w:rsidR="009C3668">
        <w:rPr>
          <w:rFonts w:ascii="Times New Roman" w:eastAsia="Times New Roman" w:hAnsi="Times New Roman" w:cs="Times New Roman"/>
          <w:sz w:val="24"/>
          <w:szCs w:val="24"/>
          <w:lang w:eastAsia="en-AU"/>
        </w:rPr>
        <w:t>h subsection </w:t>
      </w:r>
      <w:proofErr w:type="gramStart"/>
      <w:r w:rsidR="006D66AB" w:rsidRPr="006772BC">
        <w:rPr>
          <w:rFonts w:ascii="Times New Roman" w:eastAsia="Times New Roman" w:hAnsi="Times New Roman" w:cs="Times New Roman"/>
          <w:sz w:val="24"/>
          <w:szCs w:val="24"/>
          <w:lang w:eastAsia="en-AU"/>
        </w:rPr>
        <w:t>153B(</w:t>
      </w:r>
      <w:proofErr w:type="gramEnd"/>
      <w:r w:rsidR="006D66AB" w:rsidRPr="006772BC">
        <w:rPr>
          <w:rFonts w:ascii="Times New Roman" w:eastAsia="Times New Roman" w:hAnsi="Times New Roman" w:cs="Times New Roman"/>
          <w:sz w:val="24"/>
          <w:szCs w:val="24"/>
          <w:lang w:eastAsia="en-AU"/>
        </w:rPr>
        <w:t>5) of the Act the re-allocation deadline must be at least 12 months before the en</w:t>
      </w:r>
      <w:r w:rsidR="009C3668">
        <w:rPr>
          <w:rFonts w:ascii="Times New Roman" w:eastAsia="Times New Roman" w:hAnsi="Times New Roman" w:cs="Times New Roman"/>
          <w:sz w:val="24"/>
          <w:szCs w:val="24"/>
          <w:lang w:eastAsia="en-AU"/>
        </w:rPr>
        <w:t>d of the re-allocation period. Subclause 4(4</w:t>
      </w:r>
      <w:r w:rsidRPr="006772BC">
        <w:rPr>
          <w:rFonts w:ascii="Times New Roman" w:eastAsia="Times New Roman" w:hAnsi="Times New Roman" w:cs="Times New Roman"/>
          <w:sz w:val="24"/>
          <w:szCs w:val="24"/>
          <w:lang w:eastAsia="en-AU"/>
        </w:rPr>
        <w:t>) specifies as re-allocation deadline of 30</w:t>
      </w:r>
      <w:r w:rsidR="009C3668">
        <w:rPr>
          <w:rFonts w:ascii="Times New Roman" w:eastAsia="Times New Roman" w:hAnsi="Times New Roman" w:cs="Times New Roman"/>
          <w:sz w:val="24"/>
          <w:szCs w:val="24"/>
          <w:lang w:eastAsia="en-AU"/>
        </w:rPr>
        <w:t> </w:t>
      </w:r>
      <w:r w:rsidRPr="006772BC">
        <w:rPr>
          <w:rFonts w:ascii="Times New Roman" w:eastAsia="Times New Roman" w:hAnsi="Times New Roman" w:cs="Times New Roman"/>
          <w:sz w:val="24"/>
          <w:szCs w:val="24"/>
          <w:lang w:eastAsia="en-AU"/>
        </w:rPr>
        <w:t>September 2013.</w:t>
      </w:r>
      <w:r w:rsidR="00582A47">
        <w:rPr>
          <w:rFonts w:ascii="Times New Roman" w:eastAsia="Times New Roman" w:hAnsi="Times New Roman" w:cs="Times New Roman"/>
          <w:sz w:val="24"/>
          <w:szCs w:val="24"/>
          <w:lang w:eastAsia="en-AU"/>
        </w:rPr>
        <w:t xml:space="preserve"> I</w:t>
      </w:r>
      <w:r w:rsidR="00F5529A" w:rsidRPr="006772BC">
        <w:rPr>
          <w:rFonts w:ascii="Times New Roman" w:eastAsia="Times New Roman" w:hAnsi="Times New Roman" w:cs="Times New Roman"/>
          <w:sz w:val="24"/>
          <w:szCs w:val="24"/>
          <w:lang w:eastAsia="en-AU"/>
        </w:rPr>
        <w:t xml:space="preserve">f no spectrum licences are allocated in respect of the </w:t>
      </w:r>
      <w:r w:rsidR="009C3668">
        <w:rPr>
          <w:rFonts w:ascii="Times New Roman" w:eastAsia="Times New Roman" w:hAnsi="Times New Roman" w:cs="Times New Roman"/>
          <w:sz w:val="24"/>
          <w:szCs w:val="24"/>
          <w:lang w:eastAsia="en-AU"/>
        </w:rPr>
        <w:t xml:space="preserve">declared </w:t>
      </w:r>
      <w:r w:rsidR="00F5529A" w:rsidRPr="006772BC">
        <w:rPr>
          <w:rFonts w:ascii="Times New Roman" w:eastAsia="Times New Roman" w:hAnsi="Times New Roman" w:cs="Times New Roman"/>
          <w:sz w:val="24"/>
          <w:szCs w:val="24"/>
          <w:lang w:eastAsia="en-AU"/>
        </w:rPr>
        <w:t xml:space="preserve">parts of the spectrum on or before 30 September 2013, section 153K of the Act will operate to </w:t>
      </w:r>
      <w:r w:rsidR="009C3668">
        <w:rPr>
          <w:rFonts w:ascii="Times New Roman" w:eastAsia="Times New Roman" w:hAnsi="Times New Roman" w:cs="Times New Roman"/>
          <w:sz w:val="24"/>
          <w:szCs w:val="24"/>
          <w:lang w:eastAsia="en-AU"/>
        </w:rPr>
        <w:t>revoke</w:t>
      </w:r>
      <w:r w:rsidR="00F5529A" w:rsidRPr="006772BC">
        <w:rPr>
          <w:rFonts w:ascii="Times New Roman" w:eastAsia="Times New Roman" w:hAnsi="Times New Roman" w:cs="Times New Roman"/>
          <w:sz w:val="24"/>
          <w:szCs w:val="24"/>
          <w:lang w:eastAsia="en-AU"/>
        </w:rPr>
        <w:t xml:space="preserve"> the Declaration immed</w:t>
      </w:r>
      <w:r w:rsidR="009C3668">
        <w:rPr>
          <w:rFonts w:ascii="Times New Roman" w:eastAsia="Times New Roman" w:hAnsi="Times New Roman" w:cs="Times New Roman"/>
          <w:sz w:val="24"/>
          <w:szCs w:val="24"/>
          <w:lang w:eastAsia="en-AU"/>
        </w:rPr>
        <w:t>iately after the re</w:t>
      </w:r>
      <w:r w:rsidR="009C3668">
        <w:rPr>
          <w:rFonts w:ascii="Times New Roman" w:eastAsia="Times New Roman" w:hAnsi="Times New Roman" w:cs="Times New Roman"/>
          <w:sz w:val="24"/>
          <w:szCs w:val="24"/>
          <w:lang w:eastAsia="en-AU"/>
        </w:rPr>
        <w:noBreakHyphen/>
      </w:r>
      <w:r w:rsidR="00F5529A" w:rsidRPr="006772BC">
        <w:rPr>
          <w:rFonts w:ascii="Times New Roman" w:eastAsia="Times New Roman" w:hAnsi="Times New Roman" w:cs="Times New Roman"/>
          <w:sz w:val="24"/>
          <w:szCs w:val="24"/>
          <w:lang w:eastAsia="en-AU"/>
        </w:rPr>
        <w:t>allocation deadline.</w:t>
      </w:r>
    </w:p>
    <w:p w:rsidR="005B03B5" w:rsidRPr="006772BC" w:rsidRDefault="009C3668" w:rsidP="005B03B5">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Subclause 4(5</w:t>
      </w:r>
      <w:r w:rsidR="006D66AB" w:rsidRPr="006772BC">
        <w:rPr>
          <w:rFonts w:ascii="Times New Roman" w:eastAsia="Times New Roman" w:hAnsi="Times New Roman" w:cs="Times New Roman"/>
          <w:sz w:val="24"/>
          <w:szCs w:val="24"/>
          <w:lang w:eastAsia="en-AU"/>
        </w:rPr>
        <w:t>) provides that each part of the spectrum specified in subclause 4(1) of the Declaration may only be re-allocated by issuing spectrum licences under Division 1 of Part</w:t>
      </w:r>
      <w:r>
        <w:rPr>
          <w:rFonts w:ascii="Times New Roman" w:eastAsia="Times New Roman" w:hAnsi="Times New Roman" w:cs="Times New Roman"/>
          <w:sz w:val="24"/>
          <w:szCs w:val="24"/>
          <w:lang w:eastAsia="en-AU"/>
        </w:rPr>
        <w:t> </w:t>
      </w:r>
      <w:r w:rsidR="006D66AB" w:rsidRPr="006772BC">
        <w:rPr>
          <w:rFonts w:ascii="Times New Roman" w:eastAsia="Times New Roman" w:hAnsi="Times New Roman" w:cs="Times New Roman"/>
          <w:sz w:val="24"/>
          <w:szCs w:val="24"/>
          <w:lang w:eastAsia="en-AU"/>
        </w:rPr>
        <w:t xml:space="preserve">3.2 of the Act.  This provision is included in accordance with subsection </w:t>
      </w:r>
      <w:proofErr w:type="gramStart"/>
      <w:r w:rsidR="006D66AB" w:rsidRPr="006772BC">
        <w:rPr>
          <w:rFonts w:ascii="Times New Roman" w:eastAsia="Times New Roman" w:hAnsi="Times New Roman" w:cs="Times New Roman"/>
          <w:sz w:val="24"/>
          <w:szCs w:val="24"/>
          <w:lang w:eastAsia="en-AU"/>
        </w:rPr>
        <w:t>153B(</w:t>
      </w:r>
      <w:proofErr w:type="gramEnd"/>
      <w:r w:rsidR="006D66AB" w:rsidRPr="006772BC">
        <w:rPr>
          <w:rFonts w:ascii="Times New Roman" w:eastAsia="Times New Roman" w:hAnsi="Times New Roman" w:cs="Times New Roman"/>
          <w:sz w:val="24"/>
          <w:szCs w:val="24"/>
          <w:lang w:eastAsia="en-AU"/>
        </w:rPr>
        <w:t xml:space="preserve">6) of the Act, which states that </w:t>
      </w:r>
      <w:r w:rsidR="00192E9B" w:rsidRPr="006772BC">
        <w:rPr>
          <w:rFonts w:ascii="Times New Roman" w:eastAsia="Times New Roman" w:hAnsi="Times New Roman" w:cs="Times New Roman"/>
          <w:sz w:val="24"/>
          <w:szCs w:val="24"/>
          <w:lang w:eastAsia="en-AU"/>
        </w:rPr>
        <w:t>for each part of the spectrum mentioned in the Declaration, the Declaration must state whether the part of the spectrum should be re-allocated by issuing spectrum licences under Division 1 of Part 3.2 of the Act, or apparatus licences under Divi</w:t>
      </w:r>
      <w:r w:rsidR="005B03B5">
        <w:rPr>
          <w:rFonts w:ascii="Times New Roman" w:eastAsia="Times New Roman" w:hAnsi="Times New Roman" w:cs="Times New Roman"/>
          <w:sz w:val="24"/>
          <w:szCs w:val="24"/>
          <w:lang w:eastAsia="en-AU"/>
        </w:rPr>
        <w:t xml:space="preserve">sion 2 of Part 3.3 of the Act. </w:t>
      </w:r>
    </w:p>
    <w:p w:rsidR="00F5529A" w:rsidRPr="006772BC" w:rsidRDefault="00114C04" w:rsidP="00935357">
      <w:pPr>
        <w:spacing w:before="100" w:beforeAutospacing="1" w:after="100" w:afterAutospacing="1"/>
        <w:rPr>
          <w:rFonts w:ascii="Times New Roman" w:eastAsia="Times New Roman" w:hAnsi="Times New Roman" w:cs="Times New Roman"/>
          <w:sz w:val="24"/>
          <w:szCs w:val="24"/>
          <w:lang w:eastAsia="en-AU"/>
        </w:rPr>
      </w:pPr>
      <w:r w:rsidRPr="006772BC">
        <w:rPr>
          <w:rFonts w:ascii="Times New Roman" w:eastAsia="Times New Roman" w:hAnsi="Times New Roman" w:cs="Times New Roman"/>
          <w:sz w:val="24"/>
          <w:szCs w:val="24"/>
          <w:lang w:eastAsia="en-AU"/>
        </w:rPr>
        <w:t>S</w:t>
      </w:r>
      <w:r w:rsidR="009C3668">
        <w:rPr>
          <w:rFonts w:ascii="Times New Roman" w:eastAsia="Times New Roman" w:hAnsi="Times New Roman" w:cs="Times New Roman"/>
          <w:sz w:val="24"/>
          <w:szCs w:val="24"/>
          <w:lang w:eastAsia="en-AU"/>
        </w:rPr>
        <w:t>ubclause 4(6</w:t>
      </w:r>
      <w:r w:rsidRPr="006772BC">
        <w:rPr>
          <w:rFonts w:ascii="Times New Roman" w:eastAsia="Times New Roman" w:hAnsi="Times New Roman" w:cs="Times New Roman"/>
          <w:sz w:val="24"/>
          <w:szCs w:val="24"/>
          <w:lang w:eastAsia="en-AU"/>
        </w:rPr>
        <w:t xml:space="preserve">) contains a provision which clarifies the </w:t>
      </w:r>
      <w:r w:rsidR="003610EB" w:rsidRPr="006772BC">
        <w:rPr>
          <w:rFonts w:ascii="Times New Roman" w:eastAsia="Times New Roman" w:hAnsi="Times New Roman" w:cs="Times New Roman"/>
          <w:sz w:val="24"/>
          <w:szCs w:val="24"/>
          <w:lang w:eastAsia="en-AU"/>
        </w:rPr>
        <w:t>end-points of the frequency ranges specified for each frequency band identified i</w:t>
      </w:r>
      <w:r w:rsidR="009C3668">
        <w:rPr>
          <w:rFonts w:ascii="Times New Roman" w:eastAsia="Times New Roman" w:hAnsi="Times New Roman" w:cs="Times New Roman"/>
          <w:sz w:val="24"/>
          <w:szCs w:val="24"/>
          <w:lang w:eastAsia="en-AU"/>
        </w:rPr>
        <w:t>n subclause 4(1).  Subclause 4(6</w:t>
      </w:r>
      <w:r w:rsidR="003610EB" w:rsidRPr="006772BC">
        <w:rPr>
          <w:rFonts w:ascii="Times New Roman" w:eastAsia="Times New Roman" w:hAnsi="Times New Roman" w:cs="Times New Roman"/>
          <w:sz w:val="24"/>
          <w:szCs w:val="24"/>
          <w:lang w:eastAsia="en-AU"/>
        </w:rPr>
        <w:t xml:space="preserve">) confirms that each frequency band includes all frequencies that are greater than the lower frequency, up to and including the higher frequency.  </w:t>
      </w:r>
      <w:r w:rsidR="003610EB" w:rsidRPr="00074580">
        <w:rPr>
          <w:rFonts w:ascii="Times New Roman" w:hAnsi="Times New Roman" w:cs="Times New Roman"/>
          <w:sz w:val="24"/>
          <w:szCs w:val="24"/>
        </w:rPr>
        <w:t>The practice of including the higher, but not the lower number, when identifying a range of frequencies is used to prevent cases of frequency band overlap.</w:t>
      </w:r>
      <w:r w:rsidR="003B17B5" w:rsidRPr="00074580">
        <w:rPr>
          <w:rFonts w:ascii="Times New Roman" w:hAnsi="Times New Roman" w:cs="Times New Roman"/>
          <w:sz w:val="24"/>
          <w:szCs w:val="24"/>
        </w:rPr>
        <w:t xml:space="preserve"> </w:t>
      </w:r>
    </w:p>
    <w:sectPr w:rsidR="00F5529A" w:rsidRPr="006772BC" w:rsidSect="005266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67D4"/>
    <w:multiLevelType w:val="hybridMultilevel"/>
    <w:tmpl w:val="D58C1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9AB76A9"/>
    <w:multiLevelType w:val="singleLevel"/>
    <w:tmpl w:val="7FC06644"/>
    <w:lvl w:ilvl="0">
      <w:start w:val="1"/>
      <w:numFmt w:val="bullet"/>
      <w:pStyle w:val="dot"/>
      <w:lvlText w:val=""/>
      <w:lvlJc w:val="left"/>
      <w:pPr>
        <w:tabs>
          <w:tab w:val="num" w:pos="360"/>
        </w:tabs>
        <w:ind w:left="360" w:hanging="360"/>
      </w:pPr>
      <w:rPr>
        <w:rFonts w:ascii="Symbol" w:hAnsi="Symbol" w:hint="default"/>
        <w:b w:val="0"/>
        <w:i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compat/>
  <w:rsids>
    <w:rsidRoot w:val="00FC460F"/>
    <w:rsid w:val="000244A5"/>
    <w:rsid w:val="0002476F"/>
    <w:rsid w:val="000449EB"/>
    <w:rsid w:val="00046232"/>
    <w:rsid w:val="00052B13"/>
    <w:rsid w:val="00074580"/>
    <w:rsid w:val="000778AD"/>
    <w:rsid w:val="0010679D"/>
    <w:rsid w:val="00114C04"/>
    <w:rsid w:val="0013364D"/>
    <w:rsid w:val="0015468E"/>
    <w:rsid w:val="0016340D"/>
    <w:rsid w:val="00165467"/>
    <w:rsid w:val="00182A2C"/>
    <w:rsid w:val="00192E9B"/>
    <w:rsid w:val="001D222A"/>
    <w:rsid w:val="001D777E"/>
    <w:rsid w:val="001D7E0A"/>
    <w:rsid w:val="001E5566"/>
    <w:rsid w:val="002043F0"/>
    <w:rsid w:val="002257B1"/>
    <w:rsid w:val="00274735"/>
    <w:rsid w:val="0027656F"/>
    <w:rsid w:val="002A36F0"/>
    <w:rsid w:val="002F5B88"/>
    <w:rsid w:val="00312169"/>
    <w:rsid w:val="00313333"/>
    <w:rsid w:val="00330AFF"/>
    <w:rsid w:val="00343C28"/>
    <w:rsid w:val="00352DCF"/>
    <w:rsid w:val="003610EB"/>
    <w:rsid w:val="003763E4"/>
    <w:rsid w:val="00397C0E"/>
    <w:rsid w:val="003B17B5"/>
    <w:rsid w:val="00445507"/>
    <w:rsid w:val="00447E87"/>
    <w:rsid w:val="00447EEE"/>
    <w:rsid w:val="00464D6B"/>
    <w:rsid w:val="004C2AB6"/>
    <w:rsid w:val="004D33ED"/>
    <w:rsid w:val="004D6345"/>
    <w:rsid w:val="005168C1"/>
    <w:rsid w:val="0052661D"/>
    <w:rsid w:val="0053605F"/>
    <w:rsid w:val="00557E7A"/>
    <w:rsid w:val="00582A47"/>
    <w:rsid w:val="00584484"/>
    <w:rsid w:val="005A5A8B"/>
    <w:rsid w:val="005B03B5"/>
    <w:rsid w:val="005C68A4"/>
    <w:rsid w:val="006164C9"/>
    <w:rsid w:val="00644298"/>
    <w:rsid w:val="00665385"/>
    <w:rsid w:val="006772BC"/>
    <w:rsid w:val="00692FD8"/>
    <w:rsid w:val="006D1EC8"/>
    <w:rsid w:val="006D66AB"/>
    <w:rsid w:val="006F427B"/>
    <w:rsid w:val="006F5CC7"/>
    <w:rsid w:val="00706ADB"/>
    <w:rsid w:val="00721A4D"/>
    <w:rsid w:val="00793361"/>
    <w:rsid w:val="007C7FC8"/>
    <w:rsid w:val="007F37B4"/>
    <w:rsid w:val="007F7B4B"/>
    <w:rsid w:val="0082155B"/>
    <w:rsid w:val="00832DC9"/>
    <w:rsid w:val="008544BF"/>
    <w:rsid w:val="008828F3"/>
    <w:rsid w:val="008A7CEC"/>
    <w:rsid w:val="008C7AEF"/>
    <w:rsid w:val="00905E03"/>
    <w:rsid w:val="009061A1"/>
    <w:rsid w:val="00911428"/>
    <w:rsid w:val="009244F5"/>
    <w:rsid w:val="0092567D"/>
    <w:rsid w:val="00935357"/>
    <w:rsid w:val="00966765"/>
    <w:rsid w:val="00994FCB"/>
    <w:rsid w:val="009B3182"/>
    <w:rsid w:val="009C3668"/>
    <w:rsid w:val="00A0475B"/>
    <w:rsid w:val="00A30FB8"/>
    <w:rsid w:val="00A36CB1"/>
    <w:rsid w:val="00A54518"/>
    <w:rsid w:val="00A649B4"/>
    <w:rsid w:val="00A73E4A"/>
    <w:rsid w:val="00A76EDC"/>
    <w:rsid w:val="00A80087"/>
    <w:rsid w:val="00AA0F29"/>
    <w:rsid w:val="00AB56BA"/>
    <w:rsid w:val="00AC1C9C"/>
    <w:rsid w:val="00B04EEC"/>
    <w:rsid w:val="00B11A74"/>
    <w:rsid w:val="00B55197"/>
    <w:rsid w:val="00B61D36"/>
    <w:rsid w:val="00B72C23"/>
    <w:rsid w:val="00B953A7"/>
    <w:rsid w:val="00BA3761"/>
    <w:rsid w:val="00BD5FF9"/>
    <w:rsid w:val="00BE23A9"/>
    <w:rsid w:val="00C07B94"/>
    <w:rsid w:val="00C1078B"/>
    <w:rsid w:val="00C10C63"/>
    <w:rsid w:val="00C61B93"/>
    <w:rsid w:val="00C7328C"/>
    <w:rsid w:val="00C74701"/>
    <w:rsid w:val="00C767F2"/>
    <w:rsid w:val="00C93DBD"/>
    <w:rsid w:val="00CA0C21"/>
    <w:rsid w:val="00CD4FA5"/>
    <w:rsid w:val="00CD7DA9"/>
    <w:rsid w:val="00CE0C6F"/>
    <w:rsid w:val="00CE48DB"/>
    <w:rsid w:val="00D01840"/>
    <w:rsid w:val="00D02184"/>
    <w:rsid w:val="00D328C4"/>
    <w:rsid w:val="00D46516"/>
    <w:rsid w:val="00E04C40"/>
    <w:rsid w:val="00E14348"/>
    <w:rsid w:val="00E147FC"/>
    <w:rsid w:val="00E2000B"/>
    <w:rsid w:val="00E21C87"/>
    <w:rsid w:val="00E36505"/>
    <w:rsid w:val="00E422CA"/>
    <w:rsid w:val="00E64A1B"/>
    <w:rsid w:val="00E82777"/>
    <w:rsid w:val="00E9369B"/>
    <w:rsid w:val="00E97EA1"/>
    <w:rsid w:val="00EA1D69"/>
    <w:rsid w:val="00F5529A"/>
    <w:rsid w:val="00F857DF"/>
    <w:rsid w:val="00FA37A5"/>
    <w:rsid w:val="00FB6810"/>
    <w:rsid w:val="00FC0652"/>
    <w:rsid w:val="00FC0B4E"/>
    <w:rsid w:val="00FC460F"/>
    <w:rsid w:val="00FC54A1"/>
    <w:rsid w:val="00FF28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0F"/>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49B4"/>
    <w:pPr>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649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0F29"/>
    <w:rPr>
      <w:sz w:val="16"/>
      <w:szCs w:val="16"/>
    </w:rPr>
  </w:style>
  <w:style w:type="paragraph" w:styleId="CommentText">
    <w:name w:val="annotation text"/>
    <w:basedOn w:val="Normal"/>
    <w:link w:val="CommentTextChar"/>
    <w:uiPriority w:val="99"/>
    <w:semiHidden/>
    <w:unhideWhenUsed/>
    <w:rsid w:val="00AA0F29"/>
    <w:rPr>
      <w:sz w:val="20"/>
      <w:szCs w:val="20"/>
    </w:rPr>
  </w:style>
  <w:style w:type="character" w:customStyle="1" w:styleId="CommentTextChar">
    <w:name w:val="Comment Text Char"/>
    <w:basedOn w:val="DefaultParagraphFont"/>
    <w:link w:val="CommentText"/>
    <w:uiPriority w:val="99"/>
    <w:semiHidden/>
    <w:rsid w:val="00AA0F29"/>
    <w:rPr>
      <w:sz w:val="20"/>
      <w:szCs w:val="20"/>
    </w:rPr>
  </w:style>
  <w:style w:type="paragraph" w:styleId="CommentSubject">
    <w:name w:val="annotation subject"/>
    <w:basedOn w:val="CommentText"/>
    <w:next w:val="CommentText"/>
    <w:link w:val="CommentSubjectChar"/>
    <w:uiPriority w:val="99"/>
    <w:semiHidden/>
    <w:unhideWhenUsed/>
    <w:rsid w:val="00AA0F29"/>
    <w:rPr>
      <w:b/>
      <w:bCs/>
    </w:rPr>
  </w:style>
  <w:style w:type="character" w:customStyle="1" w:styleId="CommentSubjectChar">
    <w:name w:val="Comment Subject Char"/>
    <w:basedOn w:val="CommentTextChar"/>
    <w:link w:val="CommentSubject"/>
    <w:uiPriority w:val="99"/>
    <w:semiHidden/>
    <w:rsid w:val="00AA0F29"/>
    <w:rPr>
      <w:b/>
      <w:bCs/>
    </w:rPr>
  </w:style>
  <w:style w:type="paragraph" w:styleId="BalloonText">
    <w:name w:val="Balloon Text"/>
    <w:basedOn w:val="Normal"/>
    <w:link w:val="BalloonTextChar"/>
    <w:uiPriority w:val="99"/>
    <w:semiHidden/>
    <w:unhideWhenUsed/>
    <w:rsid w:val="00AA0F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F29"/>
    <w:rPr>
      <w:rFonts w:ascii="Tahoma" w:hAnsi="Tahoma" w:cs="Tahoma"/>
      <w:sz w:val="16"/>
      <w:szCs w:val="16"/>
    </w:rPr>
  </w:style>
  <w:style w:type="paragraph" w:styleId="NormalWeb">
    <w:name w:val="Normal (Web)"/>
    <w:basedOn w:val="Normal"/>
    <w:uiPriority w:val="99"/>
    <w:unhideWhenUsed/>
    <w:rsid w:val="007F7B4B"/>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06ADB"/>
    <w:rPr>
      <w:color w:val="0000FF" w:themeColor="hyperlink"/>
      <w:u w:val="single"/>
    </w:rPr>
  </w:style>
  <w:style w:type="paragraph" w:styleId="BodyTextIndent">
    <w:name w:val="Body Text Indent"/>
    <w:basedOn w:val="Normal"/>
    <w:link w:val="BodyTextIndentChar"/>
    <w:uiPriority w:val="99"/>
    <w:semiHidden/>
    <w:unhideWhenUsed/>
    <w:rsid w:val="00905E03"/>
    <w:pPr>
      <w:spacing w:after="120"/>
      <w:ind w:left="283"/>
    </w:pPr>
  </w:style>
  <w:style w:type="character" w:customStyle="1" w:styleId="BodyTextIndentChar">
    <w:name w:val="Body Text Indent Char"/>
    <w:basedOn w:val="DefaultParagraphFont"/>
    <w:link w:val="BodyTextIndent"/>
    <w:uiPriority w:val="99"/>
    <w:semiHidden/>
    <w:rsid w:val="00905E03"/>
  </w:style>
  <w:style w:type="paragraph" w:customStyle="1" w:styleId="dot">
    <w:name w:val="dot"/>
    <w:basedOn w:val="Normal"/>
    <w:rsid w:val="00905E03"/>
    <w:pPr>
      <w:numPr>
        <w:numId w:val="2"/>
      </w:numPr>
      <w:spacing w:after="0"/>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05E03"/>
    <w:pPr>
      <w:ind w:left="720"/>
      <w:contextualSpacing/>
    </w:pPr>
  </w:style>
  <w:style w:type="character" w:styleId="FollowedHyperlink">
    <w:name w:val="FollowedHyperlink"/>
    <w:basedOn w:val="DefaultParagraphFont"/>
    <w:uiPriority w:val="99"/>
    <w:semiHidden/>
    <w:unhideWhenUsed/>
    <w:rsid w:val="001D22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827442">
      <w:bodyDiv w:val="1"/>
      <w:marLeft w:val="0"/>
      <w:marRight w:val="0"/>
      <w:marTop w:val="0"/>
      <w:marBottom w:val="0"/>
      <w:divBdr>
        <w:top w:val="none" w:sz="0" w:space="0" w:color="auto"/>
        <w:left w:val="none" w:sz="0" w:space="0" w:color="auto"/>
        <w:bottom w:val="none" w:sz="0" w:space="0" w:color="auto"/>
        <w:right w:val="none" w:sz="0" w:space="0" w:color="auto"/>
      </w:divBdr>
      <w:divsChild>
        <w:div w:id="657542920">
          <w:marLeft w:val="0"/>
          <w:marRight w:val="0"/>
          <w:marTop w:val="0"/>
          <w:marBottom w:val="0"/>
          <w:divBdr>
            <w:top w:val="none" w:sz="0" w:space="0" w:color="auto"/>
            <w:left w:val="none" w:sz="0" w:space="0" w:color="auto"/>
            <w:bottom w:val="none" w:sz="0" w:space="0" w:color="auto"/>
            <w:right w:val="none" w:sz="0" w:space="0" w:color="auto"/>
          </w:divBdr>
          <w:divsChild>
            <w:div w:id="856428656">
              <w:marLeft w:val="0"/>
              <w:marRight w:val="0"/>
              <w:marTop w:val="0"/>
              <w:marBottom w:val="0"/>
              <w:divBdr>
                <w:top w:val="none" w:sz="0" w:space="0" w:color="auto"/>
                <w:left w:val="none" w:sz="0" w:space="0" w:color="auto"/>
                <w:bottom w:val="none" w:sz="0" w:space="0" w:color="auto"/>
                <w:right w:val="none" w:sz="0" w:space="0" w:color="auto"/>
              </w:divBdr>
              <w:divsChild>
                <w:div w:id="372078381">
                  <w:marLeft w:val="0"/>
                  <w:marRight w:val="0"/>
                  <w:marTop w:val="0"/>
                  <w:marBottom w:val="0"/>
                  <w:divBdr>
                    <w:top w:val="none" w:sz="0" w:space="0" w:color="auto"/>
                    <w:left w:val="none" w:sz="0" w:space="0" w:color="auto"/>
                    <w:bottom w:val="none" w:sz="0" w:space="0" w:color="auto"/>
                    <w:right w:val="none" w:sz="0" w:space="0" w:color="auto"/>
                  </w:divBdr>
                  <w:divsChild>
                    <w:div w:id="359867098">
                      <w:marLeft w:val="0"/>
                      <w:marRight w:val="0"/>
                      <w:marTop w:val="0"/>
                      <w:marBottom w:val="0"/>
                      <w:divBdr>
                        <w:top w:val="none" w:sz="0" w:space="0" w:color="auto"/>
                        <w:left w:val="none" w:sz="0" w:space="0" w:color="auto"/>
                        <w:bottom w:val="none" w:sz="0" w:space="0" w:color="auto"/>
                        <w:right w:val="none" w:sz="0" w:space="0" w:color="auto"/>
                      </w:divBdr>
                      <w:divsChild>
                        <w:div w:id="18410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84099">
      <w:bodyDiv w:val="1"/>
      <w:marLeft w:val="0"/>
      <w:marRight w:val="0"/>
      <w:marTop w:val="0"/>
      <w:marBottom w:val="0"/>
      <w:divBdr>
        <w:top w:val="none" w:sz="0" w:space="0" w:color="auto"/>
        <w:left w:val="none" w:sz="0" w:space="0" w:color="auto"/>
        <w:bottom w:val="none" w:sz="0" w:space="0" w:color="auto"/>
        <w:right w:val="none" w:sz="0" w:space="0" w:color="auto"/>
      </w:divBdr>
    </w:div>
    <w:div w:id="720598729">
      <w:bodyDiv w:val="1"/>
      <w:marLeft w:val="0"/>
      <w:marRight w:val="0"/>
      <w:marTop w:val="0"/>
      <w:marBottom w:val="0"/>
      <w:divBdr>
        <w:top w:val="none" w:sz="0" w:space="0" w:color="auto"/>
        <w:left w:val="none" w:sz="0" w:space="0" w:color="auto"/>
        <w:bottom w:val="none" w:sz="0" w:space="0" w:color="auto"/>
        <w:right w:val="none" w:sz="0" w:space="0" w:color="auto"/>
      </w:divBdr>
      <w:divsChild>
        <w:div w:id="2112968407">
          <w:marLeft w:val="0"/>
          <w:marRight w:val="0"/>
          <w:marTop w:val="0"/>
          <w:marBottom w:val="0"/>
          <w:divBdr>
            <w:top w:val="none" w:sz="0" w:space="0" w:color="auto"/>
            <w:left w:val="none" w:sz="0" w:space="0" w:color="auto"/>
            <w:bottom w:val="none" w:sz="0" w:space="0" w:color="auto"/>
            <w:right w:val="none" w:sz="0" w:space="0" w:color="auto"/>
          </w:divBdr>
          <w:divsChild>
            <w:div w:id="732310020">
              <w:marLeft w:val="0"/>
              <w:marRight w:val="0"/>
              <w:marTop w:val="0"/>
              <w:marBottom w:val="0"/>
              <w:divBdr>
                <w:top w:val="none" w:sz="0" w:space="0" w:color="auto"/>
                <w:left w:val="none" w:sz="0" w:space="0" w:color="auto"/>
                <w:bottom w:val="none" w:sz="0" w:space="0" w:color="auto"/>
                <w:right w:val="none" w:sz="0" w:space="0" w:color="auto"/>
              </w:divBdr>
              <w:divsChild>
                <w:div w:id="1946158932">
                  <w:marLeft w:val="0"/>
                  <w:marRight w:val="0"/>
                  <w:marTop w:val="0"/>
                  <w:marBottom w:val="0"/>
                  <w:divBdr>
                    <w:top w:val="none" w:sz="0" w:space="0" w:color="auto"/>
                    <w:left w:val="none" w:sz="0" w:space="0" w:color="auto"/>
                    <w:bottom w:val="none" w:sz="0" w:space="0" w:color="auto"/>
                    <w:right w:val="none" w:sz="0" w:space="0" w:color="auto"/>
                  </w:divBdr>
                  <w:divsChild>
                    <w:div w:id="1980108857">
                      <w:marLeft w:val="0"/>
                      <w:marRight w:val="0"/>
                      <w:marTop w:val="0"/>
                      <w:marBottom w:val="0"/>
                      <w:divBdr>
                        <w:top w:val="none" w:sz="0" w:space="0" w:color="auto"/>
                        <w:left w:val="none" w:sz="0" w:space="0" w:color="auto"/>
                        <w:bottom w:val="none" w:sz="0" w:space="0" w:color="auto"/>
                        <w:right w:val="none" w:sz="0" w:space="0" w:color="auto"/>
                      </w:divBdr>
                      <w:divsChild>
                        <w:div w:id="4310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66E86025BF6FA0499C3F8E86C8E63468" ma:contentTypeVersion="1" ma:contentTypeDescription="Create a blank document" ma:contentTypeScope="" ma:versionID="1eedaeec2ff7e50ad9016196a92a1b49">
  <xsd:schema xmlns:xsd="http://www.w3.org/2001/XMLSchema" xmlns:xs="http://www.w3.org/2001/XMLSchema" xmlns:p="http://schemas.microsoft.com/office/2006/metadata/properties" xmlns:ns2="0d6bab15-32b2-482f-9d32-d1d4c802fe8a" targetNamespace="http://schemas.microsoft.com/office/2006/metadata/properties" ma:root="true" ma:fieldsID="d3364a9c063e77621f74a6736c9ed1ab" ns2:_="">
    <xsd:import namespace="0d6bab15-32b2-482f-9d32-d1d4c802fe8a"/>
    <xsd:element name="properties">
      <xsd:complexType>
        <xsd:sequence>
          <xsd:element name="documentManagement">
            <xsd:complexType>
              <xsd:all>
                <xsd:element ref="ns2:LP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ab15-32b2-482f-9d32-d1d4c802fe8a" elementFormDefault="qualified">
    <xsd:import namespace="http://schemas.microsoft.com/office/2006/documentManagement/types"/>
    <xsd:import namespace="http://schemas.microsoft.com/office/infopath/2007/PartnerControls"/>
    <xsd:element name="LPDocumentType" ma:index="8" ma:displayName="Document Type" ma:list="{D1E78D4B-6B05-4362-8385-84435DC237BC}" ma:internalName="LPDocumentType" ma:showField="Title" ma:web="0d6bab15-32b2-482f-9d32-d1d4c802fe8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PDocumentType xmlns="0d6bab15-32b2-482f-9d32-d1d4c802fe8a">354</LPDocumentType>
  </documentManagement>
</p:properties>
</file>

<file path=customXml/itemProps1.xml><?xml version="1.0" encoding="utf-8"?>
<ds:datastoreItem xmlns:ds="http://schemas.openxmlformats.org/officeDocument/2006/customXml" ds:itemID="{B1C6C9D3-C60A-4FAF-8D3C-A88AAB50EE24}">
  <ds:schemaRefs>
    <ds:schemaRef ds:uri="http://schemas.microsoft.com/sharepoint/v3/contenttype/forms"/>
  </ds:schemaRefs>
</ds:datastoreItem>
</file>

<file path=customXml/itemProps2.xml><?xml version="1.0" encoding="utf-8"?>
<ds:datastoreItem xmlns:ds="http://schemas.openxmlformats.org/officeDocument/2006/customXml" ds:itemID="{C4EFD812-5590-4E24-A016-97EF430B4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ab15-32b2-482f-9d32-d1d4c802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BA8F6-7BDE-4344-9C96-9AFA07AF1E0C}">
  <ds:schemaRefs>
    <ds:schemaRef ds:uri="http://schemas.microsoft.com/office/2006/metadata/properties"/>
    <ds:schemaRef ds:uri="http://schemas.microsoft.com/office/infopath/2007/PartnerControls"/>
    <ds:schemaRef ds:uri="0d6bab15-32b2-482f-9d32-d1d4c802fe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ES Spectrum reallocation declaration - 2.5GHz</vt:lpstr>
    </vt:vector>
  </TitlesOfParts>
  <Company>DBCDE</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Spectrum reallocation declaration - 2.5GHz</dc:title>
  <dc:creator>tsmith</dc:creator>
  <cp:lastModifiedBy>nvajrabukka</cp:lastModifiedBy>
  <cp:revision>2</cp:revision>
  <cp:lastPrinted>2011-10-12T01:51:00Z</cp:lastPrinted>
  <dcterms:created xsi:type="dcterms:W3CDTF">2011-10-12T04:23:00Z</dcterms:created>
  <dcterms:modified xsi:type="dcterms:W3CDTF">2011-10-12T04:23:00Z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0x0101007F14BAF55DFB4E6381D4178E259E3EA40066E86025BF6FA0499C3F8E86C8E63468</vt:lpwstr>
  </property>
</Properties>
</file>