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C24" w:rsidRDefault="00FC7C24"/>
    <w:p w:rsidR="00FC7C24" w:rsidRDefault="007345BC" w:rsidP="00A66DC0">
      <w:pPr>
        <w:jc w:val="center"/>
        <w:rPr>
          <w:rFonts w:ascii="Times New Roman" w:hAnsi="Times New Roman"/>
          <w:b/>
          <w:szCs w:val="24"/>
        </w:rPr>
      </w:pPr>
      <w:r>
        <w:rPr>
          <w:rFonts w:ascii="Times New Roman" w:hAnsi="Times New Roman"/>
          <w:b/>
          <w:i/>
        </w:rPr>
        <w:t>THERAPEUTIC GOODS ACT 1989</w:t>
      </w:r>
      <w:r>
        <w:rPr>
          <w:rFonts w:ascii="Times New Roman" w:hAnsi="Times New Roman"/>
          <w:b/>
          <w:szCs w:val="24"/>
        </w:rPr>
        <w:t xml:space="preserve"> </w:t>
      </w:r>
    </w:p>
    <w:p w:rsidR="00FC7C24" w:rsidRDefault="00FC7C24" w:rsidP="00A66DC0">
      <w:pPr>
        <w:jc w:val="center"/>
        <w:rPr>
          <w:rFonts w:ascii="Times New Roman" w:hAnsi="Times New Roman"/>
          <w:b/>
          <w:szCs w:val="24"/>
        </w:rPr>
      </w:pPr>
    </w:p>
    <w:p w:rsidR="00FC7C24" w:rsidRPr="0057157E" w:rsidRDefault="007345BC" w:rsidP="00A66DC0">
      <w:pPr>
        <w:jc w:val="center"/>
        <w:rPr>
          <w:rFonts w:ascii="Times New Roman" w:hAnsi="Times New Roman"/>
          <w:b/>
          <w:szCs w:val="24"/>
        </w:rPr>
      </w:pPr>
      <w:r w:rsidRPr="0057157E">
        <w:rPr>
          <w:rFonts w:ascii="Times New Roman" w:hAnsi="Times New Roman"/>
          <w:b/>
          <w:szCs w:val="24"/>
        </w:rPr>
        <w:t xml:space="preserve"> Therapeutic Goods Order No. </w:t>
      </w:r>
      <w:r w:rsidR="0057157E" w:rsidRPr="0057157E">
        <w:rPr>
          <w:rFonts w:ascii="Times New Roman" w:hAnsi="Times New Roman"/>
          <w:b/>
          <w:szCs w:val="24"/>
        </w:rPr>
        <w:t>89</w:t>
      </w:r>
      <w:r w:rsidR="00A66DC0">
        <w:rPr>
          <w:rFonts w:ascii="Times New Roman" w:hAnsi="Times New Roman"/>
          <w:b/>
          <w:szCs w:val="24"/>
        </w:rPr>
        <w:t xml:space="preserve"> </w:t>
      </w:r>
      <w:r w:rsidRPr="0057157E">
        <w:rPr>
          <w:rFonts w:ascii="Times New Roman" w:hAnsi="Times New Roman"/>
          <w:b/>
          <w:szCs w:val="24"/>
        </w:rPr>
        <w:t>Standard for water for injection</w:t>
      </w:r>
      <w:r w:rsidR="0057157E" w:rsidRPr="0057157E">
        <w:rPr>
          <w:rFonts w:ascii="Times New Roman" w:hAnsi="Times New Roman"/>
          <w:b/>
          <w:szCs w:val="24"/>
        </w:rPr>
        <w:t>s</w:t>
      </w:r>
      <w:r w:rsidRPr="0057157E">
        <w:rPr>
          <w:rFonts w:ascii="Times New Roman" w:hAnsi="Times New Roman"/>
          <w:b/>
          <w:szCs w:val="24"/>
        </w:rPr>
        <w:t xml:space="preserve"> for parenteral medicines </w:t>
      </w:r>
    </w:p>
    <w:p w:rsidR="00FC7C24" w:rsidRDefault="00FC7C24" w:rsidP="00A66DC0">
      <w:pPr>
        <w:jc w:val="center"/>
        <w:rPr>
          <w:rFonts w:ascii="Times New Roman" w:hAnsi="Times New Roman"/>
          <w:b/>
          <w:i/>
          <w:szCs w:val="24"/>
        </w:rPr>
      </w:pPr>
    </w:p>
    <w:p w:rsidR="00FC7C24" w:rsidRDefault="007345BC" w:rsidP="00A66DC0">
      <w:pPr>
        <w:rPr>
          <w:rFonts w:ascii="Times New Roman" w:hAnsi="Times New Roman"/>
          <w:szCs w:val="24"/>
        </w:rPr>
      </w:pPr>
      <w:r>
        <w:rPr>
          <w:rFonts w:ascii="Times New Roman" w:hAnsi="Times New Roman"/>
          <w:szCs w:val="24"/>
        </w:rPr>
        <w:t xml:space="preserve">I, </w:t>
      </w:r>
      <w:proofErr w:type="spellStart"/>
      <w:r w:rsidR="0057157E">
        <w:rPr>
          <w:rFonts w:ascii="Times New Roman" w:hAnsi="Times New Roman"/>
          <w:szCs w:val="24"/>
        </w:rPr>
        <w:t>Rohan</w:t>
      </w:r>
      <w:proofErr w:type="spellEnd"/>
      <w:r w:rsidR="0057157E">
        <w:rPr>
          <w:rFonts w:ascii="Times New Roman" w:hAnsi="Times New Roman"/>
          <w:szCs w:val="24"/>
        </w:rPr>
        <w:t xml:space="preserve"> Hammett</w:t>
      </w:r>
      <w:r>
        <w:rPr>
          <w:rFonts w:ascii="Times New Roman" w:hAnsi="Times New Roman"/>
          <w:szCs w:val="24"/>
        </w:rPr>
        <w:t xml:space="preserve">, delegate of the Minister for Health and Ageing for the purposes of section 10 of the </w:t>
      </w:r>
      <w:r>
        <w:rPr>
          <w:rFonts w:ascii="Times New Roman" w:hAnsi="Times New Roman"/>
          <w:i/>
          <w:szCs w:val="24"/>
        </w:rPr>
        <w:t>Therapeutic Goods Act 1989</w:t>
      </w:r>
      <w:r>
        <w:rPr>
          <w:rFonts w:ascii="Times New Roman" w:hAnsi="Times New Roman"/>
          <w:szCs w:val="24"/>
        </w:rPr>
        <w:t xml:space="preserve"> (‘the Act’) and acting under that section, having consulted with the Therapeutic Goods Committee in accordance with subsection 1</w:t>
      </w:r>
      <w:r w:rsidR="00A66DC0">
        <w:rPr>
          <w:rFonts w:ascii="Times New Roman" w:hAnsi="Times New Roman"/>
          <w:szCs w:val="24"/>
        </w:rPr>
        <w:t xml:space="preserve">0(4) of the Act, HEREBY </w:t>
      </w:r>
      <w:r>
        <w:rPr>
          <w:rFonts w:ascii="Times New Roman" w:hAnsi="Times New Roman"/>
          <w:szCs w:val="24"/>
        </w:rPr>
        <w:t>DETERMINE that matters specified in this Order constitute a standard for water for injection</w:t>
      </w:r>
      <w:r w:rsidR="00A66DC0">
        <w:rPr>
          <w:rFonts w:ascii="Times New Roman" w:hAnsi="Times New Roman"/>
          <w:szCs w:val="24"/>
        </w:rPr>
        <w:t>s</w:t>
      </w:r>
      <w:r>
        <w:rPr>
          <w:rFonts w:ascii="Times New Roman" w:hAnsi="Times New Roman"/>
          <w:szCs w:val="24"/>
        </w:rPr>
        <w:t>:</w:t>
      </w:r>
    </w:p>
    <w:p w:rsidR="00FC7C24" w:rsidRDefault="007345BC" w:rsidP="00A66DC0">
      <w:pPr>
        <w:numPr>
          <w:ilvl w:val="1"/>
          <w:numId w:val="1"/>
        </w:numPr>
        <w:tabs>
          <w:tab w:val="clear" w:pos="1440"/>
          <w:tab w:val="num" w:pos="360"/>
        </w:tabs>
        <w:ind w:left="360"/>
        <w:rPr>
          <w:rFonts w:ascii="Times New Roman" w:hAnsi="Times New Roman"/>
          <w:szCs w:val="24"/>
        </w:rPr>
      </w:pPr>
      <w:r>
        <w:rPr>
          <w:rFonts w:ascii="Times New Roman" w:hAnsi="Times New Roman"/>
          <w:szCs w:val="24"/>
        </w:rPr>
        <w:t xml:space="preserve">for therapeutic use </w:t>
      </w:r>
      <w:r w:rsidR="00A66DC0">
        <w:rPr>
          <w:rFonts w:ascii="Times New Roman" w:hAnsi="Times New Roman"/>
          <w:szCs w:val="24"/>
        </w:rPr>
        <w:t>as</w:t>
      </w:r>
      <w:r>
        <w:rPr>
          <w:rFonts w:ascii="Times New Roman" w:hAnsi="Times New Roman"/>
          <w:szCs w:val="24"/>
        </w:rPr>
        <w:t xml:space="preserve"> a parenteral medicine; or</w:t>
      </w:r>
    </w:p>
    <w:p w:rsidR="00FC7C24" w:rsidRDefault="007345BC" w:rsidP="00A66DC0">
      <w:pPr>
        <w:numPr>
          <w:ilvl w:val="1"/>
          <w:numId w:val="1"/>
        </w:numPr>
        <w:tabs>
          <w:tab w:val="clear" w:pos="1440"/>
          <w:tab w:val="num" w:pos="360"/>
        </w:tabs>
        <w:ind w:left="360"/>
        <w:rPr>
          <w:rFonts w:ascii="Times New Roman" w:hAnsi="Times New Roman"/>
          <w:szCs w:val="24"/>
        </w:rPr>
      </w:pPr>
      <w:r>
        <w:rPr>
          <w:rFonts w:ascii="Times New Roman" w:hAnsi="Times New Roman"/>
          <w:szCs w:val="24"/>
        </w:rPr>
        <w:t>for use as an ingredient or component in the manufacture of a parenteral medicine</w:t>
      </w:r>
    </w:p>
    <w:p w:rsidR="00FC7C24" w:rsidRDefault="007345BC" w:rsidP="00A66DC0">
      <w:pPr>
        <w:rPr>
          <w:rFonts w:ascii="Times New Roman" w:hAnsi="Times New Roman"/>
          <w:szCs w:val="24"/>
        </w:rPr>
      </w:pPr>
      <w:r>
        <w:rPr>
          <w:rFonts w:ascii="Times New Roman" w:hAnsi="Times New Roman"/>
          <w:szCs w:val="24"/>
        </w:rPr>
        <w:t>other than for:</w:t>
      </w:r>
    </w:p>
    <w:p w:rsidR="00FC7C24" w:rsidRDefault="007345BC" w:rsidP="00A66DC0">
      <w:pPr>
        <w:rPr>
          <w:rFonts w:ascii="Times New Roman" w:hAnsi="Times New Roman"/>
          <w:szCs w:val="24"/>
        </w:rPr>
      </w:pPr>
      <w:r>
        <w:rPr>
          <w:rFonts w:ascii="Times New Roman" w:hAnsi="Times New Roman"/>
          <w:szCs w:val="24"/>
        </w:rPr>
        <w:t>c.   an export only medicine; or</w:t>
      </w:r>
    </w:p>
    <w:p w:rsidR="00FC7C24" w:rsidRDefault="007345BC" w:rsidP="00A66DC0">
      <w:pPr>
        <w:rPr>
          <w:rFonts w:ascii="Times New Roman" w:hAnsi="Times New Roman"/>
          <w:szCs w:val="24"/>
        </w:rPr>
      </w:pPr>
      <w:r>
        <w:rPr>
          <w:rFonts w:ascii="Times New Roman" w:hAnsi="Times New Roman"/>
          <w:szCs w:val="24"/>
        </w:rPr>
        <w:t xml:space="preserve">d.   a personal import as described under Item 1 of Schedule 5 of the </w:t>
      </w:r>
      <w:r w:rsidR="00A66DC0">
        <w:rPr>
          <w:rFonts w:ascii="Times New Roman" w:hAnsi="Times New Roman"/>
          <w:szCs w:val="24"/>
        </w:rPr>
        <w:t xml:space="preserve">Therapeutic Goods </w:t>
      </w:r>
      <w:r>
        <w:rPr>
          <w:rFonts w:ascii="Times New Roman" w:hAnsi="Times New Roman"/>
          <w:szCs w:val="24"/>
        </w:rPr>
        <w:t>Regulations</w:t>
      </w:r>
      <w:r w:rsidR="00A66DC0">
        <w:rPr>
          <w:rFonts w:ascii="Times New Roman" w:hAnsi="Times New Roman"/>
          <w:szCs w:val="24"/>
        </w:rPr>
        <w:t xml:space="preserve"> 1990</w:t>
      </w:r>
      <w:r>
        <w:rPr>
          <w:rFonts w:ascii="Times New Roman" w:hAnsi="Times New Roman"/>
          <w:szCs w:val="24"/>
        </w:rPr>
        <w:t>.</w:t>
      </w:r>
    </w:p>
    <w:p w:rsidR="00A66DC0" w:rsidRDefault="00A66DC0" w:rsidP="00A66DC0">
      <w:pPr>
        <w:ind w:left="1080"/>
      </w:pPr>
    </w:p>
    <w:p w:rsidR="00FC7C24" w:rsidRDefault="007345BC" w:rsidP="00A66DC0">
      <w:pPr>
        <w:pStyle w:val="Heading2"/>
        <w:spacing w:before="0" w:after="0"/>
        <w:rPr>
          <w:rFonts w:ascii="Times New Roman" w:hAnsi="Times New Roman" w:cs="Times New Roman"/>
          <w:sz w:val="24"/>
          <w:szCs w:val="24"/>
        </w:rPr>
      </w:pPr>
      <w:r>
        <w:rPr>
          <w:rFonts w:ascii="Times New Roman" w:hAnsi="Times New Roman" w:cs="Times New Roman"/>
          <w:sz w:val="24"/>
          <w:szCs w:val="24"/>
        </w:rPr>
        <w:t>Standard</w:t>
      </w:r>
    </w:p>
    <w:p w:rsidR="00FC7C24" w:rsidRDefault="007345BC" w:rsidP="00A66DC0">
      <w:pPr>
        <w:tabs>
          <w:tab w:val="left" w:pos="1026"/>
          <w:tab w:val="left" w:pos="1134"/>
          <w:tab w:val="left" w:pos="1276"/>
          <w:tab w:val="left" w:pos="2268"/>
          <w:tab w:val="left" w:pos="2835"/>
          <w:tab w:val="left" w:pos="3402"/>
        </w:tabs>
        <w:rPr>
          <w:rFonts w:ascii="Times New Roman" w:hAnsi="Times New Roman"/>
          <w:szCs w:val="24"/>
        </w:rPr>
      </w:pPr>
      <w:r>
        <w:rPr>
          <w:rFonts w:ascii="Times New Roman" w:hAnsi="Times New Roman"/>
          <w:szCs w:val="24"/>
        </w:rPr>
        <w:t>Water for injection</w:t>
      </w:r>
      <w:r w:rsidR="0057157E">
        <w:rPr>
          <w:rFonts w:ascii="Times New Roman" w:hAnsi="Times New Roman"/>
          <w:szCs w:val="24"/>
        </w:rPr>
        <w:t>s</w:t>
      </w:r>
      <w:r>
        <w:rPr>
          <w:rFonts w:ascii="Times New Roman" w:hAnsi="Times New Roman"/>
          <w:szCs w:val="24"/>
        </w:rPr>
        <w:t xml:space="preserve"> must comply with the monograph for </w:t>
      </w:r>
      <w:r w:rsidR="0057157E">
        <w:rPr>
          <w:rFonts w:ascii="Times New Roman" w:hAnsi="Times New Roman"/>
          <w:szCs w:val="24"/>
        </w:rPr>
        <w:t xml:space="preserve">Water for Injections </w:t>
      </w:r>
      <w:r>
        <w:rPr>
          <w:rFonts w:ascii="Times New Roman" w:hAnsi="Times New Roman"/>
          <w:szCs w:val="24"/>
        </w:rPr>
        <w:t>in the British Pharmacopoeia or the European Pharmacopoeia.</w:t>
      </w:r>
    </w:p>
    <w:p w:rsidR="00A66DC0" w:rsidRDefault="00A66DC0" w:rsidP="00A66DC0">
      <w:pPr>
        <w:tabs>
          <w:tab w:val="left" w:pos="1026"/>
          <w:tab w:val="left" w:pos="1134"/>
          <w:tab w:val="left" w:pos="1276"/>
          <w:tab w:val="left" w:pos="2268"/>
          <w:tab w:val="left" w:pos="2835"/>
          <w:tab w:val="left" w:pos="3402"/>
        </w:tabs>
        <w:rPr>
          <w:rFonts w:ascii="Times New Roman" w:hAnsi="Times New Roman"/>
          <w:szCs w:val="24"/>
        </w:rPr>
      </w:pPr>
    </w:p>
    <w:p w:rsidR="00FC7C24" w:rsidRDefault="007345BC" w:rsidP="00A66DC0">
      <w:pPr>
        <w:pStyle w:val="Heading2"/>
        <w:spacing w:before="0" w:after="0"/>
        <w:rPr>
          <w:rFonts w:ascii="Times New Roman" w:hAnsi="Times New Roman" w:cs="Times New Roman"/>
          <w:sz w:val="24"/>
          <w:szCs w:val="24"/>
        </w:rPr>
      </w:pPr>
      <w:r>
        <w:rPr>
          <w:rFonts w:ascii="Times New Roman" w:hAnsi="Times New Roman" w:cs="Times New Roman"/>
          <w:sz w:val="24"/>
          <w:szCs w:val="24"/>
        </w:rPr>
        <w:t>Definitions</w:t>
      </w:r>
    </w:p>
    <w:p w:rsidR="00FC7C24" w:rsidRDefault="007345BC" w:rsidP="00A66DC0">
      <w:pPr>
        <w:pStyle w:val="NormalWeb"/>
        <w:spacing w:before="0" w:beforeAutospacing="0" w:after="0" w:afterAutospacing="0"/>
      </w:pPr>
      <w:r>
        <w:t>In this Order:</w:t>
      </w:r>
    </w:p>
    <w:p w:rsidR="00FC7C24" w:rsidRDefault="007345BC" w:rsidP="00A66DC0">
      <w:pPr>
        <w:keepLines/>
        <w:tabs>
          <w:tab w:val="left" w:pos="426"/>
          <w:tab w:val="left" w:pos="1134"/>
          <w:tab w:val="left" w:pos="1701"/>
          <w:tab w:val="left" w:pos="2268"/>
          <w:tab w:val="left" w:pos="2835"/>
          <w:tab w:val="left" w:pos="3402"/>
        </w:tabs>
        <w:rPr>
          <w:rFonts w:ascii="Times New Roman" w:hAnsi="Times New Roman"/>
          <w:szCs w:val="24"/>
        </w:rPr>
      </w:pPr>
      <w:r>
        <w:rPr>
          <w:rFonts w:ascii="Times New Roman" w:hAnsi="Times New Roman"/>
          <w:b/>
          <w:i/>
          <w:szCs w:val="24"/>
        </w:rPr>
        <w:t>monograph</w:t>
      </w:r>
      <w:r>
        <w:rPr>
          <w:rFonts w:ascii="Times New Roman" w:hAnsi="Times New Roman"/>
          <w:szCs w:val="24"/>
        </w:rPr>
        <w:t xml:space="preserve"> means the requirements of, and definitions within, an individual or general monograph of the British Pharmacopoeia or the European Pharmacopoeia, read in conjunction with the General Notices contained in the same edition that are applicable to that monograph.</w:t>
      </w:r>
    </w:p>
    <w:p w:rsidR="00FC7C24" w:rsidRDefault="00FC7C24" w:rsidP="00A66DC0">
      <w:pPr>
        <w:keepLines/>
        <w:tabs>
          <w:tab w:val="left" w:pos="426"/>
          <w:tab w:val="left" w:pos="1134"/>
          <w:tab w:val="left" w:pos="1701"/>
          <w:tab w:val="left" w:pos="2268"/>
          <w:tab w:val="left" w:pos="2835"/>
          <w:tab w:val="left" w:pos="3402"/>
        </w:tabs>
        <w:rPr>
          <w:rFonts w:ascii="Times New Roman" w:hAnsi="Times New Roman"/>
          <w:szCs w:val="24"/>
        </w:rPr>
      </w:pPr>
    </w:p>
    <w:p w:rsidR="00FC7C24" w:rsidRDefault="007345BC" w:rsidP="00A66DC0">
      <w:pPr>
        <w:keepLines/>
        <w:tabs>
          <w:tab w:val="left" w:pos="426"/>
          <w:tab w:val="left" w:pos="1134"/>
          <w:tab w:val="left" w:pos="1701"/>
          <w:tab w:val="left" w:pos="2268"/>
          <w:tab w:val="left" w:pos="2835"/>
          <w:tab w:val="left" w:pos="3402"/>
        </w:tabs>
        <w:rPr>
          <w:rFonts w:ascii="Times New Roman" w:hAnsi="Times New Roman"/>
          <w:szCs w:val="24"/>
        </w:rPr>
      </w:pPr>
      <w:r>
        <w:rPr>
          <w:rFonts w:ascii="Times New Roman" w:hAnsi="Times New Roman"/>
          <w:b/>
          <w:i/>
          <w:szCs w:val="24"/>
        </w:rPr>
        <w:t xml:space="preserve">parenteral medicine </w:t>
      </w:r>
      <w:r>
        <w:rPr>
          <w:rFonts w:ascii="Times New Roman" w:hAnsi="Times New Roman"/>
          <w:szCs w:val="24"/>
        </w:rPr>
        <w:t>means a sterile medicine intended for administration by injection, infusion or implantation into the body.</w:t>
      </w:r>
    </w:p>
    <w:p w:rsidR="00A66DC0" w:rsidRDefault="00A66DC0" w:rsidP="00A66DC0">
      <w:pPr>
        <w:keepLines/>
        <w:tabs>
          <w:tab w:val="left" w:pos="426"/>
          <w:tab w:val="left" w:pos="1134"/>
          <w:tab w:val="left" w:pos="1701"/>
          <w:tab w:val="left" w:pos="2268"/>
          <w:tab w:val="left" w:pos="2835"/>
          <w:tab w:val="left" w:pos="3402"/>
        </w:tabs>
        <w:rPr>
          <w:rFonts w:ascii="Times New Roman" w:hAnsi="Times New Roman"/>
          <w:szCs w:val="24"/>
        </w:rPr>
      </w:pPr>
    </w:p>
    <w:p w:rsidR="00FC7C24" w:rsidRDefault="007345BC" w:rsidP="00A66DC0">
      <w:pPr>
        <w:pStyle w:val="Heading2"/>
        <w:spacing w:before="0" w:after="0"/>
        <w:rPr>
          <w:rFonts w:ascii="Times New Roman" w:hAnsi="Times New Roman" w:cs="Times New Roman"/>
          <w:sz w:val="24"/>
          <w:szCs w:val="24"/>
        </w:rPr>
      </w:pPr>
      <w:r>
        <w:rPr>
          <w:rFonts w:ascii="Times New Roman" w:hAnsi="Times New Roman" w:cs="Times New Roman"/>
          <w:sz w:val="24"/>
          <w:szCs w:val="24"/>
        </w:rPr>
        <w:t>Commencement</w:t>
      </w:r>
    </w:p>
    <w:p w:rsidR="00FC7C24" w:rsidRDefault="007345BC" w:rsidP="00A66DC0">
      <w:pPr>
        <w:tabs>
          <w:tab w:val="left" w:pos="1026"/>
          <w:tab w:val="left" w:pos="1134"/>
          <w:tab w:val="left" w:pos="1276"/>
          <w:tab w:val="left" w:pos="2268"/>
          <w:tab w:val="left" w:pos="2835"/>
          <w:tab w:val="left" w:pos="3402"/>
        </w:tabs>
        <w:rPr>
          <w:rFonts w:ascii="Times New Roman" w:hAnsi="Times New Roman"/>
          <w:szCs w:val="24"/>
        </w:rPr>
      </w:pPr>
      <w:r>
        <w:rPr>
          <w:rFonts w:ascii="Times New Roman" w:hAnsi="Times New Roman"/>
          <w:szCs w:val="24"/>
        </w:rPr>
        <w:t>This Order commences from the day after the day it is registered on the Federal Register of Legislative Instruments.</w:t>
      </w:r>
    </w:p>
    <w:p w:rsidR="00A66DC0" w:rsidRDefault="00A66DC0" w:rsidP="00A66DC0">
      <w:pPr>
        <w:tabs>
          <w:tab w:val="left" w:pos="1026"/>
          <w:tab w:val="left" w:pos="1134"/>
          <w:tab w:val="left" w:pos="1276"/>
          <w:tab w:val="left" w:pos="2268"/>
          <w:tab w:val="left" w:pos="2835"/>
          <w:tab w:val="left" w:pos="3402"/>
        </w:tabs>
        <w:rPr>
          <w:rFonts w:ascii="Times New Roman" w:hAnsi="Times New Roman"/>
          <w:szCs w:val="24"/>
        </w:rPr>
      </w:pPr>
    </w:p>
    <w:p w:rsidR="00A66DC0" w:rsidRDefault="00A66DC0" w:rsidP="00A66DC0">
      <w:pPr>
        <w:tabs>
          <w:tab w:val="left" w:pos="1026"/>
          <w:tab w:val="left" w:pos="1134"/>
          <w:tab w:val="left" w:pos="1276"/>
          <w:tab w:val="left" w:pos="2268"/>
          <w:tab w:val="left" w:pos="2835"/>
          <w:tab w:val="left" w:pos="3402"/>
        </w:tabs>
        <w:rPr>
          <w:rFonts w:ascii="Times New Roman" w:hAnsi="Times New Roman"/>
          <w:szCs w:val="24"/>
        </w:rPr>
      </w:pPr>
    </w:p>
    <w:p w:rsidR="001772AD" w:rsidRDefault="001772AD" w:rsidP="001772AD">
      <w:pPr>
        <w:rPr>
          <w:rFonts w:ascii="Times New Roman" w:hAnsi="Times New Roman"/>
          <w:szCs w:val="24"/>
        </w:rPr>
      </w:pPr>
      <w:r>
        <w:rPr>
          <w:rFonts w:ascii="Times New Roman" w:hAnsi="Times New Roman"/>
          <w:szCs w:val="24"/>
        </w:rPr>
        <w:t>Dated this 18</w:t>
      </w:r>
      <w:r w:rsidRPr="00F639D3">
        <w:rPr>
          <w:rFonts w:ascii="Times New Roman" w:hAnsi="Times New Roman"/>
          <w:szCs w:val="24"/>
          <w:vertAlign w:val="superscript"/>
        </w:rPr>
        <w:t>th</w:t>
      </w:r>
      <w:r>
        <w:rPr>
          <w:rFonts w:ascii="Times New Roman" w:hAnsi="Times New Roman"/>
          <w:szCs w:val="24"/>
        </w:rPr>
        <w:t xml:space="preserve"> day of October 2011</w:t>
      </w:r>
    </w:p>
    <w:p w:rsidR="001772AD" w:rsidRDefault="001772AD" w:rsidP="00A66DC0">
      <w:pPr>
        <w:tabs>
          <w:tab w:val="left" w:pos="1026"/>
          <w:tab w:val="left" w:pos="1134"/>
          <w:tab w:val="left" w:pos="1276"/>
          <w:tab w:val="left" w:pos="2268"/>
          <w:tab w:val="left" w:pos="2835"/>
          <w:tab w:val="left" w:pos="3402"/>
        </w:tabs>
        <w:rPr>
          <w:rFonts w:ascii="Times New Roman" w:hAnsi="Times New Roman"/>
          <w:szCs w:val="24"/>
        </w:rPr>
      </w:pPr>
    </w:p>
    <w:p w:rsidR="001772AD" w:rsidRDefault="001772AD" w:rsidP="00A66DC0">
      <w:pPr>
        <w:tabs>
          <w:tab w:val="left" w:pos="1026"/>
          <w:tab w:val="left" w:pos="1134"/>
          <w:tab w:val="left" w:pos="1276"/>
          <w:tab w:val="left" w:pos="2268"/>
          <w:tab w:val="left" w:pos="2835"/>
          <w:tab w:val="left" w:pos="3402"/>
        </w:tabs>
        <w:rPr>
          <w:rFonts w:ascii="Times New Roman" w:hAnsi="Times New Roman"/>
          <w:szCs w:val="24"/>
        </w:rPr>
      </w:pPr>
    </w:p>
    <w:p w:rsidR="001772AD" w:rsidRDefault="001772AD" w:rsidP="00A66DC0">
      <w:pPr>
        <w:tabs>
          <w:tab w:val="left" w:pos="1026"/>
          <w:tab w:val="left" w:pos="1134"/>
          <w:tab w:val="left" w:pos="1276"/>
          <w:tab w:val="left" w:pos="2268"/>
          <w:tab w:val="left" w:pos="2835"/>
          <w:tab w:val="left" w:pos="3402"/>
        </w:tabs>
        <w:rPr>
          <w:rFonts w:ascii="Times New Roman" w:hAnsi="Times New Roman"/>
          <w:szCs w:val="24"/>
        </w:rPr>
      </w:pPr>
    </w:p>
    <w:p w:rsidR="00F639D3" w:rsidRDefault="00F639D3" w:rsidP="00A66DC0">
      <w:pPr>
        <w:tabs>
          <w:tab w:val="left" w:pos="1026"/>
          <w:tab w:val="left" w:pos="1134"/>
          <w:tab w:val="left" w:pos="1276"/>
          <w:tab w:val="left" w:pos="2268"/>
          <w:tab w:val="left" w:pos="2835"/>
          <w:tab w:val="left" w:pos="3402"/>
        </w:tabs>
        <w:rPr>
          <w:rFonts w:ascii="Times New Roman" w:hAnsi="Times New Roman"/>
          <w:szCs w:val="24"/>
        </w:rPr>
      </w:pPr>
      <w:r>
        <w:rPr>
          <w:rFonts w:ascii="Times New Roman" w:hAnsi="Times New Roman"/>
          <w:szCs w:val="24"/>
        </w:rPr>
        <w:t>(signed by)</w:t>
      </w:r>
    </w:p>
    <w:p w:rsidR="00A66DC0" w:rsidRDefault="00A66DC0" w:rsidP="00A66DC0">
      <w:pPr>
        <w:rPr>
          <w:rFonts w:ascii="Times New Roman" w:hAnsi="Times New Roman"/>
          <w:szCs w:val="24"/>
        </w:rPr>
      </w:pPr>
    </w:p>
    <w:p w:rsidR="00A66DC0" w:rsidRDefault="0057157E" w:rsidP="00A66DC0">
      <w:pPr>
        <w:rPr>
          <w:rFonts w:ascii="Times New Roman" w:hAnsi="Times New Roman"/>
          <w:szCs w:val="24"/>
        </w:rPr>
      </w:pPr>
      <w:proofErr w:type="spellStart"/>
      <w:r>
        <w:rPr>
          <w:rFonts w:ascii="Times New Roman" w:hAnsi="Times New Roman"/>
          <w:szCs w:val="24"/>
        </w:rPr>
        <w:t>Rohan</w:t>
      </w:r>
      <w:proofErr w:type="spellEnd"/>
      <w:r>
        <w:rPr>
          <w:rFonts w:ascii="Times New Roman" w:hAnsi="Times New Roman"/>
          <w:szCs w:val="24"/>
        </w:rPr>
        <w:t xml:space="preserve"> Hammett</w:t>
      </w:r>
    </w:p>
    <w:p w:rsidR="00FC7C24" w:rsidRDefault="007345BC" w:rsidP="00A66DC0">
      <w:pPr>
        <w:rPr>
          <w:rFonts w:ascii="Times New Roman" w:hAnsi="Times New Roman"/>
          <w:szCs w:val="24"/>
        </w:rPr>
      </w:pPr>
      <w:r>
        <w:rPr>
          <w:rFonts w:ascii="Times New Roman" w:hAnsi="Times New Roman"/>
          <w:szCs w:val="24"/>
        </w:rPr>
        <w:t>Delegate of the Minister for Health and Ageing</w:t>
      </w:r>
    </w:p>
    <w:sectPr w:rsidR="00FC7C24" w:rsidSect="00FC7C24">
      <w:headerReference w:type="even" r:id="rId7"/>
      <w:headerReference w:type="default" r:id="rId8"/>
      <w:headerReference w:type="first" r:id="rId9"/>
      <w:pgSz w:w="11906" w:h="16838" w:code="9"/>
      <w:pgMar w:top="1134" w:right="1418" w:bottom="1134" w:left="1418" w:header="720" w:footer="284" w:gutter="0"/>
      <w:paperSrc w:first="7" w:other="7"/>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DC0" w:rsidRDefault="00A66DC0">
      <w:r>
        <w:separator/>
      </w:r>
    </w:p>
  </w:endnote>
  <w:endnote w:type="continuationSeparator" w:id="0">
    <w:p w:rsidR="00A66DC0" w:rsidRDefault="00A66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DC0" w:rsidRDefault="00A66DC0">
      <w:r>
        <w:separator/>
      </w:r>
    </w:p>
  </w:footnote>
  <w:footnote w:type="continuationSeparator" w:id="0">
    <w:p w:rsidR="00A66DC0" w:rsidRDefault="00A66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C0" w:rsidRDefault="00A66D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C0" w:rsidRDefault="00A66DC0">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C0" w:rsidRDefault="007F1932">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9pt;height:119pt" fillcolor="window">
          <v:imagedata r:id="rId1" o:title="H&amp;A TGA vert blackBOLD 7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C5E56"/>
    <w:multiLevelType w:val="multilevel"/>
    <w:tmpl w:val="2C8EA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786015E"/>
    <w:multiLevelType w:val="multilevel"/>
    <w:tmpl w:val="A0C88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3D5C6B"/>
    <w:multiLevelType w:val="multilevel"/>
    <w:tmpl w:val="A0C88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activeWritingStyle w:appName="MSWord" w:lang="en-AU" w:vendorID="8" w:dllVersion="513" w:checkStyle="1"/>
  <w:proofState w:spelling="clean"/>
  <w:attachedTemplate r:id="rId1"/>
  <w:stylePaneFormatFilter w:val="3F01"/>
  <w:doNotTrackMoves/>
  <w:defaultTabStop w:val="567"/>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52103"/>
    <w:rsid w:val="001772AD"/>
    <w:rsid w:val="0057157E"/>
    <w:rsid w:val="007345BC"/>
    <w:rsid w:val="007903A6"/>
    <w:rsid w:val="007F1932"/>
    <w:rsid w:val="00852103"/>
    <w:rsid w:val="0087574E"/>
    <w:rsid w:val="00895E4A"/>
    <w:rsid w:val="00A6226D"/>
    <w:rsid w:val="00A66DC0"/>
    <w:rsid w:val="00AA5395"/>
    <w:rsid w:val="00B700C2"/>
    <w:rsid w:val="00DB3023"/>
    <w:rsid w:val="00DE7960"/>
    <w:rsid w:val="00EE79C7"/>
    <w:rsid w:val="00F639D3"/>
    <w:rsid w:val="00FB3A25"/>
    <w:rsid w:val="00FC7C24"/>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C24"/>
    <w:rPr>
      <w:rFonts w:ascii="Arial" w:hAnsi="Arial"/>
      <w:sz w:val="24"/>
    </w:rPr>
  </w:style>
  <w:style w:type="paragraph" w:styleId="Heading2">
    <w:name w:val="heading 2"/>
    <w:basedOn w:val="Normal"/>
    <w:next w:val="Normal"/>
    <w:qFormat/>
    <w:rsid w:val="00FC7C24"/>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7C24"/>
    <w:pPr>
      <w:tabs>
        <w:tab w:val="center" w:pos="4153"/>
        <w:tab w:val="right" w:pos="8306"/>
      </w:tabs>
    </w:pPr>
  </w:style>
  <w:style w:type="paragraph" w:styleId="Footer">
    <w:name w:val="footer"/>
    <w:basedOn w:val="Normal"/>
    <w:rsid w:val="00FC7C24"/>
    <w:pPr>
      <w:tabs>
        <w:tab w:val="center" w:pos="4153"/>
        <w:tab w:val="right" w:pos="8306"/>
      </w:tabs>
    </w:pPr>
  </w:style>
  <w:style w:type="paragraph" w:customStyle="1" w:styleId="Char">
    <w:name w:val="Char"/>
    <w:basedOn w:val="Normal"/>
    <w:rsid w:val="00FC7C24"/>
    <w:rPr>
      <w:rFonts w:cs="Arial"/>
      <w:sz w:val="22"/>
      <w:szCs w:val="22"/>
      <w:lang w:eastAsia="en-US"/>
    </w:rPr>
  </w:style>
  <w:style w:type="character" w:styleId="CommentReference">
    <w:name w:val="annotation reference"/>
    <w:basedOn w:val="DefaultParagraphFont"/>
    <w:semiHidden/>
    <w:rsid w:val="00FC7C24"/>
    <w:rPr>
      <w:sz w:val="16"/>
      <w:szCs w:val="16"/>
    </w:rPr>
  </w:style>
  <w:style w:type="paragraph" w:styleId="CommentText">
    <w:name w:val="annotation text"/>
    <w:basedOn w:val="Normal"/>
    <w:semiHidden/>
    <w:rsid w:val="00FC7C24"/>
    <w:rPr>
      <w:sz w:val="20"/>
    </w:rPr>
  </w:style>
  <w:style w:type="paragraph" w:styleId="NormalWeb">
    <w:name w:val="Normal (Web)"/>
    <w:basedOn w:val="Normal"/>
    <w:rsid w:val="00FC7C24"/>
    <w:pPr>
      <w:spacing w:before="100" w:beforeAutospacing="1" w:after="100" w:afterAutospacing="1"/>
    </w:pPr>
    <w:rPr>
      <w:rFonts w:ascii="Times New Roman" w:hAnsi="Times New Roman"/>
      <w:szCs w:val="24"/>
    </w:rPr>
  </w:style>
  <w:style w:type="paragraph" w:styleId="BalloonText">
    <w:name w:val="Balloon Text"/>
    <w:basedOn w:val="Normal"/>
    <w:semiHidden/>
    <w:rsid w:val="00FC7C24"/>
    <w:rPr>
      <w:rFonts w:ascii="Tahoma" w:hAnsi="Tahoma" w:cs="Tahoma"/>
      <w:sz w:val="16"/>
      <w:szCs w:val="16"/>
    </w:rPr>
  </w:style>
  <w:style w:type="paragraph" w:styleId="CommentSubject">
    <w:name w:val="annotation subject"/>
    <w:basedOn w:val="CommentText"/>
    <w:next w:val="CommentText"/>
    <w:semiHidden/>
    <w:rsid w:val="00FC7C24"/>
    <w:rPr>
      <w:b/>
      <w:bCs/>
    </w:rPr>
  </w:style>
  <w:style w:type="character" w:styleId="Hyperlink">
    <w:name w:val="Hyperlink"/>
    <w:basedOn w:val="DefaultParagraphFont"/>
    <w:rsid w:val="00FC7C24"/>
    <w:rPr>
      <w:color w:val="0000FF"/>
      <w:u w:val="single"/>
    </w:rPr>
  </w:style>
  <w:style w:type="character" w:customStyle="1" w:styleId="italic">
    <w:name w:val="italic"/>
    <w:basedOn w:val="DefaultParagraphFont"/>
    <w:rsid w:val="00FC7C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Departmental%20Templates\TGA\TGA%20Letterhead%20Feb%200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TGA Letterhead Feb 04.dot</Template>
  <TotalTime>47</TotalTime>
  <Pages>1</Pages>
  <Words>248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Letterhead</vt:lpstr>
    </vt:vector>
  </TitlesOfParts>
  <Company>H&amp;A</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carteb</dc:creator>
  <cp:keywords/>
  <dc:description/>
  <cp:lastModifiedBy>douglj</cp:lastModifiedBy>
  <cp:revision>4</cp:revision>
  <cp:lastPrinted>2009-07-16T04:08:00Z</cp:lastPrinted>
  <dcterms:created xsi:type="dcterms:W3CDTF">2011-10-19T00:45:00Z</dcterms:created>
  <dcterms:modified xsi:type="dcterms:W3CDTF">2011-10-25T05:41:00Z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ies>
</file>