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42" w:rsidRPr="00553C91" w:rsidRDefault="00636542" w:rsidP="00636542">
      <w:pPr>
        <w:spacing w:before="0"/>
        <w:ind w:right="91"/>
        <w:jc w:val="center"/>
        <w:rPr>
          <w:b/>
          <w:u w:val="single"/>
        </w:rPr>
      </w:pPr>
      <w:r w:rsidRPr="00553C91">
        <w:rPr>
          <w:b/>
          <w:u w:val="single"/>
        </w:rPr>
        <w:t>EXPLANATORY STATEMENT</w:t>
      </w:r>
    </w:p>
    <w:p w:rsidR="00636542" w:rsidRPr="00553C91" w:rsidRDefault="00636542" w:rsidP="00636542">
      <w:pPr>
        <w:spacing w:before="0"/>
        <w:ind w:right="91"/>
        <w:jc w:val="center"/>
      </w:pPr>
    </w:p>
    <w:p w:rsidR="00636542" w:rsidRPr="00553C91" w:rsidRDefault="00636542" w:rsidP="00636542">
      <w:pPr>
        <w:spacing w:before="0"/>
        <w:ind w:right="91"/>
        <w:jc w:val="center"/>
        <w:rPr>
          <w:b/>
          <w:u w:val="single"/>
        </w:rPr>
      </w:pPr>
      <w:r w:rsidRPr="00553C91">
        <w:rPr>
          <w:b/>
          <w:u w:val="single"/>
        </w:rPr>
        <w:t xml:space="preserve">Select Legislative Instrument 2011 No. </w:t>
      </w:r>
      <w:r w:rsidR="00491E38">
        <w:rPr>
          <w:b/>
          <w:u w:val="single"/>
        </w:rPr>
        <w:t>192</w:t>
      </w:r>
    </w:p>
    <w:p w:rsidR="00DF0BD1" w:rsidRPr="00553C91" w:rsidRDefault="00DF0BD1" w:rsidP="00636542">
      <w:pPr>
        <w:spacing w:before="0"/>
        <w:ind w:right="91"/>
        <w:jc w:val="center"/>
      </w:pPr>
    </w:p>
    <w:p w:rsidR="00636542" w:rsidRPr="00553C91" w:rsidRDefault="00883AAC" w:rsidP="00332D93">
      <w:pPr>
        <w:spacing w:before="0"/>
        <w:ind w:right="91"/>
        <w:jc w:val="center"/>
        <w:rPr>
          <w:i/>
          <w:iCs/>
          <w:szCs w:val="24"/>
        </w:rPr>
      </w:pPr>
      <w:r w:rsidRPr="00553C91">
        <w:rPr>
          <w:i/>
          <w:iCs/>
          <w:szCs w:val="24"/>
        </w:rPr>
        <w:t>Education Services for Overseas Students Act 2000</w:t>
      </w:r>
    </w:p>
    <w:p w:rsidR="00883AAC" w:rsidRPr="00553C91" w:rsidRDefault="00883AAC" w:rsidP="00332D93">
      <w:pPr>
        <w:spacing w:before="0"/>
        <w:ind w:right="91"/>
        <w:jc w:val="center"/>
        <w:rPr>
          <w:i/>
        </w:rPr>
      </w:pPr>
    </w:p>
    <w:p w:rsidR="00636542" w:rsidRPr="00553C91" w:rsidRDefault="00883AAC" w:rsidP="00332D93">
      <w:pPr>
        <w:spacing w:before="0"/>
        <w:ind w:right="91"/>
        <w:jc w:val="center"/>
        <w:rPr>
          <w:i/>
        </w:rPr>
      </w:pPr>
      <w:r w:rsidRPr="00553C91">
        <w:rPr>
          <w:i/>
          <w:iCs/>
          <w:szCs w:val="24"/>
        </w:rPr>
        <w:t>Education Services for Overseas Students A</w:t>
      </w:r>
      <w:r w:rsidR="00491E38">
        <w:rPr>
          <w:i/>
          <w:iCs/>
          <w:szCs w:val="24"/>
        </w:rPr>
        <w:t>mendment Regulations 2011 (No. 1</w:t>
      </w:r>
      <w:r w:rsidRPr="00553C91">
        <w:rPr>
          <w:i/>
          <w:iCs/>
          <w:szCs w:val="24"/>
        </w:rPr>
        <w:t>)</w:t>
      </w:r>
    </w:p>
    <w:p w:rsidR="00636542" w:rsidRPr="00553C91" w:rsidRDefault="00636542" w:rsidP="00636542">
      <w:pPr>
        <w:spacing w:before="0"/>
        <w:ind w:right="91"/>
      </w:pPr>
    </w:p>
    <w:p w:rsidR="00A64B58" w:rsidRPr="00553C91" w:rsidRDefault="00636542" w:rsidP="00A64B58">
      <w:pPr>
        <w:spacing w:before="0"/>
        <w:ind w:right="91"/>
        <w:rPr>
          <w:b/>
        </w:rPr>
      </w:pPr>
      <w:r w:rsidRPr="00553C91">
        <w:rPr>
          <w:b/>
        </w:rPr>
        <w:t>Authority</w:t>
      </w:r>
    </w:p>
    <w:p w:rsidR="00A64B58" w:rsidRPr="00553C91" w:rsidRDefault="00A64B58" w:rsidP="00A64B58">
      <w:pPr>
        <w:spacing w:before="0"/>
        <w:ind w:right="91"/>
        <w:rPr>
          <w:u w:val="single"/>
        </w:rPr>
      </w:pPr>
    </w:p>
    <w:p w:rsidR="00883AAC" w:rsidRPr="00553C91" w:rsidRDefault="00883AAC" w:rsidP="00883AAC">
      <w:pPr>
        <w:spacing w:before="0"/>
        <w:ind w:right="91"/>
        <w:rPr>
          <w:color w:val="000000"/>
        </w:rPr>
      </w:pPr>
      <w:r w:rsidRPr="00553C91">
        <w:rPr>
          <w:szCs w:val="24"/>
        </w:rPr>
        <w:t xml:space="preserve">The </w:t>
      </w:r>
      <w:r w:rsidRPr="00553C91">
        <w:rPr>
          <w:i/>
          <w:iCs/>
          <w:szCs w:val="24"/>
        </w:rPr>
        <w:t>Education Services for Overseas Students Act 2000</w:t>
      </w:r>
      <w:r w:rsidRPr="00553C91">
        <w:rPr>
          <w:szCs w:val="24"/>
        </w:rPr>
        <w:t xml:space="preserve"> (the Act) regulates education services for overseas students</w:t>
      </w:r>
      <w:r w:rsidR="00A64B58" w:rsidRPr="00553C91">
        <w:t>.</w:t>
      </w:r>
      <w:r w:rsidR="00A64B58" w:rsidRPr="00553C91">
        <w:rPr>
          <w:color w:val="000000"/>
        </w:rPr>
        <w:t xml:space="preserve"> </w:t>
      </w:r>
    </w:p>
    <w:p w:rsidR="00883AAC" w:rsidRPr="00553C91" w:rsidRDefault="00883AAC" w:rsidP="00883AAC">
      <w:pPr>
        <w:spacing w:before="0"/>
        <w:ind w:right="91"/>
        <w:rPr>
          <w:color w:val="000000"/>
        </w:rPr>
      </w:pPr>
    </w:p>
    <w:p w:rsidR="00883AAC" w:rsidRPr="00553C91" w:rsidRDefault="00883AAC" w:rsidP="00883AAC">
      <w:pPr>
        <w:spacing w:before="0"/>
        <w:ind w:right="91"/>
        <w:rPr>
          <w:szCs w:val="24"/>
        </w:rPr>
      </w:pPr>
      <w:r w:rsidRPr="00553C91">
        <w:rPr>
          <w:szCs w:val="24"/>
        </w:rPr>
        <w:t xml:space="preserve">Section 177 of the Act provides that the Governor-General may make regulations prescribing matters required or permitted by the Act to be prescribed, or necessary or convenient to be prescribed for carrying out or giving effect to the Act.  </w:t>
      </w:r>
    </w:p>
    <w:p w:rsidR="00883AAC" w:rsidRPr="00553C91" w:rsidRDefault="00883AAC" w:rsidP="00883AAC">
      <w:pPr>
        <w:spacing w:before="0"/>
        <w:ind w:right="91"/>
        <w:rPr>
          <w:szCs w:val="24"/>
        </w:rPr>
      </w:pPr>
    </w:p>
    <w:p w:rsidR="00883AAC" w:rsidRPr="00553C91" w:rsidRDefault="00883AAC" w:rsidP="00883AAC">
      <w:pPr>
        <w:spacing w:before="0"/>
        <w:ind w:right="91"/>
        <w:rPr>
          <w:rFonts w:cs="Arial"/>
          <w:szCs w:val="24"/>
        </w:rPr>
      </w:pPr>
      <w:r w:rsidRPr="00553C91">
        <w:rPr>
          <w:rFonts w:cs="Arial"/>
          <w:szCs w:val="24"/>
        </w:rPr>
        <w:t xml:space="preserve">Subsection 106(1) of the Act enables the regulations to provide for the Minister to give a registered provider an infringement notice requiring payment of a penalty as an alternative to prosecution for a breach of any of the offence provisions listed under subsection 106(1A) of the Act. </w:t>
      </w:r>
    </w:p>
    <w:p w:rsidR="00883AAC" w:rsidRPr="00553C91" w:rsidRDefault="00883AAC" w:rsidP="00883AAC">
      <w:pPr>
        <w:spacing w:before="0"/>
        <w:ind w:right="91"/>
        <w:rPr>
          <w:rFonts w:cs="Arial"/>
          <w:szCs w:val="24"/>
        </w:rPr>
      </w:pPr>
    </w:p>
    <w:p w:rsidR="00636542" w:rsidRPr="00553C91" w:rsidRDefault="00636542" w:rsidP="00EC1CF7">
      <w:pPr>
        <w:spacing w:before="0"/>
        <w:rPr>
          <w:b/>
          <w:color w:val="000000"/>
          <w:szCs w:val="24"/>
        </w:rPr>
      </w:pPr>
      <w:r w:rsidRPr="00553C91">
        <w:rPr>
          <w:b/>
          <w:color w:val="000000"/>
          <w:szCs w:val="24"/>
        </w:rPr>
        <w:t>Purpose and operation</w:t>
      </w:r>
    </w:p>
    <w:p w:rsidR="00636542" w:rsidRPr="00553C91" w:rsidRDefault="00636542" w:rsidP="00636542">
      <w:pPr>
        <w:spacing w:before="0"/>
        <w:ind w:right="91"/>
        <w:rPr>
          <w:color w:val="000000"/>
          <w:szCs w:val="24"/>
          <w:u w:val="single"/>
        </w:rPr>
      </w:pPr>
    </w:p>
    <w:p w:rsidR="00883AAC" w:rsidRPr="00553C91" w:rsidRDefault="00883AAC" w:rsidP="00883AAC">
      <w:pPr>
        <w:spacing w:before="0"/>
        <w:ind w:right="91"/>
        <w:rPr>
          <w:rFonts w:cs="Arial"/>
          <w:szCs w:val="24"/>
        </w:rPr>
      </w:pPr>
      <w:r w:rsidRPr="00553C91">
        <w:rPr>
          <w:rFonts w:cs="Arial"/>
          <w:szCs w:val="24"/>
        </w:rPr>
        <w:t xml:space="preserve">Part 6 of the </w:t>
      </w:r>
      <w:r w:rsidRPr="00553C91">
        <w:rPr>
          <w:rFonts w:cs="Arial"/>
          <w:i/>
          <w:szCs w:val="24"/>
        </w:rPr>
        <w:t>Education Services for Overseas Students Regulations 2001</w:t>
      </w:r>
      <w:r w:rsidRPr="00553C91">
        <w:rPr>
          <w:rFonts w:cs="Arial"/>
          <w:szCs w:val="24"/>
        </w:rPr>
        <w:t xml:space="preserve"> (the Principal Regulations) were made for section 106 of the Act and set out a procedure under which a registered provider who is alleged to have committed an offence against one of the listed offence provisions may, as an alternative to having the matter dealt with by a court, dispose of the matter by payment of a monetary penalty. </w:t>
      </w:r>
    </w:p>
    <w:p w:rsidR="00883AAC" w:rsidRPr="00553C91" w:rsidRDefault="00883AAC" w:rsidP="00883AAC">
      <w:pPr>
        <w:spacing w:before="0"/>
        <w:ind w:right="91"/>
        <w:rPr>
          <w:rFonts w:cs="Arial"/>
          <w:szCs w:val="24"/>
        </w:rPr>
      </w:pPr>
    </w:p>
    <w:p w:rsidR="00883AAC" w:rsidRPr="00553C91" w:rsidRDefault="00883AAC" w:rsidP="00883AAC">
      <w:pPr>
        <w:spacing w:before="0"/>
        <w:ind w:right="91"/>
        <w:rPr>
          <w:rFonts w:cs="Arial"/>
          <w:szCs w:val="24"/>
        </w:rPr>
      </w:pPr>
      <w:r w:rsidRPr="00553C91">
        <w:rPr>
          <w:rFonts w:cs="Arial"/>
          <w:szCs w:val="24"/>
        </w:rPr>
        <w:t xml:space="preserve">The passage of the </w:t>
      </w:r>
      <w:r w:rsidRPr="00553C91">
        <w:rPr>
          <w:rFonts w:cs="Arial"/>
          <w:i/>
          <w:szCs w:val="24"/>
        </w:rPr>
        <w:t xml:space="preserve">Education Services for Overseas Students Legislation Amendment Act 2011 </w:t>
      </w:r>
      <w:r w:rsidRPr="00553C91">
        <w:rPr>
          <w:rFonts w:cs="Arial"/>
          <w:szCs w:val="24"/>
        </w:rPr>
        <w:t xml:space="preserve">repealed offence provisions subsection 104(1) and section 105, and instead relocated these offences, together with new offences, under subsection 106(1A) of the Act. As a result of these amendments to the Act, the infringement notice penalty procedure under Part 6 of the Principal Regulations has been rendered inoperative owing to the repeal of the former provisions in the Act which referenced the offences to which the infringement notice penalty procedure could apply. </w:t>
      </w:r>
    </w:p>
    <w:p w:rsidR="00883AAC" w:rsidRPr="00553C91" w:rsidRDefault="00883AAC" w:rsidP="00883AAC">
      <w:pPr>
        <w:spacing w:before="0"/>
        <w:ind w:right="91"/>
        <w:rPr>
          <w:rFonts w:cs="Arial"/>
          <w:szCs w:val="24"/>
        </w:rPr>
      </w:pPr>
    </w:p>
    <w:p w:rsidR="00883AAC" w:rsidRPr="00553C91" w:rsidRDefault="00883AAC" w:rsidP="00883AAC">
      <w:pPr>
        <w:spacing w:before="0"/>
        <w:ind w:right="91"/>
        <w:rPr>
          <w:rFonts w:cs="Arial"/>
          <w:szCs w:val="24"/>
        </w:rPr>
      </w:pPr>
      <w:r w:rsidRPr="00553C91">
        <w:rPr>
          <w:szCs w:val="24"/>
        </w:rPr>
        <w:t>The proposed Regulations would amend the Principal Regulations to</w:t>
      </w:r>
      <w:r w:rsidRPr="00553C91">
        <w:rPr>
          <w:rFonts w:cs="Arial"/>
          <w:szCs w:val="24"/>
        </w:rPr>
        <w:t xml:space="preserve"> correct the incorrect references with the applicable offence provisions.</w:t>
      </w:r>
    </w:p>
    <w:p w:rsidR="00883AAC" w:rsidRPr="00553C91" w:rsidRDefault="00883AAC" w:rsidP="00883AAC">
      <w:pPr>
        <w:spacing w:before="0"/>
        <w:ind w:right="91"/>
        <w:rPr>
          <w:color w:val="000000"/>
        </w:rPr>
      </w:pPr>
    </w:p>
    <w:p w:rsidR="00883AAC" w:rsidRPr="00553C91" w:rsidRDefault="00883AAC" w:rsidP="00883AAC">
      <w:pPr>
        <w:spacing w:before="0"/>
        <w:ind w:right="91"/>
        <w:rPr>
          <w:color w:val="000000"/>
        </w:rPr>
      </w:pPr>
      <w:r w:rsidRPr="00553C91">
        <w:rPr>
          <w:color w:val="000000"/>
        </w:rPr>
        <w:t xml:space="preserve">The Regulations are a legislative instrument for the purposes of the </w:t>
      </w:r>
      <w:r w:rsidRPr="00553C91">
        <w:rPr>
          <w:i/>
          <w:color w:val="000000"/>
        </w:rPr>
        <w:t>Legislative Instruments Act 2003</w:t>
      </w:r>
      <w:r w:rsidRPr="00553C91">
        <w:rPr>
          <w:color w:val="000000"/>
        </w:rPr>
        <w:t>.</w:t>
      </w:r>
    </w:p>
    <w:p w:rsidR="00883AAC" w:rsidRPr="00553C91" w:rsidRDefault="00883AAC">
      <w:pPr>
        <w:spacing w:before="0"/>
        <w:rPr>
          <w:b/>
          <w:color w:val="000000"/>
        </w:rPr>
      </w:pPr>
    </w:p>
    <w:p w:rsidR="00636542" w:rsidRPr="00553C91" w:rsidRDefault="00636542" w:rsidP="00636542">
      <w:pPr>
        <w:spacing w:before="0"/>
        <w:ind w:right="91"/>
        <w:rPr>
          <w:b/>
          <w:color w:val="000000"/>
        </w:rPr>
      </w:pPr>
      <w:r w:rsidRPr="00553C91">
        <w:rPr>
          <w:b/>
          <w:color w:val="000000"/>
        </w:rPr>
        <w:t>Commencement</w:t>
      </w:r>
    </w:p>
    <w:p w:rsidR="00636542" w:rsidRPr="00553C91" w:rsidRDefault="00636542" w:rsidP="00636542">
      <w:pPr>
        <w:spacing w:before="0"/>
        <w:ind w:right="91"/>
        <w:rPr>
          <w:color w:val="000000"/>
        </w:rPr>
      </w:pPr>
    </w:p>
    <w:p w:rsidR="00636542" w:rsidRPr="00553C91" w:rsidRDefault="00636542" w:rsidP="00636542">
      <w:pPr>
        <w:spacing w:before="0"/>
        <w:ind w:right="91"/>
        <w:rPr>
          <w:color w:val="000000"/>
        </w:rPr>
      </w:pPr>
      <w:r w:rsidRPr="00553C91">
        <w:rPr>
          <w:color w:val="000000"/>
        </w:rPr>
        <w:t xml:space="preserve">The Regulations </w:t>
      </w:r>
      <w:r w:rsidR="00883AAC" w:rsidRPr="00553C91">
        <w:rPr>
          <w:szCs w:val="24"/>
        </w:rPr>
        <w:t>commence on the day after they are registered on the Federal Register of Legislative Instruments</w:t>
      </w:r>
      <w:r w:rsidR="004D7933" w:rsidRPr="00553C91">
        <w:rPr>
          <w:color w:val="000000"/>
        </w:rPr>
        <w:t>.</w:t>
      </w:r>
    </w:p>
    <w:p w:rsidR="00636542" w:rsidRPr="00553C91" w:rsidRDefault="00636542" w:rsidP="00636542">
      <w:pPr>
        <w:spacing w:before="0"/>
        <w:ind w:right="91"/>
        <w:rPr>
          <w:color w:val="000000"/>
        </w:rPr>
      </w:pPr>
    </w:p>
    <w:p w:rsidR="00AB2595" w:rsidRPr="00553C91" w:rsidRDefault="00AB2595" w:rsidP="00AB2595">
      <w:pPr>
        <w:spacing w:before="0"/>
        <w:ind w:right="91"/>
        <w:rPr>
          <w:b/>
          <w:color w:val="000000"/>
        </w:rPr>
      </w:pPr>
      <w:r w:rsidRPr="00553C91">
        <w:rPr>
          <w:b/>
          <w:color w:val="000000"/>
        </w:rPr>
        <w:t>Consultation</w:t>
      </w:r>
    </w:p>
    <w:p w:rsidR="00AB2595" w:rsidRPr="00553C91" w:rsidRDefault="00AB2595" w:rsidP="00AB2595">
      <w:pPr>
        <w:spacing w:before="0"/>
        <w:ind w:right="91"/>
        <w:rPr>
          <w:color w:val="000000"/>
        </w:rPr>
      </w:pPr>
    </w:p>
    <w:p w:rsidR="000C4C59" w:rsidRPr="00E56E1E" w:rsidRDefault="00E56E1E" w:rsidP="000C4C59">
      <w:pPr>
        <w:spacing w:before="0"/>
        <w:ind w:right="91"/>
        <w:rPr>
          <w:color w:val="000000"/>
        </w:rPr>
      </w:pPr>
      <w:r w:rsidRPr="00553C91">
        <w:rPr>
          <w:color w:val="000000"/>
        </w:rPr>
        <w:t>As the matters specified by the Regulations were considered to be of a machinery nature and did not alter existing arrangements, consultation was not undertaken as it was not considered necessary or appropriate</w:t>
      </w:r>
    </w:p>
    <w:sectPr w:rsidR="000C4C59" w:rsidRPr="00E56E1E" w:rsidSect="00421A4D">
      <w:headerReference w:type="even" r:id="rId7"/>
      <w:headerReference w:type="default" r:id="rId8"/>
      <w:pgSz w:w="11907" w:h="16840" w:code="9"/>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63" w:rsidRDefault="00A75863" w:rsidP="005421D5">
      <w:pPr>
        <w:spacing w:before="0"/>
      </w:pPr>
      <w:r>
        <w:separator/>
      </w:r>
    </w:p>
  </w:endnote>
  <w:endnote w:type="continuationSeparator" w:id="0">
    <w:p w:rsidR="00A75863" w:rsidRDefault="00A75863" w:rsidP="005421D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63" w:rsidRDefault="00A75863" w:rsidP="005421D5">
      <w:pPr>
        <w:spacing w:before="0"/>
      </w:pPr>
      <w:r>
        <w:separator/>
      </w:r>
    </w:p>
  </w:footnote>
  <w:footnote w:type="continuationSeparator" w:id="0">
    <w:p w:rsidR="00A75863" w:rsidRDefault="00A75863" w:rsidP="005421D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63" w:rsidRDefault="0010309A" w:rsidP="00421A4D">
    <w:pPr>
      <w:pStyle w:val="Header"/>
      <w:framePr w:wrap="around" w:vAnchor="text" w:hAnchor="margin" w:xAlign="center" w:y="1"/>
      <w:rPr>
        <w:rStyle w:val="PageNumber"/>
      </w:rPr>
    </w:pPr>
    <w:r>
      <w:rPr>
        <w:rStyle w:val="PageNumber"/>
      </w:rPr>
      <w:fldChar w:fldCharType="begin"/>
    </w:r>
    <w:r w:rsidR="00A75863">
      <w:rPr>
        <w:rStyle w:val="PageNumber"/>
      </w:rPr>
      <w:instrText xml:space="preserve">PAGE  </w:instrText>
    </w:r>
    <w:r>
      <w:rPr>
        <w:rStyle w:val="PageNumber"/>
      </w:rPr>
      <w:fldChar w:fldCharType="end"/>
    </w:r>
  </w:p>
  <w:p w:rsidR="00A75863" w:rsidRDefault="00A758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63" w:rsidRDefault="00A75863" w:rsidP="00421A4D">
    <w:pPr>
      <w:pStyle w:val="Header"/>
      <w:spacing w:befor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06F53"/>
    <w:multiLevelType w:val="hybridMultilevel"/>
    <w:tmpl w:val="4B22A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636542"/>
    <w:rsid w:val="000004DD"/>
    <w:rsid w:val="000069B2"/>
    <w:rsid w:val="000069C4"/>
    <w:rsid w:val="000103CB"/>
    <w:rsid w:val="00010FFA"/>
    <w:rsid w:val="00014524"/>
    <w:rsid w:val="00014704"/>
    <w:rsid w:val="00015D30"/>
    <w:rsid w:val="0002308D"/>
    <w:rsid w:val="00027C86"/>
    <w:rsid w:val="00036404"/>
    <w:rsid w:val="00042156"/>
    <w:rsid w:val="00045249"/>
    <w:rsid w:val="00051130"/>
    <w:rsid w:val="0005378B"/>
    <w:rsid w:val="0006476D"/>
    <w:rsid w:val="000712F3"/>
    <w:rsid w:val="00072A59"/>
    <w:rsid w:val="00075DF6"/>
    <w:rsid w:val="00076C3E"/>
    <w:rsid w:val="0007781F"/>
    <w:rsid w:val="00082B5C"/>
    <w:rsid w:val="00083AE5"/>
    <w:rsid w:val="00093D56"/>
    <w:rsid w:val="00093E37"/>
    <w:rsid w:val="000977AB"/>
    <w:rsid w:val="000A19B4"/>
    <w:rsid w:val="000B0FB3"/>
    <w:rsid w:val="000B2857"/>
    <w:rsid w:val="000B2EA7"/>
    <w:rsid w:val="000B398E"/>
    <w:rsid w:val="000C4C59"/>
    <w:rsid w:val="000D2925"/>
    <w:rsid w:val="000E1263"/>
    <w:rsid w:val="000E5FCA"/>
    <w:rsid w:val="000E6B56"/>
    <w:rsid w:val="000F032B"/>
    <w:rsid w:val="0010309A"/>
    <w:rsid w:val="00103224"/>
    <w:rsid w:val="00103AFD"/>
    <w:rsid w:val="00103F01"/>
    <w:rsid w:val="0011072F"/>
    <w:rsid w:val="0011701D"/>
    <w:rsid w:val="00120B77"/>
    <w:rsid w:val="00122D7C"/>
    <w:rsid w:val="00125D84"/>
    <w:rsid w:val="0013329E"/>
    <w:rsid w:val="00134829"/>
    <w:rsid w:val="001349FF"/>
    <w:rsid w:val="00141943"/>
    <w:rsid w:val="00143924"/>
    <w:rsid w:val="0015597D"/>
    <w:rsid w:val="00155D78"/>
    <w:rsid w:val="001771F4"/>
    <w:rsid w:val="001775C7"/>
    <w:rsid w:val="00183D67"/>
    <w:rsid w:val="00190F2F"/>
    <w:rsid w:val="00194A5D"/>
    <w:rsid w:val="00196CFD"/>
    <w:rsid w:val="001A1B7B"/>
    <w:rsid w:val="001A4118"/>
    <w:rsid w:val="001A438A"/>
    <w:rsid w:val="001A4492"/>
    <w:rsid w:val="001A5185"/>
    <w:rsid w:val="001B01C3"/>
    <w:rsid w:val="001B4165"/>
    <w:rsid w:val="001B7C53"/>
    <w:rsid w:val="001C1C49"/>
    <w:rsid w:val="001C73FD"/>
    <w:rsid w:val="001D66A9"/>
    <w:rsid w:val="001E1038"/>
    <w:rsid w:val="001E6979"/>
    <w:rsid w:val="001E7E14"/>
    <w:rsid w:val="001F0132"/>
    <w:rsid w:val="001F0C99"/>
    <w:rsid w:val="001F22DE"/>
    <w:rsid w:val="0020405C"/>
    <w:rsid w:val="00205BC4"/>
    <w:rsid w:val="00210259"/>
    <w:rsid w:val="00212DD6"/>
    <w:rsid w:val="00213D10"/>
    <w:rsid w:val="00214638"/>
    <w:rsid w:val="002262E3"/>
    <w:rsid w:val="0023396B"/>
    <w:rsid w:val="00237BE5"/>
    <w:rsid w:val="00241119"/>
    <w:rsid w:val="00245A6A"/>
    <w:rsid w:val="00246D4C"/>
    <w:rsid w:val="00247657"/>
    <w:rsid w:val="00250827"/>
    <w:rsid w:val="00252C53"/>
    <w:rsid w:val="00264240"/>
    <w:rsid w:val="0026586F"/>
    <w:rsid w:val="00276F2A"/>
    <w:rsid w:val="002852DA"/>
    <w:rsid w:val="00286EC5"/>
    <w:rsid w:val="00290480"/>
    <w:rsid w:val="00291FCF"/>
    <w:rsid w:val="00293152"/>
    <w:rsid w:val="00293C2F"/>
    <w:rsid w:val="00295973"/>
    <w:rsid w:val="002A3D7D"/>
    <w:rsid w:val="002A5754"/>
    <w:rsid w:val="002A7601"/>
    <w:rsid w:val="002B0742"/>
    <w:rsid w:val="002B43F7"/>
    <w:rsid w:val="002C4A28"/>
    <w:rsid w:val="002C7724"/>
    <w:rsid w:val="002D4C0B"/>
    <w:rsid w:val="002D5D85"/>
    <w:rsid w:val="002D6A62"/>
    <w:rsid w:val="002D75BF"/>
    <w:rsid w:val="002F1E91"/>
    <w:rsid w:val="002F2837"/>
    <w:rsid w:val="003008BD"/>
    <w:rsid w:val="003023AF"/>
    <w:rsid w:val="00302522"/>
    <w:rsid w:val="003028E4"/>
    <w:rsid w:val="003051FF"/>
    <w:rsid w:val="00307187"/>
    <w:rsid w:val="0031026D"/>
    <w:rsid w:val="003108D5"/>
    <w:rsid w:val="00312A21"/>
    <w:rsid w:val="00312BF1"/>
    <w:rsid w:val="00316144"/>
    <w:rsid w:val="00316CEF"/>
    <w:rsid w:val="00317D5B"/>
    <w:rsid w:val="00320F1A"/>
    <w:rsid w:val="00321A59"/>
    <w:rsid w:val="00325933"/>
    <w:rsid w:val="00332D93"/>
    <w:rsid w:val="00340301"/>
    <w:rsid w:val="00352FCA"/>
    <w:rsid w:val="00361860"/>
    <w:rsid w:val="00366813"/>
    <w:rsid w:val="003755DF"/>
    <w:rsid w:val="003816B6"/>
    <w:rsid w:val="00382B44"/>
    <w:rsid w:val="00385201"/>
    <w:rsid w:val="00387B53"/>
    <w:rsid w:val="003925E6"/>
    <w:rsid w:val="003954C2"/>
    <w:rsid w:val="003A1A37"/>
    <w:rsid w:val="003A609E"/>
    <w:rsid w:val="003C4857"/>
    <w:rsid w:val="003C7C66"/>
    <w:rsid w:val="003E04DE"/>
    <w:rsid w:val="003E30B9"/>
    <w:rsid w:val="003F1A05"/>
    <w:rsid w:val="003F5773"/>
    <w:rsid w:val="003F6A43"/>
    <w:rsid w:val="003F6DBB"/>
    <w:rsid w:val="003F7075"/>
    <w:rsid w:val="004033AA"/>
    <w:rsid w:val="004069DC"/>
    <w:rsid w:val="004125CC"/>
    <w:rsid w:val="00415BBA"/>
    <w:rsid w:val="00417FE0"/>
    <w:rsid w:val="0042060F"/>
    <w:rsid w:val="004208BA"/>
    <w:rsid w:val="00421A4D"/>
    <w:rsid w:val="00422B59"/>
    <w:rsid w:val="00424819"/>
    <w:rsid w:val="00427D77"/>
    <w:rsid w:val="00430C71"/>
    <w:rsid w:val="00441ED1"/>
    <w:rsid w:val="0044347D"/>
    <w:rsid w:val="00443AC4"/>
    <w:rsid w:val="0044514A"/>
    <w:rsid w:val="00461066"/>
    <w:rsid w:val="00461793"/>
    <w:rsid w:val="00462F6C"/>
    <w:rsid w:val="004731D3"/>
    <w:rsid w:val="00490018"/>
    <w:rsid w:val="00491482"/>
    <w:rsid w:val="00491E38"/>
    <w:rsid w:val="0049440F"/>
    <w:rsid w:val="004A1AAB"/>
    <w:rsid w:val="004A3089"/>
    <w:rsid w:val="004B28E6"/>
    <w:rsid w:val="004B4502"/>
    <w:rsid w:val="004B6ABB"/>
    <w:rsid w:val="004C17B8"/>
    <w:rsid w:val="004C5152"/>
    <w:rsid w:val="004C796A"/>
    <w:rsid w:val="004D039B"/>
    <w:rsid w:val="004D7933"/>
    <w:rsid w:val="004F3AC5"/>
    <w:rsid w:val="004F4704"/>
    <w:rsid w:val="004F7DD7"/>
    <w:rsid w:val="00503690"/>
    <w:rsid w:val="00517658"/>
    <w:rsid w:val="0052219E"/>
    <w:rsid w:val="00530CB3"/>
    <w:rsid w:val="00534C78"/>
    <w:rsid w:val="005412B6"/>
    <w:rsid w:val="005421D5"/>
    <w:rsid w:val="005454B4"/>
    <w:rsid w:val="00550F4A"/>
    <w:rsid w:val="00553C91"/>
    <w:rsid w:val="005603E6"/>
    <w:rsid w:val="00566270"/>
    <w:rsid w:val="00571400"/>
    <w:rsid w:val="005764D6"/>
    <w:rsid w:val="0057652A"/>
    <w:rsid w:val="0057745E"/>
    <w:rsid w:val="00581FF5"/>
    <w:rsid w:val="0058300A"/>
    <w:rsid w:val="00586CC7"/>
    <w:rsid w:val="005872BC"/>
    <w:rsid w:val="005915EC"/>
    <w:rsid w:val="00592094"/>
    <w:rsid w:val="00595786"/>
    <w:rsid w:val="005A117C"/>
    <w:rsid w:val="005A3429"/>
    <w:rsid w:val="005A48AF"/>
    <w:rsid w:val="005A48ED"/>
    <w:rsid w:val="005C3223"/>
    <w:rsid w:val="005C5DF7"/>
    <w:rsid w:val="005D2C22"/>
    <w:rsid w:val="005D6E74"/>
    <w:rsid w:val="005E4815"/>
    <w:rsid w:val="005E4C33"/>
    <w:rsid w:val="005F296A"/>
    <w:rsid w:val="005F385F"/>
    <w:rsid w:val="005F4989"/>
    <w:rsid w:val="005F5617"/>
    <w:rsid w:val="005F65DC"/>
    <w:rsid w:val="005F7872"/>
    <w:rsid w:val="00600D76"/>
    <w:rsid w:val="006066CC"/>
    <w:rsid w:val="00607AC8"/>
    <w:rsid w:val="00612C19"/>
    <w:rsid w:val="006176B9"/>
    <w:rsid w:val="006179BB"/>
    <w:rsid w:val="006221B6"/>
    <w:rsid w:val="00623554"/>
    <w:rsid w:val="00627387"/>
    <w:rsid w:val="006304AE"/>
    <w:rsid w:val="00632308"/>
    <w:rsid w:val="0063402C"/>
    <w:rsid w:val="00636542"/>
    <w:rsid w:val="00640A9B"/>
    <w:rsid w:val="00641784"/>
    <w:rsid w:val="00657E91"/>
    <w:rsid w:val="00663DE9"/>
    <w:rsid w:val="00670E96"/>
    <w:rsid w:val="006767CD"/>
    <w:rsid w:val="00676E45"/>
    <w:rsid w:val="00677698"/>
    <w:rsid w:val="00681498"/>
    <w:rsid w:val="006828AE"/>
    <w:rsid w:val="00691D36"/>
    <w:rsid w:val="006C0F90"/>
    <w:rsid w:val="006C3E9B"/>
    <w:rsid w:val="006C7B3C"/>
    <w:rsid w:val="006D059A"/>
    <w:rsid w:val="006D0923"/>
    <w:rsid w:val="006E69AD"/>
    <w:rsid w:val="006E6C03"/>
    <w:rsid w:val="006F3CC3"/>
    <w:rsid w:val="006F647D"/>
    <w:rsid w:val="0070568D"/>
    <w:rsid w:val="0070743F"/>
    <w:rsid w:val="00712F87"/>
    <w:rsid w:val="00715CFA"/>
    <w:rsid w:val="00720FFE"/>
    <w:rsid w:val="00724F6F"/>
    <w:rsid w:val="0072584C"/>
    <w:rsid w:val="00725DDE"/>
    <w:rsid w:val="00731EDA"/>
    <w:rsid w:val="007323F3"/>
    <w:rsid w:val="00734425"/>
    <w:rsid w:val="007441C3"/>
    <w:rsid w:val="007448CC"/>
    <w:rsid w:val="00745885"/>
    <w:rsid w:val="00751EC6"/>
    <w:rsid w:val="007617B0"/>
    <w:rsid w:val="00761A2E"/>
    <w:rsid w:val="00762465"/>
    <w:rsid w:val="007626B1"/>
    <w:rsid w:val="0076777B"/>
    <w:rsid w:val="00771633"/>
    <w:rsid w:val="0077370B"/>
    <w:rsid w:val="00774375"/>
    <w:rsid w:val="007746AC"/>
    <w:rsid w:val="00774996"/>
    <w:rsid w:val="0077742E"/>
    <w:rsid w:val="00786919"/>
    <w:rsid w:val="007A0682"/>
    <w:rsid w:val="007A0DB0"/>
    <w:rsid w:val="007A1BD9"/>
    <w:rsid w:val="007B37D1"/>
    <w:rsid w:val="007C3F94"/>
    <w:rsid w:val="007C4D7E"/>
    <w:rsid w:val="007C7B3C"/>
    <w:rsid w:val="007D0F32"/>
    <w:rsid w:val="007D230E"/>
    <w:rsid w:val="007D66B7"/>
    <w:rsid w:val="007E57F9"/>
    <w:rsid w:val="007F2193"/>
    <w:rsid w:val="007F24E3"/>
    <w:rsid w:val="007F2996"/>
    <w:rsid w:val="007F4C12"/>
    <w:rsid w:val="0080122C"/>
    <w:rsid w:val="00806D4A"/>
    <w:rsid w:val="0081051B"/>
    <w:rsid w:val="00811936"/>
    <w:rsid w:val="008119D5"/>
    <w:rsid w:val="00816DD5"/>
    <w:rsid w:val="00817408"/>
    <w:rsid w:val="00820F20"/>
    <w:rsid w:val="008260E3"/>
    <w:rsid w:val="0082728C"/>
    <w:rsid w:val="0083373E"/>
    <w:rsid w:val="0083515E"/>
    <w:rsid w:val="00844A85"/>
    <w:rsid w:val="0085292F"/>
    <w:rsid w:val="00857E12"/>
    <w:rsid w:val="0086058F"/>
    <w:rsid w:val="008619ED"/>
    <w:rsid w:val="00872CB9"/>
    <w:rsid w:val="00875B7D"/>
    <w:rsid w:val="00876554"/>
    <w:rsid w:val="00882023"/>
    <w:rsid w:val="008836EE"/>
    <w:rsid w:val="00883AAC"/>
    <w:rsid w:val="00885CDC"/>
    <w:rsid w:val="008919CF"/>
    <w:rsid w:val="00891C63"/>
    <w:rsid w:val="00895236"/>
    <w:rsid w:val="00895AD0"/>
    <w:rsid w:val="00895FCB"/>
    <w:rsid w:val="008A0FB3"/>
    <w:rsid w:val="008A21E7"/>
    <w:rsid w:val="008A6E90"/>
    <w:rsid w:val="008A7BCF"/>
    <w:rsid w:val="008B098D"/>
    <w:rsid w:val="008B4456"/>
    <w:rsid w:val="008B6E17"/>
    <w:rsid w:val="008B7CBC"/>
    <w:rsid w:val="008C193C"/>
    <w:rsid w:val="008C598B"/>
    <w:rsid w:val="008D0107"/>
    <w:rsid w:val="008E44CE"/>
    <w:rsid w:val="008E735F"/>
    <w:rsid w:val="008F1FFD"/>
    <w:rsid w:val="008F62BC"/>
    <w:rsid w:val="00901F93"/>
    <w:rsid w:val="00904A4B"/>
    <w:rsid w:val="00911229"/>
    <w:rsid w:val="0091603C"/>
    <w:rsid w:val="00916CCA"/>
    <w:rsid w:val="00917800"/>
    <w:rsid w:val="00921253"/>
    <w:rsid w:val="0092364B"/>
    <w:rsid w:val="0092436E"/>
    <w:rsid w:val="00936A82"/>
    <w:rsid w:val="00942BE7"/>
    <w:rsid w:val="0094660E"/>
    <w:rsid w:val="00957B3F"/>
    <w:rsid w:val="00964587"/>
    <w:rsid w:val="009724E3"/>
    <w:rsid w:val="00983B70"/>
    <w:rsid w:val="00997B1A"/>
    <w:rsid w:val="009A2E41"/>
    <w:rsid w:val="009A473D"/>
    <w:rsid w:val="009A7D68"/>
    <w:rsid w:val="009B7933"/>
    <w:rsid w:val="009D7A1F"/>
    <w:rsid w:val="009E4859"/>
    <w:rsid w:val="009E7CD1"/>
    <w:rsid w:val="009F4D7A"/>
    <w:rsid w:val="009F6B8E"/>
    <w:rsid w:val="00A0112B"/>
    <w:rsid w:val="00A0518B"/>
    <w:rsid w:val="00A079AC"/>
    <w:rsid w:val="00A1332D"/>
    <w:rsid w:val="00A16D60"/>
    <w:rsid w:val="00A17D58"/>
    <w:rsid w:val="00A20F32"/>
    <w:rsid w:val="00A22272"/>
    <w:rsid w:val="00A3619B"/>
    <w:rsid w:val="00A46E9B"/>
    <w:rsid w:val="00A51C05"/>
    <w:rsid w:val="00A61E2F"/>
    <w:rsid w:val="00A62380"/>
    <w:rsid w:val="00A62B10"/>
    <w:rsid w:val="00A630D9"/>
    <w:rsid w:val="00A64B58"/>
    <w:rsid w:val="00A668B3"/>
    <w:rsid w:val="00A706F7"/>
    <w:rsid w:val="00A72078"/>
    <w:rsid w:val="00A733BE"/>
    <w:rsid w:val="00A75863"/>
    <w:rsid w:val="00A76CFF"/>
    <w:rsid w:val="00A7726D"/>
    <w:rsid w:val="00A90DE8"/>
    <w:rsid w:val="00A96C03"/>
    <w:rsid w:val="00AA29D2"/>
    <w:rsid w:val="00AA5DAC"/>
    <w:rsid w:val="00AB2595"/>
    <w:rsid w:val="00AC4127"/>
    <w:rsid w:val="00AC5A89"/>
    <w:rsid w:val="00AD5DF6"/>
    <w:rsid w:val="00AD74BF"/>
    <w:rsid w:val="00AD7EF2"/>
    <w:rsid w:val="00AE289E"/>
    <w:rsid w:val="00AE4863"/>
    <w:rsid w:val="00AF184B"/>
    <w:rsid w:val="00AF49E1"/>
    <w:rsid w:val="00AF7A69"/>
    <w:rsid w:val="00B03435"/>
    <w:rsid w:val="00B03F57"/>
    <w:rsid w:val="00B04800"/>
    <w:rsid w:val="00B06BC3"/>
    <w:rsid w:val="00B1392D"/>
    <w:rsid w:val="00B141C2"/>
    <w:rsid w:val="00B21A41"/>
    <w:rsid w:val="00B23516"/>
    <w:rsid w:val="00B247CC"/>
    <w:rsid w:val="00B37FEA"/>
    <w:rsid w:val="00B40C6B"/>
    <w:rsid w:val="00B4183D"/>
    <w:rsid w:val="00B50449"/>
    <w:rsid w:val="00B514FB"/>
    <w:rsid w:val="00B545C6"/>
    <w:rsid w:val="00B65CA1"/>
    <w:rsid w:val="00B72461"/>
    <w:rsid w:val="00B76F5C"/>
    <w:rsid w:val="00B77656"/>
    <w:rsid w:val="00B77D30"/>
    <w:rsid w:val="00B846EB"/>
    <w:rsid w:val="00BA05A8"/>
    <w:rsid w:val="00BA4136"/>
    <w:rsid w:val="00BA51CE"/>
    <w:rsid w:val="00BB1347"/>
    <w:rsid w:val="00BB1529"/>
    <w:rsid w:val="00BB678A"/>
    <w:rsid w:val="00BC2B37"/>
    <w:rsid w:val="00BC490C"/>
    <w:rsid w:val="00BD06F0"/>
    <w:rsid w:val="00BD5C3A"/>
    <w:rsid w:val="00BD7A44"/>
    <w:rsid w:val="00BE22C6"/>
    <w:rsid w:val="00BE7191"/>
    <w:rsid w:val="00BF280D"/>
    <w:rsid w:val="00BF37C0"/>
    <w:rsid w:val="00BF4210"/>
    <w:rsid w:val="00BF4E52"/>
    <w:rsid w:val="00BF6C03"/>
    <w:rsid w:val="00C01B85"/>
    <w:rsid w:val="00C111F3"/>
    <w:rsid w:val="00C12ACB"/>
    <w:rsid w:val="00C14116"/>
    <w:rsid w:val="00C23410"/>
    <w:rsid w:val="00C355AB"/>
    <w:rsid w:val="00C43386"/>
    <w:rsid w:val="00C464AA"/>
    <w:rsid w:val="00C467D0"/>
    <w:rsid w:val="00C5263A"/>
    <w:rsid w:val="00C546AA"/>
    <w:rsid w:val="00C547E0"/>
    <w:rsid w:val="00C55E1B"/>
    <w:rsid w:val="00C57FFA"/>
    <w:rsid w:val="00C603DE"/>
    <w:rsid w:val="00C62A62"/>
    <w:rsid w:val="00C6581E"/>
    <w:rsid w:val="00C66654"/>
    <w:rsid w:val="00C74E43"/>
    <w:rsid w:val="00C751AB"/>
    <w:rsid w:val="00C80AA2"/>
    <w:rsid w:val="00C84089"/>
    <w:rsid w:val="00C870AB"/>
    <w:rsid w:val="00CB1AEC"/>
    <w:rsid w:val="00CB32B4"/>
    <w:rsid w:val="00CB531F"/>
    <w:rsid w:val="00CC0A07"/>
    <w:rsid w:val="00CC15A4"/>
    <w:rsid w:val="00CC2CCA"/>
    <w:rsid w:val="00CC5970"/>
    <w:rsid w:val="00CD255C"/>
    <w:rsid w:val="00CD3B3A"/>
    <w:rsid w:val="00CD5BBC"/>
    <w:rsid w:val="00CD7793"/>
    <w:rsid w:val="00CE266E"/>
    <w:rsid w:val="00CE51EB"/>
    <w:rsid w:val="00CE5897"/>
    <w:rsid w:val="00CE58A1"/>
    <w:rsid w:val="00CF65FE"/>
    <w:rsid w:val="00CF7250"/>
    <w:rsid w:val="00D0145F"/>
    <w:rsid w:val="00D053BD"/>
    <w:rsid w:val="00D05A31"/>
    <w:rsid w:val="00D07B54"/>
    <w:rsid w:val="00D15A4B"/>
    <w:rsid w:val="00D2284D"/>
    <w:rsid w:val="00D254F2"/>
    <w:rsid w:val="00D30A99"/>
    <w:rsid w:val="00D36564"/>
    <w:rsid w:val="00D45DD4"/>
    <w:rsid w:val="00D51539"/>
    <w:rsid w:val="00D5329E"/>
    <w:rsid w:val="00D60E4F"/>
    <w:rsid w:val="00D613BB"/>
    <w:rsid w:val="00D61C71"/>
    <w:rsid w:val="00D62C7A"/>
    <w:rsid w:val="00D65AE2"/>
    <w:rsid w:val="00D668AF"/>
    <w:rsid w:val="00D74F1A"/>
    <w:rsid w:val="00D77A06"/>
    <w:rsid w:val="00D83A3B"/>
    <w:rsid w:val="00D92937"/>
    <w:rsid w:val="00D933B7"/>
    <w:rsid w:val="00DA0A4B"/>
    <w:rsid w:val="00DA11C6"/>
    <w:rsid w:val="00DA1A7C"/>
    <w:rsid w:val="00DA6DFA"/>
    <w:rsid w:val="00DB22F1"/>
    <w:rsid w:val="00DB2919"/>
    <w:rsid w:val="00DB4F5C"/>
    <w:rsid w:val="00DD01C3"/>
    <w:rsid w:val="00DD1173"/>
    <w:rsid w:val="00DD17C4"/>
    <w:rsid w:val="00DE1997"/>
    <w:rsid w:val="00DE422B"/>
    <w:rsid w:val="00DE7448"/>
    <w:rsid w:val="00DF0951"/>
    <w:rsid w:val="00DF0BD1"/>
    <w:rsid w:val="00E00411"/>
    <w:rsid w:val="00E02C45"/>
    <w:rsid w:val="00E052C1"/>
    <w:rsid w:val="00E055C5"/>
    <w:rsid w:val="00E06134"/>
    <w:rsid w:val="00E07128"/>
    <w:rsid w:val="00E0777E"/>
    <w:rsid w:val="00E07885"/>
    <w:rsid w:val="00E127F6"/>
    <w:rsid w:val="00E23ABE"/>
    <w:rsid w:val="00E24C96"/>
    <w:rsid w:val="00E32A95"/>
    <w:rsid w:val="00E348EF"/>
    <w:rsid w:val="00E37722"/>
    <w:rsid w:val="00E41FA1"/>
    <w:rsid w:val="00E420DB"/>
    <w:rsid w:val="00E4315C"/>
    <w:rsid w:val="00E444BB"/>
    <w:rsid w:val="00E47539"/>
    <w:rsid w:val="00E53EA3"/>
    <w:rsid w:val="00E56E1E"/>
    <w:rsid w:val="00E60D35"/>
    <w:rsid w:val="00E65724"/>
    <w:rsid w:val="00E71838"/>
    <w:rsid w:val="00E808A0"/>
    <w:rsid w:val="00E82975"/>
    <w:rsid w:val="00E837EA"/>
    <w:rsid w:val="00E96054"/>
    <w:rsid w:val="00EA533B"/>
    <w:rsid w:val="00EB3D40"/>
    <w:rsid w:val="00EB55B6"/>
    <w:rsid w:val="00EC1CF7"/>
    <w:rsid w:val="00ED2F94"/>
    <w:rsid w:val="00EE4AB9"/>
    <w:rsid w:val="00EF2E6D"/>
    <w:rsid w:val="00EF660E"/>
    <w:rsid w:val="00F10075"/>
    <w:rsid w:val="00F1415F"/>
    <w:rsid w:val="00F215EF"/>
    <w:rsid w:val="00F25EE7"/>
    <w:rsid w:val="00F272E0"/>
    <w:rsid w:val="00F32747"/>
    <w:rsid w:val="00F34759"/>
    <w:rsid w:val="00F4036E"/>
    <w:rsid w:val="00F445C5"/>
    <w:rsid w:val="00F50B04"/>
    <w:rsid w:val="00F5527B"/>
    <w:rsid w:val="00F626DE"/>
    <w:rsid w:val="00F70487"/>
    <w:rsid w:val="00F71963"/>
    <w:rsid w:val="00F71FEE"/>
    <w:rsid w:val="00F7287C"/>
    <w:rsid w:val="00F76B20"/>
    <w:rsid w:val="00F815A8"/>
    <w:rsid w:val="00F821C6"/>
    <w:rsid w:val="00F84A6F"/>
    <w:rsid w:val="00F84EBC"/>
    <w:rsid w:val="00F94FAC"/>
    <w:rsid w:val="00F95BE0"/>
    <w:rsid w:val="00FA23F9"/>
    <w:rsid w:val="00FA29D7"/>
    <w:rsid w:val="00FA31E8"/>
    <w:rsid w:val="00FA3858"/>
    <w:rsid w:val="00FA5150"/>
    <w:rsid w:val="00FA7810"/>
    <w:rsid w:val="00FB05E2"/>
    <w:rsid w:val="00FC7545"/>
    <w:rsid w:val="00FE0B8C"/>
    <w:rsid w:val="00FE124B"/>
    <w:rsid w:val="00FE12A0"/>
    <w:rsid w:val="00FE6D7C"/>
    <w:rsid w:val="00FF3719"/>
    <w:rsid w:val="00FF3A68"/>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542"/>
    <w:pPr>
      <w:spacing w:before="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vAlign w:val="center"/>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rsid w:val="007458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636542"/>
    <w:pPr>
      <w:tabs>
        <w:tab w:val="center" w:pos="4153"/>
        <w:tab w:val="right" w:pos="8306"/>
      </w:tabs>
    </w:pPr>
  </w:style>
  <w:style w:type="character" w:customStyle="1" w:styleId="HeaderChar">
    <w:name w:val="Header Char"/>
    <w:basedOn w:val="DefaultParagraphFont"/>
    <w:link w:val="Header"/>
    <w:rsid w:val="00636542"/>
    <w:rPr>
      <w:sz w:val="24"/>
    </w:rPr>
  </w:style>
  <w:style w:type="character" w:styleId="PageNumber">
    <w:name w:val="page number"/>
    <w:basedOn w:val="DefaultParagraphFont"/>
    <w:rsid w:val="00636542"/>
  </w:style>
  <w:style w:type="paragraph" w:styleId="ListParagraph">
    <w:name w:val="List Paragraph"/>
    <w:basedOn w:val="Normal"/>
    <w:uiPriority w:val="34"/>
    <w:qFormat/>
    <w:rsid w:val="00332D93"/>
    <w:pPr>
      <w:spacing w:before="0"/>
      <w:ind w:left="720"/>
      <w:contextualSpacing/>
    </w:pPr>
    <w:rPr>
      <w:szCs w:val="24"/>
    </w:rPr>
  </w:style>
  <w:style w:type="character" w:customStyle="1" w:styleId="EmailStyle211">
    <w:name w:val="EmailStyle21"/>
    <w:aliases w:val="EmailStyle21"/>
    <w:basedOn w:val="DefaultParagraphFont"/>
    <w:personal/>
    <w:rsid w:val="0013329E"/>
    <w:rPr>
      <w:rFonts w:ascii="Arial" w:hAnsi="Arial" w:cs="Arial"/>
      <w:color w:val="000000"/>
      <w:sz w:val="20"/>
      <w:szCs w:val="20"/>
    </w:rPr>
  </w:style>
  <w:style w:type="paragraph" w:styleId="BalloonText">
    <w:name w:val="Balloon Text"/>
    <w:basedOn w:val="Normal"/>
    <w:link w:val="BalloonTextChar"/>
    <w:rsid w:val="00307187"/>
    <w:pPr>
      <w:spacing w:before="0"/>
    </w:pPr>
    <w:rPr>
      <w:rFonts w:ascii="Tahoma" w:hAnsi="Tahoma" w:cs="Tahoma"/>
      <w:sz w:val="16"/>
      <w:szCs w:val="16"/>
    </w:rPr>
  </w:style>
  <w:style w:type="character" w:customStyle="1" w:styleId="BalloonTextChar">
    <w:name w:val="Balloon Text Char"/>
    <w:basedOn w:val="DefaultParagraphFont"/>
    <w:link w:val="BalloonText"/>
    <w:rsid w:val="00307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Nadimi</dc:creator>
  <cp:lastModifiedBy>hilhma</cp:lastModifiedBy>
  <cp:revision>3</cp:revision>
  <dcterms:created xsi:type="dcterms:W3CDTF">2011-10-17T01:12:00Z</dcterms:created>
  <dcterms:modified xsi:type="dcterms:W3CDTF">2011-10-17T01:13:00Z</dcterms:modified>
</cp:coreProperties>
</file>