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F1" w:rsidRDefault="004242D6" w:rsidP="00D056F1">
      <w:r>
        <w:rPr>
          <w:noProof/>
          <w:lang w:val="en-AU" w:eastAsia="en-AU" w:bidi="ar-SA"/>
        </w:rPr>
        <w:drawing>
          <wp:inline distT="0" distB="0" distL="0" distR="0">
            <wp:extent cx="3962400" cy="695325"/>
            <wp:effectExtent l="1905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9" cstate="print"/>
                    <a:srcRect/>
                    <a:stretch>
                      <a:fillRect/>
                    </a:stretch>
                  </pic:blipFill>
                  <pic:spPr bwMode="auto">
                    <a:xfrm>
                      <a:off x="0" y="0"/>
                      <a:ext cx="3962400" cy="695325"/>
                    </a:xfrm>
                    <a:prstGeom prst="rect">
                      <a:avLst/>
                    </a:prstGeom>
                    <a:noFill/>
                    <a:ln w="9525">
                      <a:noFill/>
                      <a:miter lim="800000"/>
                      <a:headEnd/>
                      <a:tailEnd/>
                    </a:ln>
                  </pic:spPr>
                </pic:pic>
              </a:graphicData>
            </a:graphic>
          </wp:inline>
        </w:drawing>
      </w:r>
    </w:p>
    <w:p w:rsidR="00343524" w:rsidRDefault="00343524" w:rsidP="00343524"/>
    <w:p w:rsidR="00343524" w:rsidRDefault="00343524" w:rsidP="00343524">
      <w:pPr>
        <w:rPr>
          <w:b/>
          <w:sz w:val="28"/>
          <w:szCs w:val="28"/>
        </w:rPr>
      </w:pPr>
    </w:p>
    <w:p w:rsidR="00FE022E" w:rsidRDefault="00FE022E" w:rsidP="00343524">
      <w:pPr>
        <w:rPr>
          <w:b/>
          <w:sz w:val="28"/>
          <w:szCs w:val="28"/>
        </w:rPr>
      </w:pPr>
    </w:p>
    <w:p w:rsidR="00FE022E" w:rsidRDefault="00FE022E" w:rsidP="00343524">
      <w:pPr>
        <w:rPr>
          <w:sz w:val="24"/>
        </w:rPr>
      </w:pPr>
    </w:p>
    <w:p w:rsidR="00D056F1" w:rsidRPr="005F400E" w:rsidRDefault="00D056F1" w:rsidP="00DB2973">
      <w:pPr>
        <w:pStyle w:val="FSTitle"/>
      </w:pPr>
      <w:r w:rsidRPr="005F400E">
        <w:t>APPLICATION A</w:t>
      </w:r>
      <w:r w:rsidR="001D5D2E">
        <w:t>1026</w:t>
      </w:r>
    </w:p>
    <w:p w:rsidR="00D056F1" w:rsidRPr="005F400E" w:rsidRDefault="001D5D2E" w:rsidP="00DB2973">
      <w:pPr>
        <w:pStyle w:val="FSTitle"/>
      </w:pPr>
      <w:r>
        <w:t>MINIMUM ALCOHOL CONTENT FOR WINE</w:t>
      </w:r>
    </w:p>
    <w:p w:rsidR="002A0194" w:rsidRPr="005F400E" w:rsidRDefault="00FE022E" w:rsidP="00DB2973">
      <w:pPr>
        <w:pStyle w:val="FSTitle"/>
      </w:pPr>
      <w:r>
        <w:t>EXPLANATORY STATEMENT</w:t>
      </w:r>
      <w:bookmarkStart w:id="0" w:name="_GoBack"/>
      <w:bookmarkEnd w:id="0"/>
    </w:p>
    <w:p w:rsidR="002A0194" w:rsidRPr="00DC6570" w:rsidRDefault="002A0194" w:rsidP="00D056F1">
      <w:pPr>
        <w:pBdr>
          <w:bottom w:val="single" w:sz="12" w:space="1" w:color="auto"/>
        </w:pBdr>
        <w:rPr>
          <w:rFonts w:ascii="Tahoma" w:hAnsi="Tahoma" w:cs="Tahoma"/>
          <w:b/>
          <w:bCs/>
        </w:rPr>
      </w:pPr>
    </w:p>
    <w:p w:rsidR="00D056F1" w:rsidRDefault="00D056F1" w:rsidP="002A0194"/>
    <w:p w:rsidR="002A0194" w:rsidRPr="00D60568" w:rsidRDefault="002A0194" w:rsidP="002A0194">
      <w:pPr>
        <w:rPr>
          <w:rFonts w:ascii="Tahoma" w:hAnsi="Tahoma" w:cs="Tahoma"/>
          <w:b/>
          <w:bCs/>
          <w:sz w:val="28"/>
          <w:u w:val="single"/>
        </w:rPr>
      </w:pPr>
      <w:bookmarkStart w:id="1" w:name="_Toc11735626"/>
      <w:bookmarkStart w:id="2" w:name="_Toc29883108"/>
      <w:bookmarkStart w:id="3" w:name="_Toc41906795"/>
      <w:bookmarkStart w:id="4" w:name="_Toc41907543"/>
      <w:bookmarkStart w:id="5" w:name="_Toc120090537"/>
      <w:bookmarkStart w:id="6" w:name="_Toc120358570"/>
      <w:bookmarkStart w:id="7" w:name="_Toc120358612"/>
      <w:r w:rsidRPr="00D60568">
        <w:rPr>
          <w:rFonts w:ascii="Tahoma" w:hAnsi="Tahoma" w:cs="Tahoma"/>
          <w:b/>
          <w:bCs/>
          <w:sz w:val="28"/>
          <w:u w:val="single"/>
        </w:rPr>
        <w:t>Executive Summary</w:t>
      </w:r>
      <w:bookmarkEnd w:id="1"/>
      <w:bookmarkEnd w:id="2"/>
      <w:bookmarkEnd w:id="3"/>
      <w:bookmarkEnd w:id="4"/>
      <w:bookmarkEnd w:id="5"/>
      <w:bookmarkEnd w:id="6"/>
      <w:bookmarkEnd w:id="7"/>
    </w:p>
    <w:p w:rsidR="00B661F5" w:rsidRDefault="00B661F5" w:rsidP="005F400E">
      <w:pPr>
        <w:rPr>
          <w:rFonts w:cs="Arial"/>
          <w:b/>
          <w:bCs/>
        </w:rPr>
      </w:pPr>
      <w:bookmarkStart w:id="8" w:name="_Toc120090538"/>
      <w:bookmarkStart w:id="9" w:name="_Toc120358571"/>
      <w:bookmarkStart w:id="10" w:name="_Toc120358613"/>
    </w:p>
    <w:p w:rsidR="005F400E" w:rsidRPr="00DC6570" w:rsidRDefault="005F400E" w:rsidP="005F400E">
      <w:pPr>
        <w:rPr>
          <w:rFonts w:cs="Arial"/>
          <w:b/>
          <w:bCs/>
        </w:rPr>
      </w:pPr>
      <w:r w:rsidRPr="00DC6570">
        <w:rPr>
          <w:rFonts w:cs="Arial"/>
          <w:b/>
          <w:bCs/>
        </w:rPr>
        <w:t>Purpose</w:t>
      </w:r>
      <w:bookmarkEnd w:id="8"/>
      <w:bookmarkEnd w:id="9"/>
      <w:bookmarkEnd w:id="10"/>
    </w:p>
    <w:p w:rsidR="00B661F5" w:rsidRPr="003F4A90" w:rsidRDefault="00B661F5" w:rsidP="005F400E">
      <w:pPr>
        <w:rPr>
          <w:rFonts w:cs="Arial"/>
          <w:color w:val="000000" w:themeColor="text1"/>
        </w:rPr>
      </w:pPr>
    </w:p>
    <w:p w:rsidR="00B661F5" w:rsidRDefault="00B661F5" w:rsidP="00B661F5">
      <w:pPr>
        <w:rPr>
          <w:rFonts w:cs="Arial"/>
        </w:rPr>
      </w:pPr>
      <w:r>
        <w:rPr>
          <w:rFonts w:cs="Arial"/>
        </w:rPr>
        <w:t xml:space="preserve">Food Standards Australia New Zealand (FSANZ) received an Application from the Winemakers’ Federation of Australia (WFA) on 5 June 2009. The initial scope of the Application has been amended by the Applicant since it was originally submitted and currently seeks to amend </w:t>
      </w:r>
      <w:r w:rsidR="006C0DED">
        <w:rPr>
          <w:rFonts w:cs="Arial"/>
        </w:rPr>
        <w:t xml:space="preserve">the </w:t>
      </w:r>
      <w:r w:rsidR="00A97B39">
        <w:rPr>
          <w:rFonts w:cs="Arial"/>
        </w:rPr>
        <w:t>Australia</w:t>
      </w:r>
      <w:r w:rsidR="000D20F6">
        <w:rPr>
          <w:rFonts w:cs="Arial"/>
        </w:rPr>
        <w:t xml:space="preserve"> </w:t>
      </w:r>
      <w:r w:rsidR="00A97B39">
        <w:rPr>
          <w:rFonts w:cs="Arial"/>
        </w:rPr>
        <w:t xml:space="preserve">only </w:t>
      </w:r>
      <w:r>
        <w:rPr>
          <w:rFonts w:cs="Arial"/>
        </w:rPr>
        <w:t xml:space="preserve">Standard 4.5.1 – Wine Production Requirements </w:t>
      </w:r>
      <w:r w:rsidR="000D20F6">
        <w:rPr>
          <w:rFonts w:cs="Arial"/>
        </w:rPr>
        <w:t>in</w:t>
      </w:r>
      <w:r>
        <w:rPr>
          <w:rFonts w:cs="Arial"/>
        </w:rPr>
        <w:t xml:space="preserve"> the </w:t>
      </w:r>
      <w:r>
        <w:rPr>
          <w:rFonts w:cs="Arial"/>
          <w:i/>
        </w:rPr>
        <w:t xml:space="preserve">Australia New Zealand Food Standards Code </w:t>
      </w:r>
      <w:r>
        <w:rPr>
          <w:rFonts w:cs="Arial"/>
        </w:rPr>
        <w:t>(the Code).</w:t>
      </w:r>
      <w:r w:rsidRPr="00A172FF">
        <w:rPr>
          <w:rFonts w:cs="Arial"/>
        </w:rPr>
        <w:t xml:space="preserve"> </w:t>
      </w:r>
    </w:p>
    <w:p w:rsidR="00B661F5" w:rsidRDefault="00B661F5" w:rsidP="00B661F5">
      <w:pPr>
        <w:rPr>
          <w:rFonts w:cs="Arial"/>
        </w:rPr>
      </w:pPr>
    </w:p>
    <w:p w:rsidR="00B661F5" w:rsidRDefault="000D20F6" w:rsidP="00B661F5">
      <w:pPr>
        <w:rPr>
          <w:rFonts w:cs="Arial"/>
        </w:rPr>
      </w:pPr>
      <w:r>
        <w:rPr>
          <w:rFonts w:cs="Arial"/>
        </w:rPr>
        <w:t xml:space="preserve">The </w:t>
      </w:r>
      <w:r w:rsidR="00B661F5">
        <w:rPr>
          <w:rFonts w:cs="Arial"/>
        </w:rPr>
        <w:t xml:space="preserve">Application seeks to reduce the minimum alcohol content permitted in Standard 4.5.1 for wine and sparkling wine produced in Australia from 8 % (80 mL/L) to 4.5% (45 mL/L) alcohol/volume (alc/vol). This proposed amendment is relevant to wine produced in Australia only and does not apply to wine made in New Zealand or to wine imported into Australia and New Zealand. </w:t>
      </w:r>
    </w:p>
    <w:p w:rsidR="00B661F5" w:rsidRDefault="00B661F5" w:rsidP="00B661F5">
      <w:pPr>
        <w:rPr>
          <w:rFonts w:cs="Arial"/>
        </w:rPr>
      </w:pPr>
    </w:p>
    <w:p w:rsidR="00B661F5" w:rsidRDefault="00B661F5" w:rsidP="00B661F5">
      <w:pPr>
        <w:rPr>
          <w:rFonts w:cs="Arial"/>
        </w:rPr>
      </w:pPr>
      <w:r>
        <w:rPr>
          <w:rFonts w:cs="Arial"/>
        </w:rPr>
        <w:t xml:space="preserve">A minimum alcohol content of 4.5% is sought to harmonise with </w:t>
      </w:r>
      <w:r w:rsidR="005D356B">
        <w:rPr>
          <w:rFonts w:cs="Arial"/>
        </w:rPr>
        <w:t>the</w:t>
      </w:r>
      <w:r w:rsidR="00BB2296">
        <w:rPr>
          <w:rFonts w:cs="Arial"/>
        </w:rPr>
        <w:t xml:space="preserve"> European Union (EU) in order to</w:t>
      </w:r>
      <w:r>
        <w:rPr>
          <w:rFonts w:cs="Arial"/>
        </w:rPr>
        <w:t xml:space="preserve"> meet EU export requirements under the 2008 </w:t>
      </w:r>
      <w:r w:rsidRPr="007D1460">
        <w:rPr>
          <w:rFonts w:cs="Arial"/>
          <w:i/>
        </w:rPr>
        <w:t xml:space="preserve">Agreement </w:t>
      </w:r>
      <w:r>
        <w:rPr>
          <w:rFonts w:cs="Arial"/>
          <w:i/>
        </w:rPr>
        <w:t xml:space="preserve">between Australia </w:t>
      </w:r>
      <w:r w:rsidRPr="007D1460">
        <w:rPr>
          <w:rFonts w:cs="Arial"/>
          <w:i/>
        </w:rPr>
        <w:t>and the European Community for Trade in Wine</w:t>
      </w:r>
      <w:r>
        <w:rPr>
          <w:rFonts w:cs="Arial"/>
          <w:i/>
        </w:rPr>
        <w:t xml:space="preserve">. </w:t>
      </w:r>
      <w:r>
        <w:rPr>
          <w:rFonts w:cs="Arial"/>
        </w:rPr>
        <w:t xml:space="preserve">The Applicant asserts that this will facilitate trade with the EU, Australia’s largest export market. </w:t>
      </w:r>
    </w:p>
    <w:p w:rsidR="00B661F5" w:rsidRDefault="00B661F5" w:rsidP="00B661F5">
      <w:pPr>
        <w:rPr>
          <w:rFonts w:cs="Arial"/>
        </w:rPr>
      </w:pPr>
    </w:p>
    <w:p w:rsidR="00B661F5" w:rsidRDefault="00B661F5" w:rsidP="00B661F5">
      <w:pPr>
        <w:rPr>
          <w:rFonts w:cs="Arial"/>
        </w:rPr>
      </w:pPr>
      <w:r>
        <w:rPr>
          <w:rFonts w:cs="Arial"/>
        </w:rPr>
        <w:t xml:space="preserve">The Applicant states that the proposed amendment will address a current regulatory disadvantage for the Australian wine industry in comparison to imported wines. Australian produced wine and sparkling wine currently has a prescribed minimum alcohol content of 8% alc/vol, whereas there is no minimum alcohol content stipulated in the Code for imported wine. Wines imported into Australia below 8% alc/vol are therefore permitted to be sold as ‘wine’, while Australian produced wines below 8% alc/vol are not. </w:t>
      </w:r>
    </w:p>
    <w:p w:rsidR="00B661F5" w:rsidRDefault="00B661F5" w:rsidP="00B661F5">
      <w:pPr>
        <w:rPr>
          <w:rFonts w:cs="Arial"/>
        </w:rPr>
      </w:pPr>
    </w:p>
    <w:p w:rsidR="00B661F5" w:rsidRDefault="00B661F5" w:rsidP="00B661F5">
      <w:pPr>
        <w:rPr>
          <w:rFonts w:cs="Arial"/>
        </w:rPr>
      </w:pPr>
      <w:r>
        <w:rPr>
          <w:rFonts w:cs="Arial"/>
        </w:rPr>
        <w:t xml:space="preserve">A risk assessment </w:t>
      </w:r>
      <w:r w:rsidR="00FC33BA">
        <w:rPr>
          <w:rFonts w:cs="Arial"/>
        </w:rPr>
        <w:t xml:space="preserve">was </w:t>
      </w:r>
      <w:r>
        <w:rPr>
          <w:rFonts w:cs="Arial"/>
        </w:rPr>
        <w:t xml:space="preserve">not </w:t>
      </w:r>
      <w:r w:rsidR="00FC33BA">
        <w:rPr>
          <w:rFonts w:cs="Arial"/>
        </w:rPr>
        <w:t>conducted</w:t>
      </w:r>
      <w:r>
        <w:rPr>
          <w:rFonts w:cs="Arial"/>
        </w:rPr>
        <w:t xml:space="preserve"> for this Application on the basis that there are no public health and safety risks related to the </w:t>
      </w:r>
      <w:r w:rsidR="004665A9" w:rsidRPr="00BA7FAE">
        <w:rPr>
          <w:rFonts w:cs="Arial"/>
        </w:rPr>
        <w:t>proposed</w:t>
      </w:r>
      <w:r>
        <w:rPr>
          <w:rFonts w:cs="Arial"/>
        </w:rPr>
        <w:t xml:space="preserve"> amendment. </w:t>
      </w:r>
    </w:p>
    <w:p w:rsidR="00B661F5" w:rsidRDefault="00B661F5" w:rsidP="00B661F5">
      <w:pPr>
        <w:rPr>
          <w:rFonts w:cs="Arial"/>
        </w:rPr>
      </w:pPr>
    </w:p>
    <w:p w:rsidR="00B661F5" w:rsidRDefault="00B661F5" w:rsidP="00B661F5">
      <w:pPr>
        <w:rPr>
          <w:rFonts w:cs="Arial"/>
        </w:rPr>
      </w:pPr>
      <w:r>
        <w:rPr>
          <w:rFonts w:cs="Arial"/>
        </w:rPr>
        <w:t xml:space="preserve">In </w:t>
      </w:r>
      <w:r w:rsidR="00BA7FAE">
        <w:rPr>
          <w:rFonts w:cs="Arial"/>
        </w:rPr>
        <w:t>assessing</w:t>
      </w:r>
      <w:r>
        <w:rPr>
          <w:rFonts w:cs="Arial"/>
        </w:rPr>
        <w:t xml:space="preserve"> th</w:t>
      </w:r>
      <w:r w:rsidR="002E1ECA">
        <w:rPr>
          <w:rFonts w:cs="Arial"/>
        </w:rPr>
        <w:t>e</w:t>
      </w:r>
      <w:r>
        <w:rPr>
          <w:rFonts w:cs="Arial"/>
        </w:rPr>
        <w:t xml:space="preserve"> Application</w:t>
      </w:r>
      <w:r w:rsidRPr="00BA31FF">
        <w:rPr>
          <w:rFonts w:cs="Arial"/>
        </w:rPr>
        <w:t xml:space="preserve">, FSANZ has </w:t>
      </w:r>
      <w:r>
        <w:rPr>
          <w:rFonts w:cs="Arial"/>
        </w:rPr>
        <w:t xml:space="preserve">considered the potential impacts on all stakeholders including consumers, industry and government. Based on the available information, FSANZ </w:t>
      </w:r>
      <w:r w:rsidR="004E682D">
        <w:rPr>
          <w:rFonts w:cs="Arial"/>
        </w:rPr>
        <w:t xml:space="preserve">has </w:t>
      </w:r>
      <w:r>
        <w:rPr>
          <w:rFonts w:cs="Arial"/>
        </w:rPr>
        <w:t>conclude</w:t>
      </w:r>
      <w:r w:rsidR="004E682D">
        <w:rPr>
          <w:rFonts w:cs="Arial"/>
        </w:rPr>
        <w:t>d</w:t>
      </w:r>
      <w:r>
        <w:rPr>
          <w:rFonts w:cs="Arial"/>
        </w:rPr>
        <w:t xml:space="preserve"> that the benefits of the proposed amendment outweigh any associated costs. </w:t>
      </w:r>
    </w:p>
    <w:p w:rsidR="00413BCD" w:rsidRPr="00F21890" w:rsidRDefault="00413BCD" w:rsidP="00B661F5">
      <w:pPr>
        <w:rPr>
          <w:rFonts w:cs="Arial"/>
        </w:rPr>
      </w:pPr>
    </w:p>
    <w:p w:rsidR="00B661F5" w:rsidRDefault="00B661F5" w:rsidP="00B661F5">
      <w:pPr>
        <w:rPr>
          <w:rFonts w:cs="Arial"/>
        </w:rPr>
      </w:pPr>
      <w:r w:rsidRPr="00F21890">
        <w:rPr>
          <w:rFonts w:cs="Arial"/>
        </w:rPr>
        <w:t xml:space="preserve">The Application </w:t>
      </w:r>
      <w:r w:rsidR="005A4369">
        <w:rPr>
          <w:rFonts w:cs="Arial"/>
        </w:rPr>
        <w:t>was</w:t>
      </w:r>
      <w:r w:rsidRPr="00F21890">
        <w:rPr>
          <w:rFonts w:cs="Arial"/>
        </w:rPr>
        <w:t xml:space="preserve"> assessed under the General Procedure.</w:t>
      </w:r>
    </w:p>
    <w:p w:rsidR="008A7BEC" w:rsidRDefault="008A7BEC">
      <w:pPr>
        <w:widowControl/>
        <w:rPr>
          <w:rFonts w:cs="Arial"/>
          <w:b/>
        </w:rPr>
      </w:pPr>
      <w:r>
        <w:rPr>
          <w:rFonts w:cs="Arial"/>
          <w:b/>
        </w:rPr>
        <w:br w:type="page"/>
      </w:r>
    </w:p>
    <w:p w:rsidR="002A0194" w:rsidRPr="00D60568" w:rsidRDefault="00371B29" w:rsidP="002A0194">
      <w:pPr>
        <w:rPr>
          <w:rFonts w:cs="Arial"/>
          <w:b/>
        </w:rPr>
      </w:pPr>
      <w:r w:rsidRPr="00D60568">
        <w:rPr>
          <w:rFonts w:cs="Arial"/>
          <w:b/>
        </w:rPr>
        <w:lastRenderedPageBreak/>
        <w:t>Assessing the Application</w:t>
      </w:r>
    </w:p>
    <w:p w:rsidR="002A0194" w:rsidRPr="00DC6570" w:rsidRDefault="002A0194" w:rsidP="002A0194">
      <w:pPr>
        <w:rPr>
          <w:rFonts w:cs="Arial"/>
        </w:rPr>
      </w:pPr>
    </w:p>
    <w:p w:rsidR="00064B2D" w:rsidRPr="00DC6570" w:rsidRDefault="00064B2D" w:rsidP="002A0194">
      <w:pPr>
        <w:rPr>
          <w:rFonts w:cs="Arial"/>
        </w:rPr>
      </w:pPr>
      <w:r w:rsidRPr="00DC6570">
        <w:rPr>
          <w:rFonts w:cs="Arial"/>
        </w:rPr>
        <w:t>In assessing the Application</w:t>
      </w:r>
      <w:r w:rsidR="00486793" w:rsidRPr="00DC6570">
        <w:rPr>
          <w:rFonts w:cs="Arial"/>
        </w:rPr>
        <w:t xml:space="preserve"> </w:t>
      </w:r>
      <w:r w:rsidR="00486793" w:rsidRPr="00977919">
        <w:rPr>
          <w:rFonts w:cs="Arial"/>
        </w:rPr>
        <w:t>and the subsequent development of a food regulatory measure</w:t>
      </w:r>
      <w:r w:rsidRPr="00DC6570">
        <w:rPr>
          <w:rFonts w:cs="Arial"/>
        </w:rPr>
        <w:t xml:space="preserve">, FSANZ has had regard to the following matters as prescribed in section </w:t>
      </w:r>
      <w:r w:rsidRPr="00977919">
        <w:rPr>
          <w:rFonts w:cs="Arial"/>
        </w:rPr>
        <w:t>29</w:t>
      </w:r>
      <w:r w:rsidRPr="00DC6570">
        <w:rPr>
          <w:rFonts w:cs="Arial"/>
        </w:rPr>
        <w:t xml:space="preserve"> of the </w:t>
      </w:r>
      <w:r w:rsidRPr="00DC6570">
        <w:rPr>
          <w:rFonts w:cs="Arial"/>
          <w:i/>
        </w:rPr>
        <w:t>Food Standards Australia New Zealand Act 1991</w:t>
      </w:r>
      <w:r w:rsidRPr="00DC6570">
        <w:rPr>
          <w:rFonts w:cs="Arial"/>
        </w:rPr>
        <w:t xml:space="preserve"> (FSANZ Act):</w:t>
      </w:r>
    </w:p>
    <w:p w:rsidR="00064B2D" w:rsidRPr="00DC6570" w:rsidRDefault="00064B2D" w:rsidP="002A0194">
      <w:pPr>
        <w:rPr>
          <w:rFonts w:cs="Arial"/>
        </w:rPr>
      </w:pPr>
    </w:p>
    <w:p w:rsidR="002B1832" w:rsidRDefault="002B1832" w:rsidP="002B1832">
      <w:pPr>
        <w:pStyle w:val="FSBullet"/>
      </w:pPr>
      <w:r>
        <w:t>w</w:t>
      </w:r>
      <w:r w:rsidRPr="00DC6570">
        <w:t>hether costs that would arise</w:t>
      </w:r>
      <w:r>
        <w:t xml:space="preserve"> from varying the Code to reduce the minimum alcohol content</w:t>
      </w:r>
      <w:r w:rsidRPr="00DC6570">
        <w:t xml:space="preserve"> outweigh the direct and indirect benefits to the commun</w:t>
      </w:r>
      <w:r w:rsidRPr="00D60568">
        <w:t xml:space="preserve">ity, </w:t>
      </w:r>
      <w:r>
        <w:t>g</w:t>
      </w:r>
      <w:r w:rsidRPr="00D60568">
        <w:t xml:space="preserve">overnment or industry </w:t>
      </w:r>
    </w:p>
    <w:p w:rsidR="002B1832" w:rsidRPr="00822C90" w:rsidRDefault="002B1832" w:rsidP="002B1832"/>
    <w:p w:rsidR="002B1832" w:rsidRPr="00DC6570" w:rsidRDefault="002B1832" w:rsidP="002B1832">
      <w:pPr>
        <w:pStyle w:val="FSBullet"/>
      </w:pPr>
      <w:r>
        <w:t xml:space="preserve">whether </w:t>
      </w:r>
      <w:r w:rsidRPr="00DC6570">
        <w:t>other measures would be more cost-effective than a variation to Standard</w:t>
      </w:r>
      <w:r>
        <w:t xml:space="preserve"> 4.5.1 that could achieve the same end</w:t>
      </w:r>
    </w:p>
    <w:p w:rsidR="002B1832" w:rsidRPr="00DC6570" w:rsidRDefault="002B1832" w:rsidP="002B1832">
      <w:pPr>
        <w:rPr>
          <w:rFonts w:cs="Arial"/>
        </w:rPr>
      </w:pPr>
    </w:p>
    <w:p w:rsidR="002B1832" w:rsidRPr="00DC6570" w:rsidRDefault="002B1832" w:rsidP="002B1832">
      <w:pPr>
        <w:pStyle w:val="FSBullet"/>
      </w:pPr>
      <w:r>
        <w:t>whether there are a</w:t>
      </w:r>
      <w:r w:rsidRPr="00DC6570">
        <w:t>ny relevant N</w:t>
      </w:r>
      <w:r w:rsidRPr="00D60568">
        <w:t>ew Zealand</w:t>
      </w:r>
      <w:r>
        <w:t xml:space="preserve"> standards</w:t>
      </w:r>
    </w:p>
    <w:p w:rsidR="002B1832" w:rsidRPr="00DC6570" w:rsidRDefault="002B1832" w:rsidP="002B1832">
      <w:pPr>
        <w:rPr>
          <w:rFonts w:cs="Arial"/>
        </w:rPr>
      </w:pPr>
    </w:p>
    <w:p w:rsidR="002B1832" w:rsidRPr="00DC6570" w:rsidRDefault="002B1832" w:rsidP="002B1832">
      <w:pPr>
        <w:pStyle w:val="FSBullet"/>
      </w:pPr>
      <w:proofErr w:type="gramStart"/>
      <w:r>
        <w:t>any</w:t>
      </w:r>
      <w:proofErr w:type="gramEnd"/>
      <w:r>
        <w:t xml:space="preserve"> other relevant matters.</w:t>
      </w:r>
    </w:p>
    <w:p w:rsidR="002A0194" w:rsidRPr="00DC6570" w:rsidRDefault="002A0194" w:rsidP="002A0194">
      <w:pPr>
        <w:rPr>
          <w:rFonts w:cs="Arial"/>
        </w:rPr>
      </w:pPr>
    </w:p>
    <w:p w:rsidR="002A0194" w:rsidRPr="00D60568" w:rsidRDefault="002A0194" w:rsidP="003213F9">
      <w:pPr>
        <w:pStyle w:val="FSDecisionHeading"/>
      </w:pPr>
      <w:bookmarkStart w:id="11" w:name="_Toc120090540"/>
      <w:bookmarkStart w:id="12" w:name="_Toc120358572"/>
      <w:bookmarkStart w:id="13" w:name="_Toc120358614"/>
      <w:r w:rsidRPr="00D60568">
        <w:t xml:space="preserve">Decision </w:t>
      </w:r>
      <w:bookmarkEnd w:id="11"/>
      <w:bookmarkEnd w:id="12"/>
      <w:bookmarkEnd w:id="13"/>
    </w:p>
    <w:p w:rsidR="002A0194" w:rsidRPr="00DC6570" w:rsidRDefault="002A0194" w:rsidP="002A0194">
      <w:pPr>
        <w:pStyle w:val="FSDecisiontext"/>
        <w:rPr>
          <w:rFonts w:cs="Arial"/>
        </w:rPr>
      </w:pPr>
    </w:p>
    <w:p w:rsidR="002B1832" w:rsidRDefault="002B1832" w:rsidP="002B1832">
      <w:pPr>
        <w:pStyle w:val="FSDecisiontext"/>
      </w:pPr>
      <w:r>
        <w:t>To approve the draft variation to Standard 4.5.1 – Wine Production Requirements to require wine and sparkling wine produced in Australia to contain no less than 45 mL/L of ethanol at 20</w:t>
      </w:r>
      <w:r>
        <w:sym w:font="Symbol" w:char="F0B0"/>
      </w:r>
      <w:r>
        <w:t>C.</w:t>
      </w:r>
    </w:p>
    <w:p w:rsidR="002A0194" w:rsidRPr="00DC6570" w:rsidRDefault="002A0194" w:rsidP="002A0194">
      <w:pPr>
        <w:rPr>
          <w:rFonts w:cs="Arial"/>
        </w:rPr>
      </w:pPr>
    </w:p>
    <w:p w:rsidR="002A0194" w:rsidRDefault="002A0194" w:rsidP="002A0194">
      <w:pPr>
        <w:rPr>
          <w:rFonts w:cs="Arial"/>
          <w:b/>
          <w:bCs/>
        </w:rPr>
      </w:pPr>
      <w:bookmarkStart w:id="14" w:name="_Toc120090541"/>
      <w:bookmarkStart w:id="15" w:name="_Toc120358573"/>
      <w:bookmarkStart w:id="16" w:name="_Toc120358615"/>
      <w:r w:rsidRPr="00D60568">
        <w:rPr>
          <w:rFonts w:cs="Arial"/>
          <w:b/>
          <w:bCs/>
        </w:rPr>
        <w:t xml:space="preserve">Reasons for Decision </w:t>
      </w:r>
      <w:bookmarkEnd w:id="14"/>
      <w:bookmarkEnd w:id="15"/>
      <w:bookmarkEnd w:id="16"/>
    </w:p>
    <w:p w:rsidR="00886C44" w:rsidRPr="00DC6570" w:rsidRDefault="00886C44" w:rsidP="002A0194">
      <w:pPr>
        <w:rPr>
          <w:rFonts w:cs="Arial"/>
        </w:rPr>
      </w:pPr>
    </w:p>
    <w:p w:rsidR="005E5624" w:rsidRDefault="005E5624" w:rsidP="005E5624">
      <w:pPr>
        <w:pStyle w:val="FSBullet"/>
      </w:pPr>
      <w:r>
        <w:t xml:space="preserve">The proposed </w:t>
      </w:r>
      <w:r w:rsidR="0007199F">
        <w:t>amendment</w:t>
      </w:r>
      <w:r>
        <w:t xml:space="preserve"> </w:t>
      </w:r>
      <w:r w:rsidR="004E1ABA">
        <w:t xml:space="preserve">to Standard 4.5.1 </w:t>
      </w:r>
      <w:r>
        <w:t xml:space="preserve">does not raise any public health and safety issues. The amendment could provide Australian consumers with a greater range of low alcohol products. </w:t>
      </w:r>
    </w:p>
    <w:p w:rsidR="005E5624" w:rsidRPr="009741F9" w:rsidRDefault="005E5624" w:rsidP="005E5624"/>
    <w:p w:rsidR="005E5624" w:rsidRDefault="005E5624" w:rsidP="005E5624">
      <w:pPr>
        <w:pStyle w:val="FSBullet"/>
      </w:pPr>
      <w:r>
        <w:t>Approval of the proposed amendment promotes consistency between domestic and international food standards, particularly with the European Union, and promotes an efficient and internationally competitive food industry, which are matters that FSANZ must have regard to under the FSANZ Act.</w:t>
      </w:r>
    </w:p>
    <w:p w:rsidR="005E5624" w:rsidRPr="00A73A5C" w:rsidRDefault="005E5624" w:rsidP="005E5624"/>
    <w:p w:rsidR="005E5624" w:rsidRDefault="005E5624" w:rsidP="005E5624">
      <w:pPr>
        <w:pStyle w:val="FSBullet"/>
      </w:pPr>
      <w:r w:rsidRPr="00B4611D">
        <w:t xml:space="preserve">The impact analysis concluded that the benefits of </w:t>
      </w:r>
      <w:r>
        <w:t xml:space="preserve">the proposed amendment outweigh any associated costs. </w:t>
      </w:r>
    </w:p>
    <w:p w:rsidR="005E5624" w:rsidRPr="00A73A5C" w:rsidRDefault="005E5624" w:rsidP="005E5624"/>
    <w:p w:rsidR="005E5624" w:rsidRPr="0032595F" w:rsidRDefault="005E5624" w:rsidP="005E5624">
      <w:pPr>
        <w:pStyle w:val="FSBullet"/>
      </w:pPr>
      <w:r>
        <w:t>There are no relevant New Zealand standards that would impact on our decision to amend the Code.</w:t>
      </w:r>
    </w:p>
    <w:p w:rsidR="005E5624" w:rsidRDefault="005E5624" w:rsidP="005E5624">
      <w:pPr>
        <w:pStyle w:val="FSBullet"/>
        <w:numPr>
          <w:ilvl w:val="0"/>
          <w:numId w:val="0"/>
        </w:numPr>
      </w:pPr>
    </w:p>
    <w:p w:rsidR="00A10C35" w:rsidRPr="00A10C35" w:rsidRDefault="005E5624" w:rsidP="00A10C35">
      <w:pPr>
        <w:pStyle w:val="FSBullet"/>
      </w:pPr>
      <w:r>
        <w:t>There are no other measures than a variation to Standard 4.5.1 that could achieve the same end.</w:t>
      </w:r>
    </w:p>
    <w:p w:rsidR="002A0194" w:rsidRPr="00DC6570" w:rsidRDefault="002A0194" w:rsidP="002A0194">
      <w:pPr>
        <w:rPr>
          <w:rFonts w:cs="Arial"/>
        </w:rPr>
      </w:pPr>
    </w:p>
    <w:p w:rsidR="002A0194" w:rsidRPr="00D60568" w:rsidRDefault="002A0194" w:rsidP="002A0194">
      <w:pPr>
        <w:rPr>
          <w:rFonts w:cs="Arial"/>
          <w:b/>
          <w:bCs/>
        </w:rPr>
      </w:pPr>
      <w:bookmarkStart w:id="17" w:name="_Toc120090542"/>
      <w:bookmarkStart w:id="18" w:name="_Toc120358574"/>
      <w:bookmarkStart w:id="19" w:name="_Toc120358616"/>
      <w:r w:rsidRPr="00D60568">
        <w:rPr>
          <w:rFonts w:cs="Arial"/>
          <w:b/>
          <w:bCs/>
        </w:rPr>
        <w:t>Consultation</w:t>
      </w:r>
      <w:bookmarkEnd w:id="17"/>
      <w:bookmarkEnd w:id="18"/>
      <w:bookmarkEnd w:id="19"/>
    </w:p>
    <w:p w:rsidR="009E744A" w:rsidRDefault="009E744A" w:rsidP="009E744A">
      <w:pPr>
        <w:rPr>
          <w:rFonts w:cs="Arial"/>
        </w:rPr>
      </w:pPr>
    </w:p>
    <w:p w:rsidR="008A7BEC" w:rsidRPr="00423539" w:rsidRDefault="00255603" w:rsidP="008A7BEC">
      <w:pPr>
        <w:rPr>
          <w:rFonts w:cs="Arial"/>
          <w:szCs w:val="22"/>
        </w:rPr>
      </w:pPr>
      <w:r w:rsidRPr="00932971">
        <w:t xml:space="preserve">Public </w:t>
      </w:r>
      <w:r w:rsidR="009A5DA5">
        <w:t xml:space="preserve">comment </w:t>
      </w:r>
      <w:r w:rsidRPr="00932971">
        <w:t>on the Assessment Report</w:t>
      </w:r>
      <w:r w:rsidR="009E744A">
        <w:t xml:space="preserve"> </w:t>
      </w:r>
      <w:r w:rsidR="009A5DA5">
        <w:t xml:space="preserve">was sought from </w:t>
      </w:r>
      <w:r>
        <w:t>2</w:t>
      </w:r>
      <w:r w:rsidR="008E7C36">
        <w:t>1</w:t>
      </w:r>
      <w:r>
        <w:t xml:space="preserve"> April</w:t>
      </w:r>
      <w:r w:rsidRPr="00932971">
        <w:t xml:space="preserve"> </w:t>
      </w:r>
      <w:r w:rsidR="009A5DA5">
        <w:t>to</w:t>
      </w:r>
      <w:r w:rsidRPr="00932971">
        <w:t xml:space="preserve"> </w:t>
      </w:r>
      <w:r>
        <w:t xml:space="preserve">2 June 2011. </w:t>
      </w:r>
      <w:r w:rsidRPr="00932971">
        <w:t xml:space="preserve">Comments were specifically </w:t>
      </w:r>
      <w:r w:rsidRPr="00F4629F">
        <w:t>requested on</w:t>
      </w:r>
      <w:r w:rsidRPr="00DC6570">
        <w:rPr>
          <w:rFonts w:cs="Arial"/>
          <w:color w:val="FF0000"/>
        </w:rPr>
        <w:t xml:space="preserve"> </w:t>
      </w:r>
      <w:r w:rsidR="00FA3110">
        <w:t>the potential costs and benefits to all stakeholders.</w:t>
      </w:r>
      <w:r w:rsidR="008A7BEC">
        <w:t xml:space="preserve"> As t</w:t>
      </w:r>
      <w:r w:rsidR="008A7BEC">
        <w:rPr>
          <w:rFonts w:cs="Arial"/>
          <w:szCs w:val="22"/>
        </w:rPr>
        <w:t>his Application</w:t>
      </w:r>
      <w:r w:rsidR="008A7BEC" w:rsidRPr="00423539">
        <w:rPr>
          <w:rFonts w:cs="Arial"/>
          <w:szCs w:val="22"/>
        </w:rPr>
        <w:t xml:space="preserve"> </w:t>
      </w:r>
      <w:r w:rsidR="008A7BEC">
        <w:rPr>
          <w:rFonts w:cs="Arial"/>
          <w:szCs w:val="22"/>
        </w:rPr>
        <w:t xml:space="preserve">was </w:t>
      </w:r>
      <w:r w:rsidR="008A7BEC" w:rsidRPr="00423539">
        <w:rPr>
          <w:rFonts w:cs="Arial"/>
          <w:szCs w:val="22"/>
        </w:rPr>
        <w:t>assessed under the General Procedure</w:t>
      </w:r>
      <w:r w:rsidR="006C0DED">
        <w:rPr>
          <w:rFonts w:cs="Arial"/>
          <w:szCs w:val="22"/>
        </w:rPr>
        <w:t>,</w:t>
      </w:r>
      <w:r w:rsidR="008A7BEC">
        <w:rPr>
          <w:rFonts w:cs="Arial"/>
          <w:szCs w:val="22"/>
        </w:rPr>
        <w:t xml:space="preserve"> there was one round of public consultation</w:t>
      </w:r>
      <w:r w:rsidR="008A7BEC" w:rsidRPr="00423539">
        <w:rPr>
          <w:rFonts w:cs="Arial"/>
          <w:szCs w:val="22"/>
        </w:rPr>
        <w:t>.</w:t>
      </w:r>
    </w:p>
    <w:p w:rsidR="00FA3110" w:rsidRDefault="00FA3110" w:rsidP="00FA3110"/>
    <w:p w:rsidR="004E1ABA" w:rsidRDefault="004E1ABA" w:rsidP="004E1ABA">
      <w:r>
        <w:t xml:space="preserve">A total of eleven submissions were received. </w:t>
      </w:r>
      <w:r w:rsidR="0081757D">
        <w:t xml:space="preserve">The issues raised in these submissions have been carefully considered by </w:t>
      </w:r>
      <w:r>
        <w:t xml:space="preserve">FSANZ. A summary of </w:t>
      </w:r>
      <w:r w:rsidR="003966D2">
        <w:t xml:space="preserve">the </w:t>
      </w:r>
      <w:r w:rsidR="0081757D">
        <w:t xml:space="preserve">submissions </w:t>
      </w:r>
      <w:r>
        <w:t xml:space="preserve">and FSANZ responses are provided </w:t>
      </w:r>
      <w:r w:rsidR="00FE25F5">
        <w:t>at</w:t>
      </w:r>
      <w:r>
        <w:t xml:space="preserve"> </w:t>
      </w:r>
      <w:r w:rsidRPr="00B23D45">
        <w:rPr>
          <w:b/>
        </w:rPr>
        <w:t>Attachment 2</w:t>
      </w:r>
      <w:r>
        <w:t xml:space="preserve"> to this Report. </w:t>
      </w:r>
    </w:p>
    <w:p w:rsidR="003C4969" w:rsidRPr="00DC6570" w:rsidRDefault="003C4969">
      <w:pPr>
        <w:rPr>
          <w:rFonts w:cs="Arial"/>
        </w:rPr>
      </w:pPr>
    </w:p>
    <w:p w:rsidR="003C4969" w:rsidRPr="00DC6570" w:rsidRDefault="003C4969">
      <w:pPr>
        <w:pStyle w:val="DivisionHeading"/>
        <w:rPr>
          <w:rFonts w:cs="Arial"/>
        </w:rPr>
        <w:sectPr w:rsidR="003C4969" w:rsidRPr="00DC6570" w:rsidSect="001C27A3">
          <w:headerReference w:type="default" r:id="rId10"/>
          <w:footerReference w:type="even" r:id="rId11"/>
          <w:footerReference w:type="default" r:id="rId12"/>
          <w:headerReference w:type="first" r:id="rId13"/>
          <w:pgSz w:w="11906" w:h="16838"/>
          <w:pgMar w:top="1440" w:right="1440" w:bottom="1440" w:left="1440" w:header="709" w:footer="709" w:gutter="0"/>
          <w:pgNumType w:fmt="lowerRoman"/>
          <w:cols w:space="708"/>
          <w:docGrid w:linePitch="360"/>
        </w:sectPr>
      </w:pPr>
      <w:bookmarkStart w:id="20" w:name="_Toc11735627"/>
    </w:p>
    <w:p w:rsidR="003C4969" w:rsidRPr="00DC6570" w:rsidRDefault="003C4969">
      <w:pPr>
        <w:pStyle w:val="DivisionHeading"/>
        <w:rPr>
          <w:rFonts w:cs="Arial"/>
        </w:rPr>
      </w:pPr>
      <w:r w:rsidRPr="00DC6570">
        <w:rPr>
          <w:rFonts w:cs="Arial"/>
        </w:rPr>
        <w:lastRenderedPageBreak/>
        <w:t>CONTENTS</w:t>
      </w:r>
    </w:p>
    <w:p w:rsidR="003C4969" w:rsidRPr="00DC6570" w:rsidRDefault="003C4969">
      <w:pPr>
        <w:rPr>
          <w:rFonts w:cs="Arial"/>
        </w:rPr>
      </w:pPr>
    </w:p>
    <w:p w:rsidR="001A1E49" w:rsidRDefault="00B07B9D">
      <w:pPr>
        <w:pStyle w:val="TOC1"/>
        <w:tabs>
          <w:tab w:val="right" w:leader="dot" w:pos="9016"/>
        </w:tabs>
        <w:rPr>
          <w:rFonts w:asciiTheme="minorHAnsi" w:eastAsiaTheme="minorEastAsia" w:hAnsiTheme="minorHAnsi" w:cstheme="minorBidi"/>
          <w:b w:val="0"/>
          <w:bCs w:val="0"/>
          <w:caps w:val="0"/>
          <w:noProof/>
          <w:szCs w:val="22"/>
          <w:lang w:val="en-AU" w:eastAsia="en-AU" w:bidi="ar-SA"/>
        </w:rPr>
      </w:pPr>
      <w:r w:rsidRPr="00DC6570">
        <w:rPr>
          <w:rFonts w:cs="Arial"/>
        </w:rPr>
        <w:fldChar w:fldCharType="begin"/>
      </w:r>
      <w:r w:rsidR="003C4969" w:rsidRPr="00DC6570">
        <w:rPr>
          <w:rFonts w:cs="Arial"/>
        </w:rPr>
        <w:instrText xml:space="preserve"> TOC \o "1-3" \h \z </w:instrText>
      </w:r>
      <w:r w:rsidRPr="00DC6570">
        <w:rPr>
          <w:rFonts w:cs="Arial"/>
        </w:rPr>
        <w:fldChar w:fldCharType="separate"/>
      </w:r>
      <w:hyperlink w:anchor="_Toc298406735" w:history="1">
        <w:r w:rsidR="001A1E49" w:rsidRPr="00280781">
          <w:rPr>
            <w:rStyle w:val="Hyperlink"/>
            <w:noProof/>
          </w:rPr>
          <w:t>Introduction</w:t>
        </w:r>
        <w:r w:rsidR="001A1E49">
          <w:rPr>
            <w:noProof/>
            <w:webHidden/>
          </w:rPr>
          <w:tab/>
        </w:r>
        <w:r>
          <w:rPr>
            <w:noProof/>
            <w:webHidden/>
          </w:rPr>
          <w:fldChar w:fldCharType="begin"/>
        </w:r>
        <w:r w:rsidR="001A1E49">
          <w:rPr>
            <w:noProof/>
            <w:webHidden/>
          </w:rPr>
          <w:instrText xml:space="preserve"> PAGEREF _Toc298406735 \h </w:instrText>
        </w:r>
        <w:r>
          <w:rPr>
            <w:noProof/>
            <w:webHidden/>
          </w:rPr>
        </w:r>
        <w:r>
          <w:rPr>
            <w:noProof/>
            <w:webHidden/>
          </w:rPr>
          <w:fldChar w:fldCharType="separate"/>
        </w:r>
        <w:r w:rsidR="00473E8C">
          <w:rPr>
            <w:noProof/>
            <w:webHidden/>
          </w:rPr>
          <w:t>2</w:t>
        </w:r>
        <w:r>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36" w:history="1">
        <w:r w:rsidR="001A1E49" w:rsidRPr="00280781">
          <w:rPr>
            <w:rStyle w:val="Hyperlink"/>
            <w:rFonts w:cs="Arial"/>
            <w:noProof/>
          </w:rPr>
          <w:t>1.</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rFonts w:cs="Arial"/>
            <w:noProof/>
          </w:rPr>
          <w:t>The Issue / Problem</w:t>
        </w:r>
        <w:r w:rsidR="001A1E49">
          <w:rPr>
            <w:noProof/>
            <w:webHidden/>
          </w:rPr>
          <w:tab/>
        </w:r>
        <w:r w:rsidR="00B07B9D">
          <w:rPr>
            <w:noProof/>
            <w:webHidden/>
          </w:rPr>
          <w:fldChar w:fldCharType="begin"/>
        </w:r>
        <w:r w:rsidR="001A1E49">
          <w:rPr>
            <w:noProof/>
            <w:webHidden/>
          </w:rPr>
          <w:instrText xml:space="preserve"> PAGEREF _Toc298406736 \h </w:instrText>
        </w:r>
        <w:r w:rsidR="00B07B9D">
          <w:rPr>
            <w:noProof/>
            <w:webHidden/>
          </w:rPr>
        </w:r>
        <w:r w:rsidR="00B07B9D">
          <w:rPr>
            <w:noProof/>
            <w:webHidden/>
          </w:rPr>
          <w:fldChar w:fldCharType="separate"/>
        </w:r>
        <w:r w:rsidR="00473E8C">
          <w:rPr>
            <w:noProof/>
            <w:webHidden/>
          </w:rPr>
          <w:t>2</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37" w:history="1">
        <w:r w:rsidR="001A1E49" w:rsidRPr="00280781">
          <w:rPr>
            <w:rStyle w:val="Hyperlink"/>
            <w:noProof/>
          </w:rPr>
          <w:t>2.</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Background</w:t>
        </w:r>
        <w:r w:rsidR="001A1E49">
          <w:rPr>
            <w:noProof/>
            <w:webHidden/>
          </w:rPr>
          <w:tab/>
        </w:r>
        <w:r w:rsidR="00B07B9D">
          <w:rPr>
            <w:noProof/>
            <w:webHidden/>
          </w:rPr>
          <w:fldChar w:fldCharType="begin"/>
        </w:r>
        <w:r w:rsidR="001A1E49">
          <w:rPr>
            <w:noProof/>
            <w:webHidden/>
          </w:rPr>
          <w:instrText xml:space="preserve"> PAGEREF _Toc298406737 \h </w:instrText>
        </w:r>
        <w:r w:rsidR="00B07B9D">
          <w:rPr>
            <w:noProof/>
            <w:webHidden/>
          </w:rPr>
        </w:r>
        <w:r w:rsidR="00B07B9D">
          <w:rPr>
            <w:noProof/>
            <w:webHidden/>
          </w:rPr>
          <w:fldChar w:fldCharType="separate"/>
        </w:r>
        <w:r w:rsidR="00473E8C">
          <w:rPr>
            <w:noProof/>
            <w:webHidden/>
          </w:rPr>
          <w:t>3</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38" w:history="1">
        <w:r w:rsidR="001A1E49" w:rsidRPr="00280781">
          <w:rPr>
            <w:rStyle w:val="Hyperlink"/>
            <w:rFonts w:cs="Arial"/>
            <w:noProof/>
          </w:rPr>
          <w:t>2.1</w:t>
        </w:r>
        <w:r w:rsidR="001A1E49" w:rsidRPr="00280781">
          <w:rPr>
            <w:rStyle w:val="Hyperlink"/>
            <w:noProof/>
          </w:rPr>
          <w:t xml:space="preserve"> </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Historical Background</w:t>
        </w:r>
        <w:r w:rsidR="001A1E49">
          <w:rPr>
            <w:noProof/>
            <w:webHidden/>
          </w:rPr>
          <w:tab/>
        </w:r>
        <w:r w:rsidR="00B07B9D">
          <w:rPr>
            <w:noProof/>
            <w:webHidden/>
          </w:rPr>
          <w:fldChar w:fldCharType="begin"/>
        </w:r>
        <w:r w:rsidR="001A1E49">
          <w:rPr>
            <w:noProof/>
            <w:webHidden/>
          </w:rPr>
          <w:instrText xml:space="preserve"> PAGEREF _Toc298406738 \h </w:instrText>
        </w:r>
        <w:r w:rsidR="00B07B9D">
          <w:rPr>
            <w:noProof/>
            <w:webHidden/>
          </w:rPr>
        </w:r>
        <w:r w:rsidR="00B07B9D">
          <w:rPr>
            <w:noProof/>
            <w:webHidden/>
          </w:rPr>
          <w:fldChar w:fldCharType="separate"/>
        </w:r>
        <w:r w:rsidR="00473E8C">
          <w:rPr>
            <w:noProof/>
            <w:webHidden/>
          </w:rPr>
          <w:t>3</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39" w:history="1">
        <w:r w:rsidR="001A1E49" w:rsidRPr="00280781">
          <w:rPr>
            <w:rStyle w:val="Hyperlink"/>
            <w:rFonts w:cs="Arial"/>
            <w:noProof/>
          </w:rPr>
          <w:t>2.2</w:t>
        </w:r>
        <w:r w:rsidR="001A1E49" w:rsidRPr="00280781">
          <w:rPr>
            <w:rStyle w:val="Hyperlink"/>
            <w:noProof/>
          </w:rPr>
          <w:t xml:space="preserve"> </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Current Standard</w:t>
        </w:r>
        <w:r w:rsidR="001A1E49">
          <w:rPr>
            <w:noProof/>
            <w:webHidden/>
          </w:rPr>
          <w:tab/>
        </w:r>
        <w:r w:rsidR="00B07B9D">
          <w:rPr>
            <w:noProof/>
            <w:webHidden/>
          </w:rPr>
          <w:fldChar w:fldCharType="begin"/>
        </w:r>
        <w:r w:rsidR="001A1E49">
          <w:rPr>
            <w:noProof/>
            <w:webHidden/>
          </w:rPr>
          <w:instrText xml:space="preserve"> PAGEREF _Toc298406739 \h </w:instrText>
        </w:r>
        <w:r w:rsidR="00B07B9D">
          <w:rPr>
            <w:noProof/>
            <w:webHidden/>
          </w:rPr>
        </w:r>
        <w:r w:rsidR="00B07B9D">
          <w:rPr>
            <w:noProof/>
            <w:webHidden/>
          </w:rPr>
          <w:fldChar w:fldCharType="separate"/>
        </w:r>
        <w:r w:rsidR="00473E8C">
          <w:rPr>
            <w:noProof/>
            <w:webHidden/>
          </w:rPr>
          <w:t>3</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40" w:history="1">
        <w:r w:rsidR="001A1E49" w:rsidRPr="00280781">
          <w:rPr>
            <w:rStyle w:val="Hyperlink"/>
            <w:noProof/>
          </w:rPr>
          <w:t>2.3</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Scope of the Application</w:t>
        </w:r>
        <w:r w:rsidR="001A1E49">
          <w:rPr>
            <w:noProof/>
            <w:webHidden/>
          </w:rPr>
          <w:tab/>
        </w:r>
        <w:r w:rsidR="00B07B9D">
          <w:rPr>
            <w:noProof/>
            <w:webHidden/>
          </w:rPr>
          <w:fldChar w:fldCharType="begin"/>
        </w:r>
        <w:r w:rsidR="001A1E49">
          <w:rPr>
            <w:noProof/>
            <w:webHidden/>
          </w:rPr>
          <w:instrText xml:space="preserve"> PAGEREF _Toc298406740 \h </w:instrText>
        </w:r>
        <w:r w:rsidR="00B07B9D">
          <w:rPr>
            <w:noProof/>
            <w:webHidden/>
          </w:rPr>
        </w:r>
        <w:r w:rsidR="00B07B9D">
          <w:rPr>
            <w:noProof/>
            <w:webHidden/>
          </w:rPr>
          <w:fldChar w:fldCharType="separate"/>
        </w:r>
        <w:r w:rsidR="00473E8C">
          <w:rPr>
            <w:noProof/>
            <w:webHidden/>
          </w:rPr>
          <w:t>3</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41" w:history="1">
        <w:r w:rsidR="001A1E49" w:rsidRPr="00280781">
          <w:rPr>
            <w:rStyle w:val="Hyperlink"/>
            <w:noProof/>
          </w:rPr>
          <w:t xml:space="preserve">2.4 </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International Regulatory Considerations</w:t>
        </w:r>
        <w:r w:rsidR="001A1E49">
          <w:rPr>
            <w:noProof/>
            <w:webHidden/>
          </w:rPr>
          <w:tab/>
        </w:r>
        <w:r w:rsidR="00B07B9D">
          <w:rPr>
            <w:noProof/>
            <w:webHidden/>
          </w:rPr>
          <w:fldChar w:fldCharType="begin"/>
        </w:r>
        <w:r w:rsidR="001A1E49">
          <w:rPr>
            <w:noProof/>
            <w:webHidden/>
          </w:rPr>
          <w:instrText xml:space="preserve"> PAGEREF _Toc298406741 \h </w:instrText>
        </w:r>
        <w:r w:rsidR="00B07B9D">
          <w:rPr>
            <w:noProof/>
            <w:webHidden/>
          </w:rPr>
        </w:r>
        <w:r w:rsidR="00B07B9D">
          <w:rPr>
            <w:noProof/>
            <w:webHidden/>
          </w:rPr>
          <w:fldChar w:fldCharType="separate"/>
        </w:r>
        <w:r w:rsidR="00473E8C">
          <w:rPr>
            <w:noProof/>
            <w:webHidden/>
          </w:rPr>
          <w:t>4</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42" w:history="1">
        <w:r w:rsidR="001A1E49" w:rsidRPr="00280781">
          <w:rPr>
            <w:rStyle w:val="Hyperlink"/>
            <w:noProof/>
          </w:rPr>
          <w:t xml:space="preserve">2.5 </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Technological Considerations</w:t>
        </w:r>
        <w:r w:rsidR="001A1E49">
          <w:rPr>
            <w:noProof/>
            <w:webHidden/>
          </w:rPr>
          <w:tab/>
        </w:r>
        <w:r w:rsidR="00B07B9D">
          <w:rPr>
            <w:noProof/>
            <w:webHidden/>
          </w:rPr>
          <w:fldChar w:fldCharType="begin"/>
        </w:r>
        <w:r w:rsidR="001A1E49">
          <w:rPr>
            <w:noProof/>
            <w:webHidden/>
          </w:rPr>
          <w:instrText xml:space="preserve"> PAGEREF _Toc298406742 \h </w:instrText>
        </w:r>
        <w:r w:rsidR="00B07B9D">
          <w:rPr>
            <w:noProof/>
            <w:webHidden/>
          </w:rPr>
        </w:r>
        <w:r w:rsidR="00B07B9D">
          <w:rPr>
            <w:noProof/>
            <w:webHidden/>
          </w:rPr>
          <w:fldChar w:fldCharType="separate"/>
        </w:r>
        <w:r w:rsidR="00473E8C">
          <w:rPr>
            <w:noProof/>
            <w:webHidden/>
          </w:rPr>
          <w:t>4</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43" w:history="1">
        <w:r w:rsidR="001A1E49" w:rsidRPr="00280781">
          <w:rPr>
            <w:rStyle w:val="Hyperlink"/>
            <w:rFonts w:cs="Arial"/>
            <w:noProof/>
          </w:rPr>
          <w:t>3.</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rFonts w:cs="Arial"/>
            <w:noProof/>
          </w:rPr>
          <w:t>Objectives</w:t>
        </w:r>
        <w:r w:rsidR="001A1E49">
          <w:rPr>
            <w:noProof/>
            <w:webHidden/>
          </w:rPr>
          <w:tab/>
        </w:r>
        <w:r w:rsidR="00B07B9D">
          <w:rPr>
            <w:noProof/>
            <w:webHidden/>
          </w:rPr>
          <w:fldChar w:fldCharType="begin"/>
        </w:r>
        <w:r w:rsidR="001A1E49">
          <w:rPr>
            <w:noProof/>
            <w:webHidden/>
          </w:rPr>
          <w:instrText xml:space="preserve"> PAGEREF _Toc298406743 \h </w:instrText>
        </w:r>
        <w:r w:rsidR="00B07B9D">
          <w:rPr>
            <w:noProof/>
            <w:webHidden/>
          </w:rPr>
        </w:r>
        <w:r w:rsidR="00B07B9D">
          <w:rPr>
            <w:noProof/>
            <w:webHidden/>
          </w:rPr>
          <w:fldChar w:fldCharType="separate"/>
        </w:r>
        <w:r w:rsidR="00473E8C">
          <w:rPr>
            <w:noProof/>
            <w:webHidden/>
          </w:rPr>
          <w:t>5</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44" w:history="1">
        <w:r w:rsidR="001A1E49" w:rsidRPr="00280781">
          <w:rPr>
            <w:rStyle w:val="Hyperlink"/>
            <w:rFonts w:cs="Arial"/>
            <w:noProof/>
          </w:rPr>
          <w:t>4.</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rFonts w:cs="Arial"/>
            <w:noProof/>
          </w:rPr>
          <w:t>Risk Assessment</w:t>
        </w:r>
        <w:r w:rsidR="001A1E49">
          <w:rPr>
            <w:noProof/>
            <w:webHidden/>
          </w:rPr>
          <w:tab/>
        </w:r>
        <w:r w:rsidR="00B07B9D">
          <w:rPr>
            <w:noProof/>
            <w:webHidden/>
          </w:rPr>
          <w:fldChar w:fldCharType="begin"/>
        </w:r>
        <w:r w:rsidR="001A1E49">
          <w:rPr>
            <w:noProof/>
            <w:webHidden/>
          </w:rPr>
          <w:instrText xml:space="preserve"> PAGEREF _Toc298406744 \h </w:instrText>
        </w:r>
        <w:r w:rsidR="00B07B9D">
          <w:rPr>
            <w:noProof/>
            <w:webHidden/>
          </w:rPr>
        </w:r>
        <w:r w:rsidR="00B07B9D">
          <w:rPr>
            <w:noProof/>
            <w:webHidden/>
          </w:rPr>
          <w:fldChar w:fldCharType="separate"/>
        </w:r>
        <w:r w:rsidR="00473E8C">
          <w:rPr>
            <w:noProof/>
            <w:webHidden/>
          </w:rPr>
          <w:t>5</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45" w:history="1">
        <w:r w:rsidR="001A1E49" w:rsidRPr="00280781">
          <w:rPr>
            <w:rStyle w:val="Hyperlink"/>
            <w:noProof/>
          </w:rPr>
          <w:t>5.</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Labelling of Wine</w:t>
        </w:r>
        <w:r w:rsidR="001A1E49">
          <w:rPr>
            <w:noProof/>
            <w:webHidden/>
          </w:rPr>
          <w:tab/>
        </w:r>
        <w:r w:rsidR="00B07B9D">
          <w:rPr>
            <w:noProof/>
            <w:webHidden/>
          </w:rPr>
          <w:fldChar w:fldCharType="begin"/>
        </w:r>
        <w:r w:rsidR="001A1E49">
          <w:rPr>
            <w:noProof/>
            <w:webHidden/>
          </w:rPr>
          <w:instrText xml:space="preserve"> PAGEREF _Toc298406745 \h </w:instrText>
        </w:r>
        <w:r w:rsidR="00B07B9D">
          <w:rPr>
            <w:noProof/>
            <w:webHidden/>
          </w:rPr>
        </w:r>
        <w:r w:rsidR="00B07B9D">
          <w:rPr>
            <w:noProof/>
            <w:webHidden/>
          </w:rPr>
          <w:fldChar w:fldCharType="separate"/>
        </w:r>
        <w:r w:rsidR="00473E8C">
          <w:rPr>
            <w:noProof/>
            <w:webHidden/>
          </w:rPr>
          <w:t>5</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46" w:history="1">
        <w:r w:rsidR="001A1E49" w:rsidRPr="00280781">
          <w:rPr>
            <w:rStyle w:val="Hyperlink"/>
            <w:noProof/>
          </w:rPr>
          <w:t xml:space="preserve">6. </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Options</w:t>
        </w:r>
        <w:r w:rsidR="001A1E49">
          <w:rPr>
            <w:noProof/>
            <w:webHidden/>
          </w:rPr>
          <w:tab/>
        </w:r>
        <w:r w:rsidR="00B07B9D">
          <w:rPr>
            <w:noProof/>
            <w:webHidden/>
          </w:rPr>
          <w:fldChar w:fldCharType="begin"/>
        </w:r>
        <w:r w:rsidR="001A1E49">
          <w:rPr>
            <w:noProof/>
            <w:webHidden/>
          </w:rPr>
          <w:instrText xml:space="preserve"> PAGEREF _Toc298406746 \h </w:instrText>
        </w:r>
        <w:r w:rsidR="00B07B9D">
          <w:rPr>
            <w:noProof/>
            <w:webHidden/>
          </w:rPr>
        </w:r>
        <w:r w:rsidR="00B07B9D">
          <w:rPr>
            <w:noProof/>
            <w:webHidden/>
          </w:rPr>
          <w:fldChar w:fldCharType="separate"/>
        </w:r>
        <w:r w:rsidR="00473E8C">
          <w:rPr>
            <w:noProof/>
            <w:webHidden/>
          </w:rPr>
          <w:t>6</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47" w:history="1">
        <w:r w:rsidR="001A1E49" w:rsidRPr="00280781">
          <w:rPr>
            <w:rStyle w:val="Hyperlink"/>
            <w:noProof/>
          </w:rPr>
          <w:t>7.</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Impact Analysis (RIS ID: 11677)</w:t>
        </w:r>
        <w:r w:rsidR="001A1E49">
          <w:rPr>
            <w:noProof/>
            <w:webHidden/>
          </w:rPr>
          <w:tab/>
        </w:r>
        <w:r w:rsidR="00B07B9D">
          <w:rPr>
            <w:noProof/>
            <w:webHidden/>
          </w:rPr>
          <w:fldChar w:fldCharType="begin"/>
        </w:r>
        <w:r w:rsidR="001A1E49">
          <w:rPr>
            <w:noProof/>
            <w:webHidden/>
          </w:rPr>
          <w:instrText xml:space="preserve"> PAGEREF _Toc298406747 \h </w:instrText>
        </w:r>
        <w:r w:rsidR="00B07B9D">
          <w:rPr>
            <w:noProof/>
            <w:webHidden/>
          </w:rPr>
        </w:r>
        <w:r w:rsidR="00B07B9D">
          <w:rPr>
            <w:noProof/>
            <w:webHidden/>
          </w:rPr>
          <w:fldChar w:fldCharType="separate"/>
        </w:r>
        <w:r w:rsidR="00473E8C">
          <w:rPr>
            <w:noProof/>
            <w:webHidden/>
          </w:rPr>
          <w:t>6</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48" w:history="1">
        <w:r w:rsidR="001A1E49" w:rsidRPr="00280781">
          <w:rPr>
            <w:rStyle w:val="Hyperlink"/>
            <w:noProof/>
          </w:rPr>
          <w:t>7.1</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Affected Parties</w:t>
        </w:r>
        <w:r w:rsidR="001A1E49">
          <w:rPr>
            <w:noProof/>
            <w:webHidden/>
          </w:rPr>
          <w:tab/>
        </w:r>
        <w:r w:rsidR="00B07B9D">
          <w:rPr>
            <w:noProof/>
            <w:webHidden/>
          </w:rPr>
          <w:fldChar w:fldCharType="begin"/>
        </w:r>
        <w:r w:rsidR="001A1E49">
          <w:rPr>
            <w:noProof/>
            <w:webHidden/>
          </w:rPr>
          <w:instrText xml:space="preserve"> PAGEREF _Toc298406748 \h </w:instrText>
        </w:r>
        <w:r w:rsidR="00B07B9D">
          <w:rPr>
            <w:noProof/>
            <w:webHidden/>
          </w:rPr>
        </w:r>
        <w:r w:rsidR="00B07B9D">
          <w:rPr>
            <w:noProof/>
            <w:webHidden/>
          </w:rPr>
          <w:fldChar w:fldCharType="separate"/>
        </w:r>
        <w:r w:rsidR="00473E8C">
          <w:rPr>
            <w:noProof/>
            <w:webHidden/>
          </w:rPr>
          <w:t>6</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49" w:history="1">
        <w:r w:rsidR="001A1E49" w:rsidRPr="00280781">
          <w:rPr>
            <w:rStyle w:val="Hyperlink"/>
            <w:noProof/>
          </w:rPr>
          <w:t>7.2</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Benefit Cost Analysis</w:t>
        </w:r>
        <w:r w:rsidR="001A1E49">
          <w:rPr>
            <w:noProof/>
            <w:webHidden/>
          </w:rPr>
          <w:tab/>
        </w:r>
        <w:r w:rsidR="00B07B9D">
          <w:rPr>
            <w:noProof/>
            <w:webHidden/>
          </w:rPr>
          <w:fldChar w:fldCharType="begin"/>
        </w:r>
        <w:r w:rsidR="001A1E49">
          <w:rPr>
            <w:noProof/>
            <w:webHidden/>
          </w:rPr>
          <w:instrText xml:space="preserve"> PAGEREF _Toc298406749 \h </w:instrText>
        </w:r>
        <w:r w:rsidR="00B07B9D">
          <w:rPr>
            <w:noProof/>
            <w:webHidden/>
          </w:rPr>
        </w:r>
        <w:r w:rsidR="00B07B9D">
          <w:rPr>
            <w:noProof/>
            <w:webHidden/>
          </w:rPr>
          <w:fldChar w:fldCharType="separate"/>
        </w:r>
        <w:r w:rsidR="00473E8C">
          <w:rPr>
            <w:noProof/>
            <w:webHidden/>
          </w:rPr>
          <w:t>6</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50" w:history="1">
        <w:r w:rsidR="001A1E49" w:rsidRPr="00280781">
          <w:rPr>
            <w:rStyle w:val="Hyperlink"/>
            <w:rFonts w:cs="Arial"/>
            <w:noProof/>
          </w:rPr>
          <w:t>7.3</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rFonts w:cs="Arial"/>
            <w:noProof/>
          </w:rPr>
          <w:t>Comparison of Options</w:t>
        </w:r>
        <w:r w:rsidR="001A1E49">
          <w:rPr>
            <w:noProof/>
            <w:webHidden/>
          </w:rPr>
          <w:tab/>
        </w:r>
        <w:r w:rsidR="00B07B9D">
          <w:rPr>
            <w:noProof/>
            <w:webHidden/>
          </w:rPr>
          <w:fldChar w:fldCharType="begin"/>
        </w:r>
        <w:r w:rsidR="001A1E49">
          <w:rPr>
            <w:noProof/>
            <w:webHidden/>
          </w:rPr>
          <w:instrText xml:space="preserve"> PAGEREF _Toc298406750 \h </w:instrText>
        </w:r>
        <w:r w:rsidR="00B07B9D">
          <w:rPr>
            <w:noProof/>
            <w:webHidden/>
          </w:rPr>
        </w:r>
        <w:r w:rsidR="00B07B9D">
          <w:rPr>
            <w:noProof/>
            <w:webHidden/>
          </w:rPr>
          <w:fldChar w:fldCharType="separate"/>
        </w:r>
        <w:r w:rsidR="00473E8C">
          <w:rPr>
            <w:noProof/>
            <w:webHidden/>
          </w:rPr>
          <w:t>8</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51" w:history="1">
        <w:r w:rsidR="001A1E49" w:rsidRPr="00280781">
          <w:rPr>
            <w:rStyle w:val="Hyperlink"/>
            <w:noProof/>
          </w:rPr>
          <w:t>8.</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Addressing FSANZ’s Primary Objectives</w:t>
        </w:r>
        <w:r w:rsidR="001A1E49">
          <w:rPr>
            <w:noProof/>
            <w:webHidden/>
          </w:rPr>
          <w:tab/>
        </w:r>
        <w:r w:rsidR="00B07B9D">
          <w:rPr>
            <w:noProof/>
            <w:webHidden/>
          </w:rPr>
          <w:fldChar w:fldCharType="begin"/>
        </w:r>
        <w:r w:rsidR="001A1E49">
          <w:rPr>
            <w:noProof/>
            <w:webHidden/>
          </w:rPr>
          <w:instrText xml:space="preserve"> PAGEREF _Toc298406751 \h </w:instrText>
        </w:r>
        <w:r w:rsidR="00B07B9D">
          <w:rPr>
            <w:noProof/>
            <w:webHidden/>
          </w:rPr>
        </w:r>
        <w:r w:rsidR="00B07B9D">
          <w:rPr>
            <w:noProof/>
            <w:webHidden/>
          </w:rPr>
          <w:fldChar w:fldCharType="separate"/>
        </w:r>
        <w:r w:rsidR="00473E8C">
          <w:rPr>
            <w:noProof/>
            <w:webHidden/>
          </w:rPr>
          <w:t>8</w:t>
        </w:r>
        <w:r w:rsidR="00B07B9D">
          <w:rPr>
            <w:noProof/>
            <w:webHidden/>
          </w:rPr>
          <w:fldChar w:fldCharType="end"/>
        </w:r>
      </w:hyperlink>
    </w:p>
    <w:p w:rsidR="001A1E49" w:rsidRDefault="00FE022E">
      <w:pPr>
        <w:pStyle w:val="TOC1"/>
        <w:tabs>
          <w:tab w:val="right" w:leader="dot" w:pos="9016"/>
        </w:tabs>
        <w:rPr>
          <w:rFonts w:asciiTheme="minorHAnsi" w:eastAsiaTheme="minorEastAsia" w:hAnsiTheme="minorHAnsi" w:cstheme="minorBidi"/>
          <w:b w:val="0"/>
          <w:bCs w:val="0"/>
          <w:caps w:val="0"/>
          <w:noProof/>
          <w:szCs w:val="22"/>
          <w:lang w:val="en-AU" w:eastAsia="en-AU" w:bidi="ar-SA"/>
        </w:rPr>
      </w:pPr>
      <w:hyperlink w:anchor="_Toc298406752" w:history="1">
        <w:r w:rsidR="001A1E49" w:rsidRPr="00280781">
          <w:rPr>
            <w:rStyle w:val="Hyperlink"/>
            <w:noProof/>
          </w:rPr>
          <w:t>Communication and Consultation Strategy</w:t>
        </w:r>
        <w:r w:rsidR="001A1E49">
          <w:rPr>
            <w:noProof/>
            <w:webHidden/>
          </w:rPr>
          <w:tab/>
        </w:r>
        <w:r w:rsidR="00B07B9D">
          <w:rPr>
            <w:noProof/>
            <w:webHidden/>
          </w:rPr>
          <w:fldChar w:fldCharType="begin"/>
        </w:r>
        <w:r w:rsidR="001A1E49">
          <w:rPr>
            <w:noProof/>
            <w:webHidden/>
          </w:rPr>
          <w:instrText xml:space="preserve"> PAGEREF _Toc298406752 \h </w:instrText>
        </w:r>
        <w:r w:rsidR="00B07B9D">
          <w:rPr>
            <w:noProof/>
            <w:webHidden/>
          </w:rPr>
        </w:r>
        <w:r w:rsidR="00B07B9D">
          <w:rPr>
            <w:noProof/>
            <w:webHidden/>
          </w:rPr>
          <w:fldChar w:fldCharType="separate"/>
        </w:r>
        <w:r w:rsidR="00473E8C">
          <w:rPr>
            <w:noProof/>
            <w:webHidden/>
          </w:rPr>
          <w:t>8</w:t>
        </w:r>
        <w:r w:rsidR="00B07B9D">
          <w:rPr>
            <w:noProof/>
            <w:webHidden/>
          </w:rPr>
          <w:fldChar w:fldCharType="end"/>
        </w:r>
      </w:hyperlink>
    </w:p>
    <w:p w:rsidR="001A1E49" w:rsidRDefault="00FE022E">
      <w:pPr>
        <w:pStyle w:val="TOC2"/>
        <w:tabs>
          <w:tab w:val="left" w:pos="720"/>
          <w:tab w:val="right" w:leader="dot" w:pos="9016"/>
        </w:tabs>
        <w:rPr>
          <w:rFonts w:asciiTheme="minorHAnsi" w:eastAsiaTheme="minorEastAsia" w:hAnsiTheme="minorHAnsi" w:cstheme="minorBidi"/>
          <w:smallCaps w:val="0"/>
          <w:noProof/>
          <w:szCs w:val="22"/>
          <w:lang w:val="en-AU" w:eastAsia="en-AU" w:bidi="ar-SA"/>
        </w:rPr>
      </w:pPr>
      <w:hyperlink w:anchor="_Toc298406753" w:history="1">
        <w:r w:rsidR="001A1E49" w:rsidRPr="00280781">
          <w:rPr>
            <w:rStyle w:val="Hyperlink"/>
            <w:noProof/>
          </w:rPr>
          <w:t>9.</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Communication</w:t>
        </w:r>
        <w:r w:rsidR="001A1E49">
          <w:rPr>
            <w:noProof/>
            <w:webHidden/>
          </w:rPr>
          <w:tab/>
        </w:r>
        <w:r w:rsidR="00B07B9D">
          <w:rPr>
            <w:noProof/>
            <w:webHidden/>
          </w:rPr>
          <w:fldChar w:fldCharType="begin"/>
        </w:r>
        <w:r w:rsidR="001A1E49">
          <w:rPr>
            <w:noProof/>
            <w:webHidden/>
          </w:rPr>
          <w:instrText xml:space="preserve"> PAGEREF _Toc298406753 \h </w:instrText>
        </w:r>
        <w:r w:rsidR="00B07B9D">
          <w:rPr>
            <w:noProof/>
            <w:webHidden/>
          </w:rPr>
        </w:r>
        <w:r w:rsidR="00B07B9D">
          <w:rPr>
            <w:noProof/>
            <w:webHidden/>
          </w:rPr>
          <w:fldChar w:fldCharType="separate"/>
        </w:r>
        <w:r w:rsidR="00473E8C">
          <w:rPr>
            <w:noProof/>
            <w:webHidden/>
          </w:rPr>
          <w:t>8</w:t>
        </w:r>
        <w:r w:rsidR="00B07B9D">
          <w:rPr>
            <w:noProof/>
            <w:webHidden/>
          </w:rPr>
          <w:fldChar w:fldCharType="end"/>
        </w:r>
      </w:hyperlink>
    </w:p>
    <w:p w:rsidR="001A1E49" w:rsidRDefault="00FE022E">
      <w:pPr>
        <w:pStyle w:val="TOC2"/>
        <w:tabs>
          <w:tab w:val="left" w:pos="960"/>
          <w:tab w:val="right" w:leader="dot" w:pos="9016"/>
        </w:tabs>
        <w:rPr>
          <w:rFonts w:asciiTheme="minorHAnsi" w:eastAsiaTheme="minorEastAsia" w:hAnsiTheme="minorHAnsi" w:cstheme="minorBidi"/>
          <w:smallCaps w:val="0"/>
          <w:noProof/>
          <w:szCs w:val="22"/>
          <w:lang w:val="en-AU" w:eastAsia="en-AU" w:bidi="ar-SA"/>
        </w:rPr>
      </w:pPr>
      <w:hyperlink w:anchor="_Toc298406754" w:history="1">
        <w:r w:rsidR="001A1E49" w:rsidRPr="00280781">
          <w:rPr>
            <w:rStyle w:val="Hyperlink"/>
            <w:noProof/>
          </w:rPr>
          <w:t>10.</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Consultation</w:t>
        </w:r>
        <w:r w:rsidR="001A1E49">
          <w:rPr>
            <w:noProof/>
            <w:webHidden/>
          </w:rPr>
          <w:tab/>
        </w:r>
        <w:r w:rsidR="00B07B9D">
          <w:rPr>
            <w:noProof/>
            <w:webHidden/>
          </w:rPr>
          <w:fldChar w:fldCharType="begin"/>
        </w:r>
        <w:r w:rsidR="001A1E49">
          <w:rPr>
            <w:noProof/>
            <w:webHidden/>
          </w:rPr>
          <w:instrText xml:space="preserve"> PAGEREF _Toc298406754 \h </w:instrText>
        </w:r>
        <w:r w:rsidR="00B07B9D">
          <w:rPr>
            <w:noProof/>
            <w:webHidden/>
          </w:rPr>
        </w:r>
        <w:r w:rsidR="00B07B9D">
          <w:rPr>
            <w:noProof/>
            <w:webHidden/>
          </w:rPr>
          <w:fldChar w:fldCharType="separate"/>
        </w:r>
        <w:r w:rsidR="00473E8C">
          <w:rPr>
            <w:noProof/>
            <w:webHidden/>
          </w:rPr>
          <w:t>8</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55" w:history="1">
        <w:r w:rsidR="001A1E49" w:rsidRPr="00280781">
          <w:rPr>
            <w:rStyle w:val="Hyperlink"/>
            <w:noProof/>
          </w:rPr>
          <w:t>10.1</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World Trade Organization (WTO)</w:t>
        </w:r>
        <w:r w:rsidR="001A1E49">
          <w:rPr>
            <w:noProof/>
            <w:webHidden/>
          </w:rPr>
          <w:tab/>
        </w:r>
        <w:r w:rsidR="00B07B9D">
          <w:rPr>
            <w:noProof/>
            <w:webHidden/>
          </w:rPr>
          <w:fldChar w:fldCharType="begin"/>
        </w:r>
        <w:r w:rsidR="001A1E49">
          <w:rPr>
            <w:noProof/>
            <w:webHidden/>
          </w:rPr>
          <w:instrText xml:space="preserve"> PAGEREF _Toc298406755 \h </w:instrText>
        </w:r>
        <w:r w:rsidR="00B07B9D">
          <w:rPr>
            <w:noProof/>
            <w:webHidden/>
          </w:rPr>
        </w:r>
        <w:r w:rsidR="00B07B9D">
          <w:rPr>
            <w:noProof/>
            <w:webHidden/>
          </w:rPr>
          <w:fldChar w:fldCharType="separate"/>
        </w:r>
        <w:r w:rsidR="00473E8C">
          <w:rPr>
            <w:noProof/>
            <w:webHidden/>
          </w:rPr>
          <w:t>9</w:t>
        </w:r>
        <w:r w:rsidR="00B07B9D">
          <w:rPr>
            <w:noProof/>
            <w:webHidden/>
          </w:rPr>
          <w:fldChar w:fldCharType="end"/>
        </w:r>
      </w:hyperlink>
    </w:p>
    <w:p w:rsidR="001A1E49" w:rsidRDefault="00FE022E">
      <w:pPr>
        <w:pStyle w:val="TOC1"/>
        <w:tabs>
          <w:tab w:val="right" w:leader="dot" w:pos="9016"/>
        </w:tabs>
        <w:rPr>
          <w:rFonts w:asciiTheme="minorHAnsi" w:eastAsiaTheme="minorEastAsia" w:hAnsiTheme="minorHAnsi" w:cstheme="minorBidi"/>
          <w:b w:val="0"/>
          <w:bCs w:val="0"/>
          <w:caps w:val="0"/>
          <w:noProof/>
          <w:szCs w:val="22"/>
          <w:lang w:val="en-AU" w:eastAsia="en-AU" w:bidi="ar-SA"/>
        </w:rPr>
      </w:pPr>
      <w:hyperlink w:anchor="_Toc298406756" w:history="1">
        <w:r w:rsidR="001A1E49" w:rsidRPr="00280781">
          <w:rPr>
            <w:rStyle w:val="Hyperlink"/>
            <w:noProof/>
          </w:rPr>
          <w:t>Conclusion</w:t>
        </w:r>
        <w:r w:rsidR="001A1E49">
          <w:rPr>
            <w:noProof/>
            <w:webHidden/>
          </w:rPr>
          <w:tab/>
        </w:r>
        <w:r w:rsidR="00B07B9D">
          <w:rPr>
            <w:noProof/>
            <w:webHidden/>
          </w:rPr>
          <w:fldChar w:fldCharType="begin"/>
        </w:r>
        <w:r w:rsidR="001A1E49">
          <w:rPr>
            <w:noProof/>
            <w:webHidden/>
          </w:rPr>
          <w:instrText xml:space="preserve"> PAGEREF _Toc298406756 \h </w:instrText>
        </w:r>
        <w:r w:rsidR="00B07B9D">
          <w:rPr>
            <w:noProof/>
            <w:webHidden/>
          </w:rPr>
        </w:r>
        <w:r w:rsidR="00B07B9D">
          <w:rPr>
            <w:noProof/>
            <w:webHidden/>
          </w:rPr>
          <w:fldChar w:fldCharType="separate"/>
        </w:r>
        <w:r w:rsidR="00473E8C">
          <w:rPr>
            <w:noProof/>
            <w:webHidden/>
          </w:rPr>
          <w:t>9</w:t>
        </w:r>
        <w:r w:rsidR="00B07B9D">
          <w:rPr>
            <w:noProof/>
            <w:webHidden/>
          </w:rPr>
          <w:fldChar w:fldCharType="end"/>
        </w:r>
      </w:hyperlink>
    </w:p>
    <w:p w:rsidR="001A1E49" w:rsidRDefault="00FE022E">
      <w:pPr>
        <w:pStyle w:val="TOC2"/>
        <w:tabs>
          <w:tab w:val="left" w:pos="960"/>
          <w:tab w:val="right" w:leader="dot" w:pos="9016"/>
        </w:tabs>
        <w:rPr>
          <w:rFonts w:asciiTheme="minorHAnsi" w:eastAsiaTheme="minorEastAsia" w:hAnsiTheme="minorHAnsi" w:cstheme="minorBidi"/>
          <w:smallCaps w:val="0"/>
          <w:noProof/>
          <w:szCs w:val="22"/>
          <w:lang w:val="en-AU" w:eastAsia="en-AU" w:bidi="ar-SA"/>
        </w:rPr>
      </w:pPr>
      <w:hyperlink w:anchor="_Toc298406757" w:history="1">
        <w:r w:rsidR="001A1E49" w:rsidRPr="00280781">
          <w:rPr>
            <w:rStyle w:val="Hyperlink"/>
            <w:noProof/>
          </w:rPr>
          <w:t>11.</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Conclusion and Decision</w:t>
        </w:r>
        <w:r w:rsidR="001A1E49">
          <w:rPr>
            <w:noProof/>
            <w:webHidden/>
          </w:rPr>
          <w:tab/>
        </w:r>
        <w:r w:rsidR="00B07B9D">
          <w:rPr>
            <w:noProof/>
            <w:webHidden/>
          </w:rPr>
          <w:fldChar w:fldCharType="begin"/>
        </w:r>
        <w:r w:rsidR="001A1E49">
          <w:rPr>
            <w:noProof/>
            <w:webHidden/>
          </w:rPr>
          <w:instrText xml:space="preserve"> PAGEREF _Toc298406757 \h </w:instrText>
        </w:r>
        <w:r w:rsidR="00B07B9D">
          <w:rPr>
            <w:noProof/>
            <w:webHidden/>
          </w:rPr>
        </w:r>
        <w:r w:rsidR="00B07B9D">
          <w:rPr>
            <w:noProof/>
            <w:webHidden/>
          </w:rPr>
          <w:fldChar w:fldCharType="separate"/>
        </w:r>
        <w:r w:rsidR="00473E8C">
          <w:rPr>
            <w:noProof/>
            <w:webHidden/>
          </w:rPr>
          <w:t>9</w:t>
        </w:r>
        <w:r w:rsidR="00B07B9D">
          <w:rPr>
            <w:noProof/>
            <w:webHidden/>
          </w:rPr>
          <w:fldChar w:fldCharType="end"/>
        </w:r>
      </w:hyperlink>
    </w:p>
    <w:p w:rsidR="001A1E49" w:rsidRDefault="00FE022E">
      <w:pPr>
        <w:pStyle w:val="TOC3"/>
        <w:tabs>
          <w:tab w:val="left" w:pos="1200"/>
          <w:tab w:val="right" w:leader="dot" w:pos="9016"/>
        </w:tabs>
        <w:rPr>
          <w:rFonts w:asciiTheme="minorHAnsi" w:eastAsiaTheme="minorEastAsia" w:hAnsiTheme="minorHAnsi" w:cstheme="minorBidi"/>
          <w:i w:val="0"/>
          <w:iCs w:val="0"/>
          <w:noProof/>
          <w:szCs w:val="22"/>
          <w:lang w:val="en-AU" w:eastAsia="en-AU" w:bidi="ar-SA"/>
        </w:rPr>
      </w:pPr>
      <w:hyperlink w:anchor="_Toc298406758" w:history="1">
        <w:r w:rsidR="001A1E49" w:rsidRPr="00280781">
          <w:rPr>
            <w:rStyle w:val="Hyperlink"/>
            <w:noProof/>
          </w:rPr>
          <w:t>11.1</w:t>
        </w:r>
        <w:r w:rsidR="001A1E49">
          <w:rPr>
            <w:rFonts w:asciiTheme="minorHAnsi" w:eastAsiaTheme="minorEastAsia" w:hAnsiTheme="minorHAnsi" w:cstheme="minorBidi"/>
            <w:i w:val="0"/>
            <w:iCs w:val="0"/>
            <w:noProof/>
            <w:szCs w:val="22"/>
            <w:lang w:val="en-AU" w:eastAsia="en-AU" w:bidi="ar-SA"/>
          </w:rPr>
          <w:tab/>
        </w:r>
        <w:r w:rsidR="001A1E49" w:rsidRPr="00280781">
          <w:rPr>
            <w:rStyle w:val="Hyperlink"/>
            <w:noProof/>
          </w:rPr>
          <w:t>Reasons for Decision</w:t>
        </w:r>
        <w:r w:rsidR="001A1E49">
          <w:rPr>
            <w:noProof/>
            <w:webHidden/>
          </w:rPr>
          <w:tab/>
        </w:r>
        <w:r w:rsidR="00B07B9D">
          <w:rPr>
            <w:noProof/>
            <w:webHidden/>
          </w:rPr>
          <w:fldChar w:fldCharType="begin"/>
        </w:r>
        <w:r w:rsidR="001A1E49">
          <w:rPr>
            <w:noProof/>
            <w:webHidden/>
          </w:rPr>
          <w:instrText xml:space="preserve"> PAGEREF _Toc298406758 \h </w:instrText>
        </w:r>
        <w:r w:rsidR="00B07B9D">
          <w:rPr>
            <w:noProof/>
            <w:webHidden/>
          </w:rPr>
        </w:r>
        <w:r w:rsidR="00B07B9D">
          <w:rPr>
            <w:noProof/>
            <w:webHidden/>
          </w:rPr>
          <w:fldChar w:fldCharType="separate"/>
        </w:r>
        <w:r w:rsidR="00473E8C">
          <w:rPr>
            <w:noProof/>
            <w:webHidden/>
          </w:rPr>
          <w:t>9</w:t>
        </w:r>
        <w:r w:rsidR="00B07B9D">
          <w:rPr>
            <w:noProof/>
            <w:webHidden/>
          </w:rPr>
          <w:fldChar w:fldCharType="end"/>
        </w:r>
      </w:hyperlink>
    </w:p>
    <w:p w:rsidR="001A1E49" w:rsidRDefault="00FE022E">
      <w:pPr>
        <w:pStyle w:val="TOC2"/>
        <w:tabs>
          <w:tab w:val="left" w:pos="960"/>
          <w:tab w:val="right" w:leader="dot" w:pos="9016"/>
        </w:tabs>
        <w:rPr>
          <w:rFonts w:asciiTheme="minorHAnsi" w:eastAsiaTheme="minorEastAsia" w:hAnsiTheme="minorHAnsi" w:cstheme="minorBidi"/>
          <w:smallCaps w:val="0"/>
          <w:noProof/>
          <w:szCs w:val="22"/>
          <w:lang w:val="en-AU" w:eastAsia="en-AU" w:bidi="ar-SA"/>
        </w:rPr>
      </w:pPr>
      <w:hyperlink w:anchor="_Toc298406759" w:history="1">
        <w:r w:rsidR="001A1E49" w:rsidRPr="00280781">
          <w:rPr>
            <w:rStyle w:val="Hyperlink"/>
            <w:rFonts w:cs="Arial"/>
            <w:noProof/>
          </w:rPr>
          <w:t>12.</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rFonts w:cs="Arial"/>
            <w:noProof/>
          </w:rPr>
          <w:t>Implementation and Review</w:t>
        </w:r>
        <w:r w:rsidR="001A1E49">
          <w:rPr>
            <w:noProof/>
            <w:webHidden/>
          </w:rPr>
          <w:tab/>
        </w:r>
        <w:r w:rsidR="00B07B9D">
          <w:rPr>
            <w:noProof/>
            <w:webHidden/>
          </w:rPr>
          <w:fldChar w:fldCharType="begin"/>
        </w:r>
        <w:r w:rsidR="001A1E49">
          <w:rPr>
            <w:noProof/>
            <w:webHidden/>
          </w:rPr>
          <w:instrText xml:space="preserve"> PAGEREF _Toc298406759 \h </w:instrText>
        </w:r>
        <w:r w:rsidR="00B07B9D">
          <w:rPr>
            <w:noProof/>
            <w:webHidden/>
          </w:rPr>
        </w:r>
        <w:r w:rsidR="00B07B9D">
          <w:rPr>
            <w:noProof/>
            <w:webHidden/>
          </w:rPr>
          <w:fldChar w:fldCharType="separate"/>
        </w:r>
        <w:r w:rsidR="00473E8C">
          <w:rPr>
            <w:noProof/>
            <w:webHidden/>
          </w:rPr>
          <w:t>10</w:t>
        </w:r>
        <w:r w:rsidR="00B07B9D">
          <w:rPr>
            <w:noProof/>
            <w:webHidden/>
          </w:rPr>
          <w:fldChar w:fldCharType="end"/>
        </w:r>
      </w:hyperlink>
    </w:p>
    <w:p w:rsidR="001A1E49" w:rsidRDefault="00FE022E">
      <w:pPr>
        <w:pStyle w:val="TOC2"/>
        <w:tabs>
          <w:tab w:val="left" w:pos="960"/>
          <w:tab w:val="right" w:leader="dot" w:pos="9016"/>
        </w:tabs>
        <w:rPr>
          <w:rFonts w:asciiTheme="minorHAnsi" w:eastAsiaTheme="minorEastAsia" w:hAnsiTheme="minorHAnsi" w:cstheme="minorBidi"/>
          <w:smallCaps w:val="0"/>
          <w:noProof/>
          <w:szCs w:val="22"/>
          <w:lang w:val="en-AU" w:eastAsia="en-AU" w:bidi="ar-SA"/>
        </w:rPr>
      </w:pPr>
      <w:hyperlink w:anchor="_Toc298406760" w:history="1">
        <w:r w:rsidR="001A1E49" w:rsidRPr="00280781">
          <w:rPr>
            <w:rStyle w:val="Hyperlink"/>
            <w:noProof/>
          </w:rPr>
          <w:t>13.</w:t>
        </w:r>
        <w:r w:rsidR="001A1E49">
          <w:rPr>
            <w:rFonts w:asciiTheme="minorHAnsi" w:eastAsiaTheme="minorEastAsia" w:hAnsiTheme="minorHAnsi" w:cstheme="minorBidi"/>
            <w:smallCaps w:val="0"/>
            <w:noProof/>
            <w:szCs w:val="22"/>
            <w:lang w:val="en-AU" w:eastAsia="en-AU" w:bidi="ar-SA"/>
          </w:rPr>
          <w:tab/>
        </w:r>
        <w:r w:rsidR="001A1E49" w:rsidRPr="00280781">
          <w:rPr>
            <w:rStyle w:val="Hyperlink"/>
            <w:noProof/>
          </w:rPr>
          <w:t>References</w:t>
        </w:r>
        <w:r w:rsidR="001A1E49">
          <w:rPr>
            <w:noProof/>
            <w:webHidden/>
          </w:rPr>
          <w:tab/>
        </w:r>
        <w:r w:rsidR="00B07B9D">
          <w:rPr>
            <w:noProof/>
            <w:webHidden/>
          </w:rPr>
          <w:fldChar w:fldCharType="begin"/>
        </w:r>
        <w:r w:rsidR="001A1E49">
          <w:rPr>
            <w:noProof/>
            <w:webHidden/>
          </w:rPr>
          <w:instrText xml:space="preserve"> PAGEREF _Toc298406760 \h </w:instrText>
        </w:r>
        <w:r w:rsidR="00B07B9D">
          <w:rPr>
            <w:noProof/>
            <w:webHidden/>
          </w:rPr>
        </w:r>
        <w:r w:rsidR="00B07B9D">
          <w:rPr>
            <w:noProof/>
            <w:webHidden/>
          </w:rPr>
          <w:fldChar w:fldCharType="separate"/>
        </w:r>
        <w:r w:rsidR="00473E8C">
          <w:rPr>
            <w:noProof/>
            <w:webHidden/>
          </w:rPr>
          <w:t>10</w:t>
        </w:r>
        <w:r w:rsidR="00B07B9D">
          <w:rPr>
            <w:noProof/>
            <w:webHidden/>
          </w:rPr>
          <w:fldChar w:fldCharType="end"/>
        </w:r>
      </w:hyperlink>
    </w:p>
    <w:p w:rsidR="001A1E49" w:rsidRDefault="00FE022E">
      <w:pPr>
        <w:pStyle w:val="TOC2"/>
        <w:tabs>
          <w:tab w:val="right" w:leader="dot" w:pos="9016"/>
        </w:tabs>
        <w:rPr>
          <w:rFonts w:asciiTheme="minorHAnsi" w:eastAsiaTheme="minorEastAsia" w:hAnsiTheme="minorHAnsi" w:cstheme="minorBidi"/>
          <w:smallCaps w:val="0"/>
          <w:noProof/>
          <w:szCs w:val="22"/>
          <w:lang w:val="en-AU" w:eastAsia="en-AU" w:bidi="ar-SA"/>
        </w:rPr>
      </w:pPr>
      <w:hyperlink w:anchor="_Toc298406761" w:history="1">
        <w:r w:rsidR="001A1E49" w:rsidRPr="00280781">
          <w:rPr>
            <w:rStyle w:val="Hyperlink"/>
            <w:rFonts w:cs="Arial"/>
            <w:noProof/>
          </w:rPr>
          <w:t>Attachment 1</w:t>
        </w:r>
        <w:r w:rsidR="001A1E49">
          <w:rPr>
            <w:rStyle w:val="Hyperlink"/>
            <w:rFonts w:cs="Arial"/>
            <w:noProof/>
          </w:rPr>
          <w:t xml:space="preserve"> - </w:t>
        </w:r>
        <w:r w:rsidR="001A1E49" w:rsidRPr="001A1E49">
          <w:rPr>
            <w:rStyle w:val="Hyperlink"/>
            <w:rFonts w:cs="Arial"/>
            <w:noProof/>
          </w:rPr>
          <w:t xml:space="preserve">Draft variation to the </w:t>
        </w:r>
        <w:r w:rsidR="001A1E49" w:rsidRPr="000D20F6">
          <w:rPr>
            <w:rStyle w:val="Hyperlink"/>
            <w:rFonts w:cs="Arial"/>
            <w:i/>
            <w:noProof/>
          </w:rPr>
          <w:t>Australia New Zealand Food Standards Code</w:t>
        </w:r>
        <w:r w:rsidR="001A1E49">
          <w:rPr>
            <w:noProof/>
            <w:webHidden/>
          </w:rPr>
          <w:tab/>
        </w:r>
        <w:r w:rsidR="00B07B9D">
          <w:rPr>
            <w:noProof/>
            <w:webHidden/>
          </w:rPr>
          <w:fldChar w:fldCharType="begin"/>
        </w:r>
        <w:r w:rsidR="001A1E49">
          <w:rPr>
            <w:noProof/>
            <w:webHidden/>
          </w:rPr>
          <w:instrText xml:space="preserve"> PAGEREF _Toc298406761 \h </w:instrText>
        </w:r>
        <w:r w:rsidR="00B07B9D">
          <w:rPr>
            <w:noProof/>
            <w:webHidden/>
          </w:rPr>
        </w:r>
        <w:r w:rsidR="00B07B9D">
          <w:rPr>
            <w:noProof/>
            <w:webHidden/>
          </w:rPr>
          <w:fldChar w:fldCharType="separate"/>
        </w:r>
        <w:r w:rsidR="00473E8C">
          <w:rPr>
            <w:noProof/>
            <w:webHidden/>
          </w:rPr>
          <w:t>11</w:t>
        </w:r>
        <w:r w:rsidR="00B07B9D">
          <w:rPr>
            <w:noProof/>
            <w:webHidden/>
          </w:rPr>
          <w:fldChar w:fldCharType="end"/>
        </w:r>
      </w:hyperlink>
    </w:p>
    <w:p w:rsidR="001A1E49" w:rsidRDefault="00FE022E">
      <w:pPr>
        <w:pStyle w:val="TOC2"/>
        <w:tabs>
          <w:tab w:val="right" w:leader="dot" w:pos="9016"/>
        </w:tabs>
        <w:rPr>
          <w:rFonts w:asciiTheme="minorHAnsi" w:eastAsiaTheme="minorEastAsia" w:hAnsiTheme="minorHAnsi" w:cstheme="minorBidi"/>
          <w:smallCaps w:val="0"/>
          <w:noProof/>
          <w:szCs w:val="22"/>
          <w:lang w:val="en-AU" w:eastAsia="en-AU" w:bidi="ar-SA"/>
        </w:rPr>
      </w:pPr>
      <w:hyperlink w:anchor="_Toc298406763" w:history="1">
        <w:r w:rsidR="001A1E49" w:rsidRPr="00280781">
          <w:rPr>
            <w:rStyle w:val="Hyperlink"/>
            <w:rFonts w:cs="Arial"/>
            <w:noProof/>
          </w:rPr>
          <w:t>Attachment 2</w:t>
        </w:r>
        <w:r w:rsidR="001A1E49">
          <w:rPr>
            <w:rStyle w:val="Hyperlink"/>
            <w:rFonts w:cs="Arial"/>
            <w:noProof/>
          </w:rPr>
          <w:t xml:space="preserve"> - </w:t>
        </w:r>
        <w:r w:rsidR="001A1E49" w:rsidRPr="001A1E49">
          <w:rPr>
            <w:rStyle w:val="Hyperlink"/>
            <w:rFonts w:cs="Arial"/>
            <w:noProof/>
          </w:rPr>
          <w:t>Summary of issues raised in public submissions</w:t>
        </w:r>
        <w:r w:rsidR="001A1E49">
          <w:rPr>
            <w:noProof/>
            <w:webHidden/>
          </w:rPr>
          <w:tab/>
        </w:r>
        <w:r w:rsidR="00B07B9D">
          <w:rPr>
            <w:noProof/>
            <w:webHidden/>
          </w:rPr>
          <w:fldChar w:fldCharType="begin"/>
        </w:r>
        <w:r w:rsidR="001A1E49">
          <w:rPr>
            <w:noProof/>
            <w:webHidden/>
          </w:rPr>
          <w:instrText xml:space="preserve"> PAGEREF _Toc298406763 \h </w:instrText>
        </w:r>
        <w:r w:rsidR="00B07B9D">
          <w:rPr>
            <w:noProof/>
            <w:webHidden/>
          </w:rPr>
        </w:r>
        <w:r w:rsidR="00B07B9D">
          <w:rPr>
            <w:noProof/>
            <w:webHidden/>
          </w:rPr>
          <w:fldChar w:fldCharType="separate"/>
        </w:r>
        <w:r w:rsidR="00473E8C">
          <w:rPr>
            <w:noProof/>
            <w:webHidden/>
          </w:rPr>
          <w:t>13</w:t>
        </w:r>
        <w:r w:rsidR="00B07B9D">
          <w:rPr>
            <w:noProof/>
            <w:webHidden/>
          </w:rPr>
          <w:fldChar w:fldCharType="end"/>
        </w:r>
      </w:hyperlink>
    </w:p>
    <w:p w:rsidR="003C4969" w:rsidRDefault="00B07B9D">
      <w:pPr>
        <w:rPr>
          <w:rFonts w:cs="Arial"/>
        </w:rPr>
      </w:pPr>
      <w:r w:rsidRPr="00DC6570">
        <w:rPr>
          <w:rFonts w:cs="Arial"/>
        </w:rPr>
        <w:fldChar w:fldCharType="end"/>
      </w:r>
    </w:p>
    <w:p w:rsidR="00D63E52" w:rsidRDefault="00D63E52">
      <w:pPr>
        <w:rPr>
          <w:rFonts w:cs="Arial"/>
        </w:rPr>
      </w:pPr>
    </w:p>
    <w:p w:rsidR="00D63E52" w:rsidRPr="00DC6570" w:rsidRDefault="00D63E52">
      <w:pPr>
        <w:rPr>
          <w:rFonts w:cs="Arial"/>
        </w:rPr>
      </w:pPr>
    </w:p>
    <w:p w:rsidR="003C4969" w:rsidRPr="003E46BA" w:rsidRDefault="003C4969" w:rsidP="003E46BA">
      <w:pPr>
        <w:pStyle w:val="Heading1"/>
      </w:pPr>
      <w:bookmarkStart w:id="21" w:name="_Toc29883110"/>
      <w:bookmarkStart w:id="22" w:name="_Toc41906797"/>
      <w:bookmarkStart w:id="23" w:name="_Toc41907544"/>
      <w:bookmarkStart w:id="24" w:name="_Toc120358575"/>
      <w:r w:rsidRPr="00DC6570">
        <w:br w:type="page"/>
      </w:r>
      <w:bookmarkStart w:id="25" w:name="_Toc298406735"/>
      <w:r w:rsidRPr="001C27A3">
        <w:lastRenderedPageBreak/>
        <w:t>Introduction</w:t>
      </w:r>
      <w:bookmarkEnd w:id="20"/>
      <w:bookmarkEnd w:id="21"/>
      <w:bookmarkEnd w:id="25"/>
      <w:r w:rsidR="005F7342" w:rsidRPr="001C27A3">
        <w:t xml:space="preserve"> </w:t>
      </w:r>
      <w:bookmarkEnd w:id="22"/>
      <w:bookmarkEnd w:id="23"/>
      <w:bookmarkEnd w:id="24"/>
    </w:p>
    <w:p w:rsidR="00321C91" w:rsidRPr="00E362A8" w:rsidRDefault="00321C91">
      <w:pPr>
        <w:rPr>
          <w:rFonts w:cs="Arial"/>
          <w:color w:val="000000" w:themeColor="text1"/>
        </w:rPr>
      </w:pPr>
      <w:bookmarkStart w:id="26" w:name="_Toc29883109"/>
      <w:bookmarkStart w:id="27" w:name="_Toc41906796"/>
    </w:p>
    <w:p w:rsidR="00C53172" w:rsidRDefault="00321C91" w:rsidP="00321C91">
      <w:pPr>
        <w:rPr>
          <w:rFonts w:cs="Arial"/>
        </w:rPr>
      </w:pPr>
      <w:r>
        <w:rPr>
          <w:rFonts w:cs="Arial"/>
        </w:rPr>
        <w:t xml:space="preserve">FSANZ received an Application from the Winemakers’ Federation of Australia (WFA) on </w:t>
      </w:r>
    </w:p>
    <w:p w:rsidR="00321C91" w:rsidRDefault="00321C91" w:rsidP="00321C91">
      <w:pPr>
        <w:rPr>
          <w:rFonts w:cs="Arial"/>
        </w:rPr>
      </w:pPr>
      <w:r>
        <w:rPr>
          <w:rFonts w:cs="Arial"/>
        </w:rPr>
        <w:t xml:space="preserve">5 June 2009. The WFA is the peak national body for the Australian wine industry. </w:t>
      </w:r>
    </w:p>
    <w:p w:rsidR="00321C91" w:rsidRDefault="00321C91" w:rsidP="00321C91">
      <w:pPr>
        <w:rPr>
          <w:rFonts w:cs="Arial"/>
        </w:rPr>
      </w:pPr>
    </w:p>
    <w:p w:rsidR="00321C91" w:rsidRDefault="00321C91" w:rsidP="00321C91">
      <w:pPr>
        <w:rPr>
          <w:rFonts w:cs="Arial"/>
        </w:rPr>
      </w:pPr>
      <w:r>
        <w:rPr>
          <w:rFonts w:cs="Arial"/>
        </w:rPr>
        <w:t xml:space="preserve">The Application initially sought to amend the tolerances (i.e. accuracy) permitted between the alcohol content stated on the label and the actual alcohol content determined by analysis for wine, wine products and fortified wine in Standard 2.7.1 – Labelling of Alcoholic Beverages and Food containing Alcohol </w:t>
      </w:r>
      <w:r w:rsidR="000D20F6">
        <w:rPr>
          <w:rFonts w:cs="Arial"/>
        </w:rPr>
        <w:t>in</w:t>
      </w:r>
      <w:r>
        <w:rPr>
          <w:rFonts w:cs="Arial"/>
        </w:rPr>
        <w:t xml:space="preserve"> the </w:t>
      </w:r>
      <w:r>
        <w:rPr>
          <w:rFonts w:cs="Arial"/>
          <w:i/>
        </w:rPr>
        <w:t xml:space="preserve">Australia New Zealand Food Standards Code </w:t>
      </w:r>
      <w:r>
        <w:rPr>
          <w:rFonts w:cs="Arial"/>
        </w:rPr>
        <w:t>(the Code).</w:t>
      </w:r>
    </w:p>
    <w:p w:rsidR="00321C91" w:rsidRDefault="00321C91" w:rsidP="00321C91">
      <w:pPr>
        <w:rPr>
          <w:rFonts w:cs="Arial"/>
        </w:rPr>
      </w:pPr>
    </w:p>
    <w:p w:rsidR="00321C91" w:rsidRDefault="00321C91" w:rsidP="00321C91">
      <w:pPr>
        <w:rPr>
          <w:rFonts w:cs="Arial"/>
        </w:rPr>
      </w:pPr>
      <w:r>
        <w:rPr>
          <w:rFonts w:cs="Arial"/>
        </w:rPr>
        <w:t xml:space="preserve">On 17 February 2010, the WFA requested an addition to the Application seeking to also reduce the minimum alcohol content permitted for wine and sparkling wine in </w:t>
      </w:r>
      <w:r w:rsidR="000D20F6">
        <w:rPr>
          <w:rFonts w:cs="Arial"/>
        </w:rPr>
        <w:t xml:space="preserve">the </w:t>
      </w:r>
      <w:r w:rsidR="004D1A9D">
        <w:rPr>
          <w:rFonts w:cs="Arial"/>
        </w:rPr>
        <w:t xml:space="preserve">Australia only </w:t>
      </w:r>
      <w:r>
        <w:rPr>
          <w:rFonts w:cs="Arial"/>
        </w:rPr>
        <w:t>Standard 4.5.1 – Wine Production Requirements.</w:t>
      </w:r>
    </w:p>
    <w:p w:rsidR="00321C91" w:rsidRDefault="00321C91" w:rsidP="00321C91">
      <w:pPr>
        <w:rPr>
          <w:rFonts w:cs="Arial"/>
        </w:rPr>
      </w:pPr>
    </w:p>
    <w:p w:rsidR="00321C91" w:rsidRDefault="00321C91" w:rsidP="00321C91">
      <w:pPr>
        <w:rPr>
          <w:rFonts w:cs="Arial"/>
        </w:rPr>
      </w:pPr>
      <w:r>
        <w:rPr>
          <w:rFonts w:cs="Arial"/>
        </w:rPr>
        <w:t xml:space="preserve">On 14 March 2011, the WFA withdrew its request to amend the tolerances in Standard 2.7.1 and </w:t>
      </w:r>
      <w:r w:rsidR="00A856F9">
        <w:rPr>
          <w:rFonts w:cs="Arial"/>
        </w:rPr>
        <w:t xml:space="preserve">asked FSANZ </w:t>
      </w:r>
      <w:r>
        <w:rPr>
          <w:rFonts w:cs="Arial"/>
        </w:rPr>
        <w:t>to only proceed with the proposed amendment to Standard 4.5.1.</w:t>
      </w:r>
    </w:p>
    <w:p w:rsidR="00321C91" w:rsidRDefault="00321C91" w:rsidP="00321C91">
      <w:pPr>
        <w:rPr>
          <w:rFonts w:cs="Arial"/>
        </w:rPr>
      </w:pPr>
    </w:p>
    <w:p w:rsidR="00321C91" w:rsidRDefault="00321C91" w:rsidP="00321C91">
      <w:pPr>
        <w:rPr>
          <w:rFonts w:cs="Arial"/>
        </w:rPr>
      </w:pPr>
      <w:r>
        <w:rPr>
          <w:rFonts w:cs="Arial"/>
        </w:rPr>
        <w:t>The Application therefore seeks to reduce the minimum alcohol content permitted in Standard 4.5.1 for wine and sparkling wine from 8% to 4.5% alcohol/volume (alc/vol). This</w:t>
      </w:r>
      <w:r w:rsidDel="00434810">
        <w:rPr>
          <w:rFonts w:cs="Arial"/>
        </w:rPr>
        <w:t xml:space="preserve"> </w:t>
      </w:r>
      <w:r>
        <w:rPr>
          <w:rFonts w:cs="Arial"/>
        </w:rPr>
        <w:t xml:space="preserve">proposed amendment </w:t>
      </w:r>
      <w:r w:rsidDel="00434810">
        <w:rPr>
          <w:rFonts w:cs="Arial"/>
        </w:rPr>
        <w:t xml:space="preserve">is relevant to </w:t>
      </w:r>
      <w:r>
        <w:rPr>
          <w:rFonts w:cs="Arial"/>
        </w:rPr>
        <w:t xml:space="preserve">wine and sparkling wine produced in </w:t>
      </w:r>
      <w:r w:rsidDel="00434810">
        <w:rPr>
          <w:rFonts w:cs="Arial"/>
        </w:rPr>
        <w:t>Australia</w:t>
      </w:r>
      <w:r>
        <w:rPr>
          <w:rFonts w:cs="Arial"/>
        </w:rPr>
        <w:t xml:space="preserve"> only. The proposed amendment does not apply to w</w:t>
      </w:r>
      <w:r w:rsidDel="00434810">
        <w:rPr>
          <w:rFonts w:cs="Arial"/>
        </w:rPr>
        <w:t>ine made in New Zealand</w:t>
      </w:r>
      <w:r w:rsidR="00D91BF8">
        <w:rPr>
          <w:rFonts w:cs="Arial"/>
        </w:rPr>
        <w:t>,</w:t>
      </w:r>
      <w:r>
        <w:rPr>
          <w:rFonts w:cs="Arial"/>
        </w:rPr>
        <w:t xml:space="preserve"> or to </w:t>
      </w:r>
      <w:r w:rsidDel="00434810">
        <w:rPr>
          <w:rFonts w:cs="Arial"/>
        </w:rPr>
        <w:t>wine imported into Australia</w:t>
      </w:r>
      <w:r>
        <w:rPr>
          <w:rFonts w:cs="Arial"/>
        </w:rPr>
        <w:t xml:space="preserve"> or New Zealand for which there are no minimum alcohol requirements prescribed in the Code. </w:t>
      </w:r>
    </w:p>
    <w:p w:rsidR="00321C91" w:rsidRPr="00137C0E" w:rsidRDefault="00321C91">
      <w:pPr>
        <w:rPr>
          <w:rFonts w:cs="Arial"/>
          <w:color w:val="000000" w:themeColor="text1"/>
        </w:rPr>
      </w:pPr>
    </w:p>
    <w:p w:rsidR="00CC6AE0" w:rsidRDefault="00CC6AE0" w:rsidP="00676CA2">
      <w:pPr>
        <w:pStyle w:val="Heading2"/>
      </w:pPr>
      <w:bookmarkStart w:id="28" w:name="_Toc290905588"/>
      <w:bookmarkStart w:id="29" w:name="_Toc298406736"/>
      <w:bookmarkStart w:id="30" w:name="_Toc11735630"/>
      <w:bookmarkStart w:id="31" w:name="_Toc29883114"/>
      <w:bookmarkStart w:id="32" w:name="_Toc41906801"/>
      <w:bookmarkStart w:id="33" w:name="_Toc41907548"/>
      <w:bookmarkStart w:id="34" w:name="_Toc120358578"/>
      <w:bookmarkEnd w:id="26"/>
      <w:bookmarkEnd w:id="27"/>
      <w:r>
        <w:t>1</w:t>
      </w:r>
      <w:r w:rsidRPr="00DC6570">
        <w:t>.</w:t>
      </w:r>
      <w:r w:rsidRPr="00DC6570">
        <w:tab/>
        <w:t>The Issue / Problem</w:t>
      </w:r>
      <w:bookmarkEnd w:id="28"/>
      <w:bookmarkEnd w:id="29"/>
    </w:p>
    <w:p w:rsidR="00CC6AE0" w:rsidRDefault="00CC6AE0" w:rsidP="00CC6AE0"/>
    <w:p w:rsidR="00CC6AE0" w:rsidRDefault="00CC6AE0" w:rsidP="00CC6AE0">
      <w:pPr>
        <w:rPr>
          <w:rFonts w:cs="Arial"/>
        </w:rPr>
      </w:pPr>
      <w:r>
        <w:rPr>
          <w:rFonts w:cs="Arial"/>
        </w:rPr>
        <w:t>Application A1026 seeks to reduce the minimum alcohol content prescribed in Standard 4.5.1 for wine and sparkling wine produced in Australia from 80 mL/L to 45 mL/L of ethanol at 20˚C (i.e. 8% to 4.5% alc/vol</w:t>
      </w:r>
      <w:r>
        <w:rPr>
          <w:rStyle w:val="FootnoteReference"/>
          <w:rFonts w:cs="Arial"/>
        </w:rPr>
        <w:footnoteReference w:id="1"/>
      </w:r>
      <w:r>
        <w:rPr>
          <w:rFonts w:cs="Arial"/>
        </w:rPr>
        <w:t xml:space="preserve">). </w:t>
      </w:r>
    </w:p>
    <w:p w:rsidR="00CC6AE0" w:rsidRDefault="00CC6AE0" w:rsidP="00CC6AE0">
      <w:pPr>
        <w:rPr>
          <w:rFonts w:cs="Arial"/>
        </w:rPr>
      </w:pPr>
    </w:p>
    <w:p w:rsidR="00CC6AE0" w:rsidRDefault="00CC6AE0" w:rsidP="00CC6AE0">
      <w:pPr>
        <w:rPr>
          <w:rFonts w:cs="Arial"/>
        </w:rPr>
      </w:pPr>
      <w:r>
        <w:rPr>
          <w:rFonts w:cs="Arial"/>
        </w:rPr>
        <w:t xml:space="preserve">A minimum alcohol content of 4.5% alc/vol is sought to harmonise with the European Union (EU). The Applicant states that under the terms of the </w:t>
      </w:r>
      <w:r w:rsidRPr="003334E7">
        <w:rPr>
          <w:rFonts w:cs="Arial"/>
        </w:rPr>
        <w:t xml:space="preserve">2008 </w:t>
      </w:r>
      <w:r w:rsidRPr="008869A0">
        <w:rPr>
          <w:rFonts w:cs="Arial"/>
          <w:i/>
        </w:rPr>
        <w:t>Agreement between Australia and the European Community on Trade in Wine</w:t>
      </w:r>
      <w:r>
        <w:rPr>
          <w:rFonts w:cs="Arial"/>
          <w:i/>
        </w:rPr>
        <w:t xml:space="preserve"> </w:t>
      </w:r>
      <w:r>
        <w:rPr>
          <w:rFonts w:cs="Arial"/>
        </w:rPr>
        <w:t xml:space="preserve">(Australia – EU Wine Agreement), Australia can export wine to the EU with a minimum of 4.5% alc/vol if it is legal to produce such wine </w:t>
      </w:r>
      <w:r w:rsidR="00825AC0">
        <w:rPr>
          <w:rFonts w:cs="Arial"/>
        </w:rPr>
        <w:t>under</w:t>
      </w:r>
      <w:r>
        <w:rPr>
          <w:rFonts w:cs="Arial"/>
        </w:rPr>
        <w:t xml:space="preserve"> Australian regulations. The Applicant has submitted letters from the European Commission’s Directorate-General for Agriculture and Rural Development confirming that Australian wines with </w:t>
      </w:r>
      <w:proofErr w:type="gramStart"/>
      <w:r>
        <w:rPr>
          <w:rFonts w:cs="Arial"/>
        </w:rPr>
        <w:t>an alcohol</w:t>
      </w:r>
      <w:proofErr w:type="gramEnd"/>
      <w:r>
        <w:rPr>
          <w:rFonts w:cs="Arial"/>
        </w:rPr>
        <w:t xml:space="preserve"> content greater than 4.5% v/v can be sold in the European Community labelled as ‘wine’ if produced in accordance with conditions specified </w:t>
      </w:r>
      <w:r w:rsidR="00981CF0">
        <w:rPr>
          <w:rFonts w:cs="Arial"/>
        </w:rPr>
        <w:t xml:space="preserve">in </w:t>
      </w:r>
      <w:r>
        <w:rPr>
          <w:rFonts w:cs="Arial"/>
        </w:rPr>
        <w:t>both</w:t>
      </w:r>
      <w:r w:rsidR="00981CF0">
        <w:rPr>
          <w:rFonts w:cs="Arial"/>
        </w:rPr>
        <w:t xml:space="preserve"> of</w:t>
      </w:r>
      <w:r w:rsidR="00535BF3">
        <w:rPr>
          <w:rFonts w:cs="Arial"/>
        </w:rPr>
        <w:t xml:space="preserve"> </w:t>
      </w:r>
      <w:r>
        <w:rPr>
          <w:rFonts w:cs="Arial"/>
        </w:rPr>
        <w:t xml:space="preserve">the relevant Australian and Community legislation. The Applicant states that harmonising the Code with the EU will facilitate access to the European market, Australia’s largest export market.  </w:t>
      </w:r>
    </w:p>
    <w:p w:rsidR="00CC6AE0" w:rsidRDefault="00CC6AE0" w:rsidP="00CC6AE0">
      <w:pPr>
        <w:widowControl/>
        <w:rPr>
          <w:rFonts w:cs="Arial"/>
        </w:rPr>
      </w:pPr>
    </w:p>
    <w:p w:rsidR="00CC6AE0" w:rsidRDefault="00CC6AE0" w:rsidP="00CC6AE0">
      <w:pPr>
        <w:rPr>
          <w:rFonts w:cs="Arial"/>
        </w:rPr>
      </w:pPr>
      <w:r>
        <w:rPr>
          <w:rFonts w:cs="Arial"/>
        </w:rPr>
        <w:t xml:space="preserve">The Applicant asserts the </w:t>
      </w:r>
      <w:r w:rsidR="0099406A">
        <w:rPr>
          <w:rFonts w:cs="Arial"/>
        </w:rPr>
        <w:t xml:space="preserve">proposed </w:t>
      </w:r>
      <w:r>
        <w:rPr>
          <w:rFonts w:cs="Arial"/>
        </w:rPr>
        <w:t xml:space="preserve">amendment </w:t>
      </w:r>
      <w:r w:rsidR="00137C0E">
        <w:rPr>
          <w:rFonts w:cs="Arial"/>
        </w:rPr>
        <w:t xml:space="preserve">to the Code </w:t>
      </w:r>
      <w:r>
        <w:rPr>
          <w:rFonts w:cs="Arial"/>
        </w:rPr>
        <w:t>will address a current regulatory disadvantage for Australian produced wine in comparison to wine imported into Australia. This disadvantage arises from provisions contained within Standards</w:t>
      </w:r>
      <w:r w:rsidR="00981CF0">
        <w:rPr>
          <w:rFonts w:cs="Arial"/>
        </w:rPr>
        <w:t xml:space="preserve"> 2.7.</w:t>
      </w:r>
      <w:r w:rsidR="00825AC0">
        <w:rPr>
          <w:rFonts w:cs="Arial"/>
        </w:rPr>
        <w:t>4</w:t>
      </w:r>
      <w:r w:rsidR="00981CF0">
        <w:rPr>
          <w:rFonts w:cs="Arial"/>
        </w:rPr>
        <w:t xml:space="preserve"> and 4.5.1</w:t>
      </w:r>
      <w:r>
        <w:rPr>
          <w:rFonts w:cs="Arial"/>
        </w:rPr>
        <w:t xml:space="preserve"> which </w:t>
      </w:r>
      <w:r w:rsidR="00981CF0">
        <w:rPr>
          <w:rFonts w:cs="Arial"/>
        </w:rPr>
        <w:t xml:space="preserve">both </w:t>
      </w:r>
      <w:r>
        <w:rPr>
          <w:rFonts w:cs="Arial"/>
        </w:rPr>
        <w:t>relate to wine in Australia</w:t>
      </w:r>
      <w:r w:rsidR="0033273F">
        <w:rPr>
          <w:rFonts w:cs="Arial"/>
        </w:rPr>
        <w:t>.</w:t>
      </w:r>
      <w:r>
        <w:rPr>
          <w:rFonts w:cs="Arial"/>
        </w:rPr>
        <w:t xml:space="preserve"> </w:t>
      </w:r>
    </w:p>
    <w:p w:rsidR="00CC6AE0" w:rsidRDefault="00CC6AE0" w:rsidP="00CC6AE0">
      <w:pPr>
        <w:rPr>
          <w:rFonts w:cs="Arial"/>
        </w:rPr>
      </w:pPr>
      <w:r>
        <w:rPr>
          <w:rFonts w:cs="Arial"/>
        </w:rPr>
        <w:br w:type="page"/>
      </w:r>
    </w:p>
    <w:p w:rsidR="00CC6AE0" w:rsidRDefault="00CC6AE0" w:rsidP="00CC6AE0">
      <w:pPr>
        <w:rPr>
          <w:rFonts w:cs="Arial"/>
        </w:rPr>
      </w:pPr>
      <w:r>
        <w:rPr>
          <w:rFonts w:cs="Arial"/>
        </w:rPr>
        <w:lastRenderedPageBreak/>
        <w:t xml:space="preserve">Standard 2.7.4 is a joint Standard which applies to wine produced in Australia and New Zealand, and to wine imported into Australia and New Zealand. This Standard sets out general definitions for wine and wine product and provides permissions for the addition of certain foods during the production of wine. There is no minimum alcohol limit prescribed in relation to the production or marketing of wine. </w:t>
      </w:r>
    </w:p>
    <w:p w:rsidR="00CC6AE0" w:rsidRDefault="00CC6AE0" w:rsidP="00CC6AE0">
      <w:pPr>
        <w:rPr>
          <w:rFonts w:cs="Arial"/>
        </w:rPr>
      </w:pPr>
    </w:p>
    <w:p w:rsidR="00CC6AE0" w:rsidRDefault="00CC6AE0" w:rsidP="00CC6AE0">
      <w:pPr>
        <w:rPr>
          <w:rFonts w:cs="Arial"/>
        </w:rPr>
      </w:pPr>
      <w:r>
        <w:rPr>
          <w:rFonts w:cs="Arial"/>
        </w:rPr>
        <w:t xml:space="preserve">Standard 4.5.1 </w:t>
      </w:r>
      <w:r w:rsidR="00A00939">
        <w:rPr>
          <w:rFonts w:cs="Arial"/>
        </w:rPr>
        <w:t xml:space="preserve">applies to wine produced in Australia only and </w:t>
      </w:r>
      <w:r>
        <w:rPr>
          <w:rFonts w:cs="Arial"/>
        </w:rPr>
        <w:t xml:space="preserve">covers a range of specific production requirements including a minimum alcohol content of 8% alc/vol.   </w:t>
      </w:r>
    </w:p>
    <w:p w:rsidR="00CC6AE0" w:rsidRDefault="00CC6AE0" w:rsidP="00CC6AE0">
      <w:pPr>
        <w:rPr>
          <w:rFonts w:cs="Arial"/>
        </w:rPr>
      </w:pPr>
    </w:p>
    <w:p w:rsidR="00CC6AE0" w:rsidRDefault="00CC6AE0" w:rsidP="00CC6AE0">
      <w:pPr>
        <w:rPr>
          <w:rFonts w:cs="Arial"/>
        </w:rPr>
      </w:pPr>
      <w:r>
        <w:rPr>
          <w:rFonts w:cs="Arial"/>
        </w:rPr>
        <w:t>This means that wines below 8% alc/vol are permitted to be imported and sold in Australia as ‘wine’, while domestically produced wines below 8% alc/vol are</w:t>
      </w:r>
      <w:r w:rsidR="0099406A">
        <w:rPr>
          <w:rFonts w:cs="Arial"/>
        </w:rPr>
        <w:t xml:space="preserve"> not</w:t>
      </w:r>
      <w:r>
        <w:rPr>
          <w:rFonts w:cs="Arial"/>
        </w:rPr>
        <w:t>. Reducing the minimum alcohol content will therefore allow Australian produced low alcohol wines above 4.5% alc/vol to be labelled and sold as ‘wine’ in Australia and to be exported to the EU. As indicated above, a minimum of 4.5% is sought to align with EU export requirements under the</w:t>
      </w:r>
      <w:r w:rsidRPr="00A622B5">
        <w:rPr>
          <w:rFonts w:cs="Arial"/>
          <w:i/>
        </w:rPr>
        <w:t xml:space="preserve"> </w:t>
      </w:r>
      <w:r>
        <w:rPr>
          <w:rFonts w:cs="Arial"/>
        </w:rPr>
        <w:t>Australia – EU Wine Agreement and facilitate trade to the European market.</w:t>
      </w:r>
    </w:p>
    <w:p w:rsidR="00CC6AE0" w:rsidRDefault="00CC6AE0" w:rsidP="00CC6AE0">
      <w:pPr>
        <w:rPr>
          <w:rFonts w:cs="Arial"/>
        </w:rPr>
      </w:pPr>
    </w:p>
    <w:p w:rsidR="00CC6AE0" w:rsidRDefault="00CC6AE0" w:rsidP="00CC6AE0">
      <w:pPr>
        <w:rPr>
          <w:rFonts w:cs="Arial"/>
        </w:rPr>
      </w:pPr>
      <w:r>
        <w:rPr>
          <w:rFonts w:cs="Arial"/>
        </w:rPr>
        <w:t xml:space="preserve">The Applicant states that the </w:t>
      </w:r>
      <w:r w:rsidR="004665A9" w:rsidRPr="00011FC1">
        <w:rPr>
          <w:rFonts w:cs="Arial"/>
        </w:rPr>
        <w:t>proposed</w:t>
      </w:r>
      <w:r>
        <w:rPr>
          <w:rFonts w:cs="Arial"/>
        </w:rPr>
        <w:t xml:space="preserve"> amendment will remove a technical barrier to innovation in Australian low alcohol wine. The Applicant has indicated that the demand for low alcohol and low calorie wines in Australia and internationally is increasing. Improved technology has meant that lower alcohol wines can be produced with increasing quality and taste. This has </w:t>
      </w:r>
      <w:r w:rsidR="00473E8C">
        <w:rPr>
          <w:rFonts w:cs="Arial"/>
        </w:rPr>
        <w:t>led</w:t>
      </w:r>
      <w:r>
        <w:rPr>
          <w:rFonts w:cs="Arial"/>
        </w:rPr>
        <w:t xml:space="preserve"> to this Application to reduce the alcohol limit for Australian produced wine.</w:t>
      </w:r>
    </w:p>
    <w:p w:rsidR="00CC6AE0" w:rsidRDefault="00CC6AE0" w:rsidP="00CC6AE0">
      <w:pPr>
        <w:rPr>
          <w:rFonts w:cs="Arial"/>
        </w:rPr>
      </w:pPr>
    </w:p>
    <w:p w:rsidR="0069702D" w:rsidRPr="006A48A7" w:rsidRDefault="0069702D" w:rsidP="0069702D">
      <w:pPr>
        <w:pStyle w:val="Heading2"/>
      </w:pPr>
      <w:bookmarkStart w:id="35" w:name="_Toc290905589"/>
      <w:bookmarkStart w:id="36" w:name="_Toc298406737"/>
      <w:bookmarkEnd w:id="30"/>
      <w:bookmarkEnd w:id="31"/>
      <w:bookmarkEnd w:id="32"/>
      <w:bookmarkEnd w:id="33"/>
      <w:bookmarkEnd w:id="34"/>
      <w:r>
        <w:t>2</w:t>
      </w:r>
      <w:r w:rsidRPr="00DC6570">
        <w:t>.</w:t>
      </w:r>
      <w:r w:rsidRPr="00DC6570">
        <w:tab/>
      </w:r>
      <w:r>
        <w:t>Background</w:t>
      </w:r>
      <w:bookmarkEnd w:id="35"/>
      <w:bookmarkEnd w:id="36"/>
    </w:p>
    <w:p w:rsidR="0069702D" w:rsidRDefault="0069702D" w:rsidP="0069702D">
      <w:pPr>
        <w:rPr>
          <w:rFonts w:cs="Arial"/>
        </w:rPr>
      </w:pPr>
    </w:p>
    <w:p w:rsidR="0069702D" w:rsidRPr="00E572DB" w:rsidRDefault="0069702D" w:rsidP="0069702D">
      <w:pPr>
        <w:pStyle w:val="Heading3"/>
        <w:rPr>
          <w:rFonts w:cs="Arial"/>
        </w:rPr>
      </w:pPr>
      <w:bookmarkStart w:id="37" w:name="_Toc290905590"/>
      <w:bookmarkStart w:id="38" w:name="_Toc298406738"/>
      <w:r>
        <w:rPr>
          <w:rFonts w:cs="Arial"/>
        </w:rPr>
        <w:t>2.1</w:t>
      </w:r>
      <w:r>
        <w:t xml:space="preserve"> </w:t>
      </w:r>
      <w:r>
        <w:tab/>
        <w:t>Historical Background</w:t>
      </w:r>
      <w:bookmarkEnd w:id="37"/>
      <w:bookmarkEnd w:id="38"/>
    </w:p>
    <w:p w:rsidR="0069702D" w:rsidRDefault="0069702D" w:rsidP="0069702D"/>
    <w:p w:rsidR="0069702D" w:rsidRDefault="0069702D" w:rsidP="0069702D">
      <w:r>
        <w:t xml:space="preserve">Standard 4.5.1 provides specific requirements for wine produced in Australia only. This Standard was prepared primarily from the former Standard P4 in the Australian </w:t>
      </w:r>
      <w:r w:rsidRPr="007A195E">
        <w:rPr>
          <w:i/>
        </w:rPr>
        <w:t>Food Standards Code</w:t>
      </w:r>
      <w:r>
        <w:t xml:space="preserve">. The Standard underpinned </w:t>
      </w:r>
      <w:r w:rsidRPr="00866DE4">
        <w:rPr>
          <w:color w:val="000000"/>
        </w:rPr>
        <w:t>the</w:t>
      </w:r>
      <w:r>
        <w:rPr>
          <w:color w:val="000000"/>
        </w:rPr>
        <w:t xml:space="preserve"> previous 1994</w:t>
      </w:r>
      <w:r w:rsidRPr="00866DE4">
        <w:rPr>
          <w:color w:val="000000"/>
        </w:rPr>
        <w:t xml:space="preserve"> </w:t>
      </w:r>
      <w:r w:rsidRPr="007711FB">
        <w:rPr>
          <w:i/>
          <w:color w:val="000000"/>
        </w:rPr>
        <w:t>Agreement between the European Community and Australia for Trade in Wine</w:t>
      </w:r>
      <w:r>
        <w:rPr>
          <w:i/>
          <w:color w:val="000000"/>
        </w:rPr>
        <w:t xml:space="preserve"> </w:t>
      </w:r>
      <w:r>
        <w:t xml:space="preserve">in order to uphold the terms of the trade agreement with Europe and ensure the continued access of Australian wine to the European market. Australia’s agreement with the EU relied on all wine made in Australia, whether for domestic consumption or for export, being recognised by the EU as wine of designated quality and origin. </w:t>
      </w:r>
      <w:r>
        <w:rPr>
          <w:rFonts w:cs="Arial"/>
        </w:rPr>
        <w:t xml:space="preserve">The new Australia – EU Wine Agreement has been in force since 1 September 2010, replacing the previous 1994 </w:t>
      </w:r>
      <w:r w:rsidR="000D20F6">
        <w:rPr>
          <w:rFonts w:cs="Arial"/>
        </w:rPr>
        <w:t>A</w:t>
      </w:r>
      <w:r>
        <w:rPr>
          <w:rFonts w:cs="Arial"/>
        </w:rPr>
        <w:t xml:space="preserve">greement. </w:t>
      </w:r>
    </w:p>
    <w:p w:rsidR="0069702D" w:rsidRDefault="0069702D" w:rsidP="0069702D"/>
    <w:p w:rsidR="0069702D" w:rsidRDefault="0069702D" w:rsidP="0069702D">
      <w:r>
        <w:t xml:space="preserve">Standard 2.7.4 is a joint Standard which was developed to recognise accepted wine practices throughout the world. This Standard applies to wine produced in Australia and New Zealand and to wine imported into Australia and New Zealand. </w:t>
      </w:r>
    </w:p>
    <w:p w:rsidR="0069702D" w:rsidRDefault="0069702D" w:rsidP="0069702D">
      <w:pPr>
        <w:widowControl/>
        <w:rPr>
          <w:rFonts w:cs="Arial"/>
        </w:rPr>
      </w:pPr>
    </w:p>
    <w:p w:rsidR="0069702D" w:rsidRPr="00E572DB" w:rsidRDefault="0069702D" w:rsidP="0069702D">
      <w:pPr>
        <w:pStyle w:val="Heading3"/>
        <w:rPr>
          <w:rFonts w:cs="Arial"/>
        </w:rPr>
      </w:pPr>
      <w:bookmarkStart w:id="39" w:name="_Toc290905591"/>
      <w:bookmarkStart w:id="40" w:name="_Toc298406739"/>
      <w:r>
        <w:rPr>
          <w:rFonts w:cs="Arial"/>
        </w:rPr>
        <w:t>2.2</w:t>
      </w:r>
      <w:r>
        <w:t xml:space="preserve"> </w:t>
      </w:r>
      <w:r>
        <w:tab/>
        <w:t>Current Standard</w:t>
      </w:r>
      <w:bookmarkEnd w:id="39"/>
      <w:bookmarkEnd w:id="40"/>
    </w:p>
    <w:p w:rsidR="0069702D" w:rsidRDefault="0069702D" w:rsidP="0069702D">
      <w:pPr>
        <w:rPr>
          <w:rFonts w:cs="Arial"/>
        </w:rPr>
      </w:pPr>
    </w:p>
    <w:p w:rsidR="0069702D" w:rsidRDefault="0069702D" w:rsidP="0069702D">
      <w:r>
        <w:rPr>
          <w:rFonts w:cs="Arial"/>
        </w:rPr>
        <w:t>Standard 4.5.1 includes requirements for the production of wine in Australia only. Clause 5 of this Standard currently requires wine and sparkling wine to contain no less than 80 mL/L of ethanol at 20</w:t>
      </w:r>
      <w:r>
        <w:rPr>
          <w:rFonts w:cs="Arial"/>
        </w:rPr>
        <w:sym w:font="Symbol" w:char="F0B0"/>
      </w:r>
      <w:r>
        <w:rPr>
          <w:rFonts w:cs="Arial"/>
        </w:rPr>
        <w:t>C (i.e. 8% alc/vol).</w:t>
      </w:r>
    </w:p>
    <w:p w:rsidR="0069702D" w:rsidRDefault="0069702D" w:rsidP="0069702D">
      <w:pPr>
        <w:widowControl/>
        <w:rPr>
          <w:rFonts w:ascii="Arial Bold" w:hAnsi="Arial Bold" w:cs="Arial Unicode MS"/>
          <w:b/>
          <w:bCs/>
          <w:szCs w:val="26"/>
        </w:rPr>
      </w:pPr>
    </w:p>
    <w:p w:rsidR="0069702D" w:rsidRDefault="0069702D" w:rsidP="0069702D">
      <w:pPr>
        <w:pStyle w:val="Heading3"/>
      </w:pPr>
      <w:bookmarkStart w:id="41" w:name="_Toc290905592"/>
      <w:bookmarkStart w:id="42" w:name="_Toc298406740"/>
      <w:r>
        <w:t>2.3</w:t>
      </w:r>
      <w:r>
        <w:tab/>
        <w:t>Scope of the Application</w:t>
      </w:r>
      <w:bookmarkEnd w:id="41"/>
      <w:bookmarkEnd w:id="42"/>
    </w:p>
    <w:p w:rsidR="0069702D" w:rsidRDefault="0069702D" w:rsidP="0069702D"/>
    <w:p w:rsidR="0069702D" w:rsidRDefault="0069702D" w:rsidP="0069702D">
      <w:r>
        <w:t>T</w:t>
      </w:r>
      <w:r w:rsidRPr="00D560B2">
        <w:t xml:space="preserve">he </w:t>
      </w:r>
      <w:r w:rsidRPr="00011FC1">
        <w:t>proposed</w:t>
      </w:r>
      <w:r>
        <w:t xml:space="preserve"> amendment to Standard 4.5.1, as currently applying to the production of wine and sparkling wine in Australia only, does not apply to wine produced in New Zealand or to wine imported into Australia or New Zealand.</w:t>
      </w:r>
    </w:p>
    <w:p w:rsidR="000D20F6" w:rsidRDefault="000D20F6" w:rsidP="0069702D">
      <w:pPr>
        <w:rPr>
          <w:rFonts w:cs="Arial"/>
        </w:rPr>
      </w:pPr>
      <w:r>
        <w:rPr>
          <w:rFonts w:cs="Arial"/>
        </w:rPr>
        <w:br w:type="page"/>
      </w:r>
    </w:p>
    <w:p w:rsidR="0069702D" w:rsidRDefault="0069702D" w:rsidP="0069702D">
      <w:pPr>
        <w:pStyle w:val="Heading3"/>
      </w:pPr>
      <w:bookmarkStart w:id="43" w:name="_Toc290905593"/>
      <w:bookmarkStart w:id="44" w:name="_Toc298406741"/>
      <w:r>
        <w:lastRenderedPageBreak/>
        <w:t xml:space="preserve">2.4 </w:t>
      </w:r>
      <w:r>
        <w:tab/>
        <w:t>International Regulatory Considerations</w:t>
      </w:r>
      <w:bookmarkEnd w:id="43"/>
      <w:bookmarkEnd w:id="44"/>
    </w:p>
    <w:p w:rsidR="0069702D" w:rsidRDefault="0069702D" w:rsidP="0069702D"/>
    <w:p w:rsidR="0069702D" w:rsidRDefault="0069702D" w:rsidP="0069702D">
      <w:r>
        <w:t xml:space="preserve">There is no Codex Alimentarius standard for wine. </w:t>
      </w:r>
    </w:p>
    <w:p w:rsidR="0069702D" w:rsidRPr="00FE615F" w:rsidRDefault="0069702D" w:rsidP="0069702D"/>
    <w:p w:rsidR="0069702D" w:rsidRPr="009502E7" w:rsidRDefault="0069702D" w:rsidP="0069702D">
      <w:pPr>
        <w:pStyle w:val="Heading4"/>
      </w:pPr>
      <w:r>
        <w:t>2.4.1</w:t>
      </w:r>
      <w:r>
        <w:tab/>
      </w:r>
      <w:r w:rsidR="0090282C">
        <w:t xml:space="preserve">Regulation in the </w:t>
      </w:r>
      <w:r w:rsidRPr="009502E7">
        <w:t>European Union</w:t>
      </w:r>
    </w:p>
    <w:p w:rsidR="0069702D" w:rsidRDefault="0069702D" w:rsidP="0069702D"/>
    <w:p w:rsidR="0069702D" w:rsidRDefault="0069702D" w:rsidP="0069702D">
      <w:pPr>
        <w:rPr>
          <w:rFonts w:cs="Arial"/>
        </w:rPr>
      </w:pPr>
      <w:r>
        <w:rPr>
          <w:rFonts w:cs="Arial"/>
        </w:rPr>
        <w:t>Regulations on the common organisation of the EU wine market are provided in Council Regulation (EC) No 479/2008. Annex IV of this Regulation indicates that wine shall have an alcoholic strength of not less than 8.5% vol or 9% vol depending on the wine-growing zone. However, by way of derogation from the otherwise applicable minimum alcoholic strength, wine with a protected designation of origin or geographical indication shall have an actual alcohol content of not less than 4.5% vol.</w:t>
      </w:r>
    </w:p>
    <w:p w:rsidR="0069702D" w:rsidRDefault="0069702D" w:rsidP="0069702D">
      <w:pPr>
        <w:rPr>
          <w:rFonts w:cs="Arial"/>
        </w:rPr>
      </w:pPr>
    </w:p>
    <w:p w:rsidR="0069702D" w:rsidRDefault="0069702D" w:rsidP="0069702D">
      <w:pPr>
        <w:pStyle w:val="Heading4"/>
      </w:pPr>
      <w:r>
        <w:t xml:space="preserve">2.4.2 </w:t>
      </w:r>
      <w:r>
        <w:tab/>
        <w:t>Regulation in other countries</w:t>
      </w:r>
    </w:p>
    <w:p w:rsidR="0069702D" w:rsidRDefault="0069702D" w:rsidP="0069702D"/>
    <w:p w:rsidR="0069702D" w:rsidRDefault="0069702D" w:rsidP="0069702D">
      <w:r>
        <w:t>Although Standard 4.5.1 only applies to wine produced in Australia, the minimum alcohol content requirements for wine in the major wine trading countries, as provided by the Applicant, are summarised in Table 1 below.</w:t>
      </w:r>
    </w:p>
    <w:p w:rsidR="0069702D" w:rsidRDefault="0069702D" w:rsidP="0069702D">
      <w:pPr>
        <w:widowControl/>
        <w:rPr>
          <w:rFonts w:cs="Arial"/>
          <w:b/>
        </w:rPr>
      </w:pPr>
    </w:p>
    <w:p w:rsidR="0069702D" w:rsidRPr="006E5073" w:rsidRDefault="0069702D" w:rsidP="0069702D">
      <w:pPr>
        <w:pStyle w:val="FSTableTitle"/>
      </w:pPr>
      <w:r w:rsidRPr="006E5073">
        <w:t xml:space="preserve">Table </w:t>
      </w:r>
      <w:r>
        <w:t>1</w:t>
      </w:r>
      <w:r w:rsidRPr="006E5073">
        <w:t>: Minimum alcohol requirements for wine in the major wine trading countries</w:t>
      </w:r>
    </w:p>
    <w:p w:rsidR="0069702D" w:rsidRDefault="0069702D" w:rsidP="0069702D">
      <w:pPr>
        <w:pStyle w:val="NormalWeb"/>
        <w:spacing w:before="0" w:beforeAutospacing="0" w:after="0" w:afterAutospacing="0"/>
        <w:rPr>
          <w:sz w:val="22"/>
          <w:szCs w:val="22"/>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081"/>
        <w:gridCol w:w="3081"/>
      </w:tblGrid>
      <w:tr w:rsidR="0069702D" w:rsidRPr="001012C5" w:rsidTr="00491D8B">
        <w:tc>
          <w:tcPr>
            <w:tcW w:w="3080" w:type="dxa"/>
            <w:shd w:val="clear" w:color="auto" w:fill="D6E3BC" w:themeFill="accent3" w:themeFillTint="66"/>
          </w:tcPr>
          <w:p w:rsidR="0069702D" w:rsidRPr="001012C5" w:rsidRDefault="0069702D" w:rsidP="00491D8B">
            <w:pPr>
              <w:pStyle w:val="FSTableHeading"/>
              <w:rPr>
                <w:lang w:eastAsia="zh-CN"/>
              </w:rPr>
            </w:pPr>
            <w:r w:rsidRPr="001012C5">
              <w:rPr>
                <w:rFonts w:hint="eastAsia"/>
                <w:lang w:eastAsia="zh-CN"/>
              </w:rPr>
              <w:t>Country</w:t>
            </w:r>
          </w:p>
        </w:tc>
        <w:tc>
          <w:tcPr>
            <w:tcW w:w="3081" w:type="dxa"/>
            <w:shd w:val="clear" w:color="auto" w:fill="D6E3BC" w:themeFill="accent3" w:themeFillTint="66"/>
          </w:tcPr>
          <w:p w:rsidR="0069702D" w:rsidRPr="001012C5" w:rsidRDefault="0069702D" w:rsidP="00491D8B">
            <w:pPr>
              <w:pStyle w:val="FSTableHeading"/>
              <w:rPr>
                <w:lang w:eastAsia="zh-CN"/>
              </w:rPr>
            </w:pPr>
            <w:r w:rsidRPr="001012C5">
              <w:rPr>
                <w:rFonts w:hint="eastAsia"/>
                <w:lang w:eastAsia="zh-CN"/>
              </w:rPr>
              <w:t>Minimum alcohol (vol/vol)</w:t>
            </w:r>
          </w:p>
        </w:tc>
        <w:tc>
          <w:tcPr>
            <w:tcW w:w="3081" w:type="dxa"/>
            <w:shd w:val="clear" w:color="auto" w:fill="D6E3BC" w:themeFill="accent3" w:themeFillTint="66"/>
          </w:tcPr>
          <w:p w:rsidR="0069702D" w:rsidRPr="001012C5" w:rsidRDefault="0069702D" w:rsidP="00491D8B">
            <w:pPr>
              <w:pStyle w:val="FSTableHeading"/>
              <w:rPr>
                <w:lang w:eastAsia="zh-CN"/>
              </w:rPr>
            </w:pPr>
            <w:r w:rsidRPr="001012C5">
              <w:rPr>
                <w:rFonts w:hint="eastAsia"/>
                <w:lang w:eastAsia="zh-CN"/>
              </w:rPr>
              <w:t>Comments</w:t>
            </w: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 xml:space="preserve">Australia </w:t>
            </w:r>
          </w:p>
        </w:tc>
        <w:tc>
          <w:tcPr>
            <w:tcW w:w="3081" w:type="dxa"/>
          </w:tcPr>
          <w:p w:rsidR="0069702D" w:rsidRPr="001012C5" w:rsidRDefault="0069702D" w:rsidP="00491D8B">
            <w:pPr>
              <w:pStyle w:val="FSTableText"/>
              <w:rPr>
                <w:lang w:eastAsia="zh-CN"/>
              </w:rPr>
            </w:pPr>
            <w:r w:rsidRPr="001012C5">
              <w:rPr>
                <w:rFonts w:hint="eastAsia"/>
                <w:lang w:eastAsia="zh-CN"/>
              </w:rPr>
              <w:t>8%</w:t>
            </w:r>
          </w:p>
        </w:tc>
        <w:tc>
          <w:tcPr>
            <w:tcW w:w="3081" w:type="dxa"/>
          </w:tcPr>
          <w:p w:rsidR="0069702D" w:rsidRPr="001012C5" w:rsidRDefault="0069702D" w:rsidP="00491D8B">
            <w:pPr>
              <w:pStyle w:val="FSTableText"/>
              <w:rPr>
                <w:lang w:eastAsia="zh-CN"/>
              </w:rPr>
            </w:pPr>
            <w:r w:rsidRPr="001012C5">
              <w:rPr>
                <w:lang w:eastAsia="zh-CN"/>
              </w:rPr>
              <w:t>F</w:t>
            </w:r>
            <w:r w:rsidRPr="001012C5">
              <w:rPr>
                <w:rFonts w:hint="eastAsia"/>
                <w:lang w:eastAsia="zh-CN"/>
              </w:rPr>
              <w:t xml:space="preserve">or </w:t>
            </w:r>
            <w:r w:rsidRPr="001012C5">
              <w:rPr>
                <w:lang w:eastAsia="zh-CN"/>
              </w:rPr>
              <w:t>Australian</w:t>
            </w:r>
            <w:r w:rsidRPr="001012C5">
              <w:rPr>
                <w:rFonts w:hint="eastAsia"/>
                <w:lang w:eastAsia="zh-CN"/>
              </w:rPr>
              <w:t xml:space="preserve"> produced wine</w:t>
            </w: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New Zealand</w:t>
            </w:r>
          </w:p>
        </w:tc>
        <w:tc>
          <w:tcPr>
            <w:tcW w:w="3081" w:type="dxa"/>
          </w:tcPr>
          <w:p w:rsidR="0069702D" w:rsidRPr="001012C5" w:rsidRDefault="0069702D" w:rsidP="00491D8B">
            <w:pPr>
              <w:pStyle w:val="FSTableText"/>
              <w:rPr>
                <w:lang w:eastAsia="zh-CN"/>
              </w:rPr>
            </w:pPr>
            <w:r w:rsidRPr="001012C5">
              <w:rPr>
                <w:rFonts w:hint="eastAsia"/>
                <w:lang w:eastAsia="zh-CN"/>
              </w:rPr>
              <w:t>Not specified</w:t>
            </w:r>
          </w:p>
        </w:tc>
        <w:tc>
          <w:tcPr>
            <w:tcW w:w="3081" w:type="dxa"/>
          </w:tcPr>
          <w:p w:rsidR="0069702D" w:rsidRPr="001012C5" w:rsidRDefault="0069702D" w:rsidP="00491D8B">
            <w:pPr>
              <w:pStyle w:val="FSTableText"/>
              <w:rPr>
                <w:lang w:eastAsia="zh-CN"/>
              </w:rPr>
            </w:pP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Europe</w:t>
            </w:r>
          </w:p>
        </w:tc>
        <w:tc>
          <w:tcPr>
            <w:tcW w:w="3081" w:type="dxa"/>
          </w:tcPr>
          <w:p w:rsidR="000C64DB" w:rsidRDefault="00CF63A2" w:rsidP="00491D8B">
            <w:pPr>
              <w:pStyle w:val="FSTableText"/>
              <w:rPr>
                <w:lang w:eastAsia="zh-CN"/>
              </w:rPr>
            </w:pPr>
            <w:r>
              <w:rPr>
                <w:lang w:eastAsia="zh-CN"/>
              </w:rPr>
              <w:t xml:space="preserve">8.5% or </w:t>
            </w:r>
            <w:r w:rsidR="0069702D" w:rsidRPr="001012C5">
              <w:rPr>
                <w:rFonts w:hint="eastAsia"/>
                <w:lang w:eastAsia="zh-CN"/>
              </w:rPr>
              <w:t>9%</w:t>
            </w:r>
            <w:r w:rsidR="000C64DB">
              <w:rPr>
                <w:lang w:eastAsia="zh-CN"/>
              </w:rPr>
              <w:t xml:space="preserve"> </w:t>
            </w:r>
          </w:p>
          <w:p w:rsidR="0069702D" w:rsidRPr="001012C5" w:rsidRDefault="00BE60AC" w:rsidP="000C64DB">
            <w:pPr>
              <w:pStyle w:val="FSTableText"/>
              <w:rPr>
                <w:lang w:eastAsia="zh-CN"/>
              </w:rPr>
            </w:pPr>
            <w:r>
              <w:rPr>
                <w:lang w:eastAsia="zh-CN"/>
              </w:rPr>
              <w:t>(depending on wine-growing</w:t>
            </w:r>
            <w:r w:rsidR="000C64DB">
              <w:rPr>
                <w:lang w:eastAsia="zh-CN"/>
              </w:rPr>
              <w:t xml:space="preserve"> zone)</w:t>
            </w:r>
          </w:p>
        </w:tc>
        <w:tc>
          <w:tcPr>
            <w:tcW w:w="3081" w:type="dxa"/>
          </w:tcPr>
          <w:p w:rsidR="0069702D" w:rsidRPr="001012C5" w:rsidRDefault="0069702D" w:rsidP="00491D8B">
            <w:pPr>
              <w:pStyle w:val="FSTableText"/>
              <w:rPr>
                <w:lang w:eastAsia="zh-CN"/>
              </w:rPr>
            </w:pPr>
            <w:r w:rsidRPr="001012C5">
              <w:rPr>
                <w:lang w:eastAsia="zh-CN"/>
              </w:rPr>
              <w:t>W</w:t>
            </w:r>
            <w:r w:rsidRPr="001012C5">
              <w:rPr>
                <w:rFonts w:hint="eastAsia"/>
                <w:lang w:eastAsia="zh-CN"/>
              </w:rPr>
              <w:t xml:space="preserve">ith derogations for certain wines (styles or regions) to lower minimum alcohol requirements, all </w:t>
            </w:r>
            <w:r>
              <w:rPr>
                <w:lang w:eastAsia="zh-CN"/>
              </w:rPr>
              <w:t>not less than</w:t>
            </w:r>
            <w:r w:rsidRPr="001012C5">
              <w:rPr>
                <w:rFonts w:hint="eastAsia"/>
                <w:lang w:eastAsia="zh-CN"/>
              </w:rPr>
              <w:t xml:space="preserve"> 4.5%</w:t>
            </w: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USA</w:t>
            </w:r>
          </w:p>
        </w:tc>
        <w:tc>
          <w:tcPr>
            <w:tcW w:w="3081" w:type="dxa"/>
          </w:tcPr>
          <w:p w:rsidR="0069702D" w:rsidRPr="001012C5" w:rsidRDefault="0069702D" w:rsidP="00491D8B">
            <w:pPr>
              <w:pStyle w:val="FSTableText"/>
              <w:rPr>
                <w:lang w:eastAsia="zh-CN"/>
              </w:rPr>
            </w:pPr>
            <w:r w:rsidRPr="001012C5">
              <w:rPr>
                <w:rFonts w:hint="eastAsia"/>
                <w:lang w:eastAsia="zh-CN"/>
              </w:rPr>
              <w:t>No minimum specified</w:t>
            </w:r>
          </w:p>
        </w:tc>
        <w:tc>
          <w:tcPr>
            <w:tcW w:w="3081" w:type="dxa"/>
          </w:tcPr>
          <w:p w:rsidR="0069702D" w:rsidRPr="001012C5" w:rsidRDefault="0069702D" w:rsidP="00491D8B">
            <w:pPr>
              <w:pStyle w:val="FSTableText"/>
              <w:rPr>
                <w:lang w:eastAsia="zh-CN"/>
              </w:rPr>
            </w:pPr>
            <w:r w:rsidRPr="001012C5">
              <w:rPr>
                <w:lang w:eastAsia="zh-CN"/>
              </w:rPr>
              <w:t>F</w:t>
            </w:r>
            <w:r w:rsidRPr="001012C5">
              <w:rPr>
                <w:rFonts w:hint="eastAsia"/>
                <w:lang w:eastAsia="zh-CN"/>
              </w:rPr>
              <w:t>or wines with &lt;7% alcohol ingredient labelling is required</w:t>
            </w: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Argentina</w:t>
            </w:r>
          </w:p>
        </w:tc>
        <w:tc>
          <w:tcPr>
            <w:tcW w:w="3081" w:type="dxa"/>
          </w:tcPr>
          <w:p w:rsidR="0069702D" w:rsidRPr="001012C5" w:rsidRDefault="0069702D" w:rsidP="00491D8B">
            <w:pPr>
              <w:pStyle w:val="FSTableText"/>
              <w:rPr>
                <w:lang w:eastAsia="zh-CN"/>
              </w:rPr>
            </w:pPr>
            <w:r w:rsidRPr="001012C5">
              <w:rPr>
                <w:rFonts w:hint="eastAsia"/>
                <w:lang w:eastAsia="zh-CN"/>
              </w:rPr>
              <w:t>7%</w:t>
            </w:r>
          </w:p>
        </w:tc>
        <w:tc>
          <w:tcPr>
            <w:tcW w:w="3081" w:type="dxa"/>
          </w:tcPr>
          <w:p w:rsidR="0069702D" w:rsidRPr="001012C5" w:rsidRDefault="0069702D" w:rsidP="00491D8B">
            <w:pPr>
              <w:pStyle w:val="FSTableText"/>
              <w:rPr>
                <w:lang w:eastAsia="zh-CN"/>
              </w:rPr>
            </w:pP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Canada</w:t>
            </w:r>
          </w:p>
        </w:tc>
        <w:tc>
          <w:tcPr>
            <w:tcW w:w="3081" w:type="dxa"/>
          </w:tcPr>
          <w:p w:rsidR="0069702D" w:rsidRPr="001012C5" w:rsidRDefault="0069702D" w:rsidP="00491D8B">
            <w:pPr>
              <w:pStyle w:val="FSTableText"/>
              <w:rPr>
                <w:lang w:eastAsia="zh-CN"/>
              </w:rPr>
            </w:pPr>
            <w:r w:rsidRPr="001012C5">
              <w:rPr>
                <w:lang w:eastAsia="zh-CN"/>
              </w:rPr>
              <w:t>N</w:t>
            </w:r>
            <w:r w:rsidRPr="001012C5">
              <w:rPr>
                <w:rFonts w:hint="eastAsia"/>
                <w:lang w:eastAsia="zh-CN"/>
              </w:rPr>
              <w:t>ot specified</w:t>
            </w:r>
          </w:p>
        </w:tc>
        <w:tc>
          <w:tcPr>
            <w:tcW w:w="3081" w:type="dxa"/>
          </w:tcPr>
          <w:p w:rsidR="0069702D" w:rsidRPr="001012C5" w:rsidRDefault="0069702D" w:rsidP="00491D8B">
            <w:pPr>
              <w:pStyle w:val="FSTableText"/>
              <w:rPr>
                <w:lang w:eastAsia="zh-CN"/>
              </w:rPr>
            </w:pPr>
          </w:p>
        </w:tc>
      </w:tr>
      <w:tr w:rsidR="0069702D" w:rsidRPr="001012C5" w:rsidTr="00491D8B">
        <w:tc>
          <w:tcPr>
            <w:tcW w:w="3080" w:type="dxa"/>
          </w:tcPr>
          <w:p w:rsidR="0069702D" w:rsidRPr="001012C5" w:rsidRDefault="0069702D" w:rsidP="00491D8B">
            <w:pPr>
              <w:pStyle w:val="FSTableText"/>
              <w:rPr>
                <w:lang w:eastAsia="zh-CN"/>
              </w:rPr>
            </w:pPr>
            <w:r w:rsidRPr="001012C5">
              <w:rPr>
                <w:rFonts w:hint="eastAsia"/>
                <w:lang w:eastAsia="zh-CN"/>
              </w:rPr>
              <w:t>Chile</w:t>
            </w:r>
          </w:p>
        </w:tc>
        <w:tc>
          <w:tcPr>
            <w:tcW w:w="3081" w:type="dxa"/>
          </w:tcPr>
          <w:p w:rsidR="0069702D" w:rsidRPr="001012C5" w:rsidRDefault="0069702D" w:rsidP="00491D8B">
            <w:pPr>
              <w:pStyle w:val="FSTableText"/>
              <w:rPr>
                <w:lang w:eastAsia="zh-CN"/>
              </w:rPr>
            </w:pPr>
            <w:r w:rsidRPr="001012C5">
              <w:rPr>
                <w:rFonts w:hint="eastAsia"/>
                <w:lang w:eastAsia="zh-CN"/>
              </w:rPr>
              <w:t>10%</w:t>
            </w:r>
          </w:p>
        </w:tc>
        <w:tc>
          <w:tcPr>
            <w:tcW w:w="3081" w:type="dxa"/>
          </w:tcPr>
          <w:p w:rsidR="0069702D" w:rsidRPr="001012C5" w:rsidRDefault="0069702D" w:rsidP="00491D8B">
            <w:pPr>
              <w:pStyle w:val="FSTableText"/>
              <w:rPr>
                <w:lang w:eastAsia="zh-CN"/>
              </w:rPr>
            </w:pPr>
          </w:p>
        </w:tc>
      </w:tr>
      <w:tr w:rsidR="0069702D" w:rsidRPr="001012C5" w:rsidTr="00491D8B">
        <w:tc>
          <w:tcPr>
            <w:tcW w:w="3080" w:type="dxa"/>
          </w:tcPr>
          <w:p w:rsidR="0069702D" w:rsidRPr="001012C5" w:rsidRDefault="0069702D" w:rsidP="00491D8B">
            <w:pPr>
              <w:pStyle w:val="FSTableText"/>
              <w:rPr>
                <w:lang w:eastAsia="zh-CN"/>
              </w:rPr>
            </w:pPr>
            <w:smartTag w:uri="urn:schemas-microsoft-com:office:smarttags" w:element="place">
              <w:smartTag w:uri="urn:schemas-microsoft-com:office:smarttags" w:element="country-region">
                <w:r w:rsidRPr="001012C5">
                  <w:rPr>
                    <w:rFonts w:hint="eastAsia"/>
                    <w:lang w:eastAsia="zh-CN"/>
                  </w:rPr>
                  <w:t>China</w:t>
                </w:r>
              </w:smartTag>
            </w:smartTag>
          </w:p>
        </w:tc>
        <w:tc>
          <w:tcPr>
            <w:tcW w:w="3081" w:type="dxa"/>
          </w:tcPr>
          <w:p w:rsidR="0069702D" w:rsidRPr="001012C5" w:rsidRDefault="0069702D" w:rsidP="00491D8B">
            <w:pPr>
              <w:pStyle w:val="FSTableText"/>
              <w:rPr>
                <w:lang w:eastAsia="zh-CN"/>
              </w:rPr>
            </w:pPr>
            <w:r w:rsidRPr="001012C5">
              <w:rPr>
                <w:rFonts w:hint="eastAsia"/>
                <w:lang w:eastAsia="zh-CN"/>
              </w:rPr>
              <w:t>7%</w:t>
            </w:r>
          </w:p>
        </w:tc>
        <w:tc>
          <w:tcPr>
            <w:tcW w:w="3081" w:type="dxa"/>
          </w:tcPr>
          <w:p w:rsidR="0069702D" w:rsidRPr="001012C5" w:rsidRDefault="0069702D" w:rsidP="00491D8B">
            <w:pPr>
              <w:pStyle w:val="FSTableText"/>
              <w:rPr>
                <w:lang w:eastAsia="zh-CN"/>
              </w:rPr>
            </w:pPr>
          </w:p>
        </w:tc>
      </w:tr>
      <w:tr w:rsidR="0069702D" w:rsidRPr="001012C5" w:rsidTr="00491D8B">
        <w:tc>
          <w:tcPr>
            <w:tcW w:w="3080" w:type="dxa"/>
          </w:tcPr>
          <w:p w:rsidR="0069702D" w:rsidRPr="001012C5" w:rsidRDefault="0069702D" w:rsidP="00491D8B">
            <w:pPr>
              <w:pStyle w:val="FSTableText"/>
              <w:rPr>
                <w:lang w:eastAsia="zh-CN"/>
              </w:rPr>
            </w:pPr>
            <w:smartTag w:uri="urn:schemas-microsoft-com:office:smarttags" w:element="place">
              <w:smartTag w:uri="urn:schemas-microsoft-com:office:smarttags" w:element="country-region">
                <w:r w:rsidRPr="001012C5">
                  <w:rPr>
                    <w:rFonts w:hint="eastAsia"/>
                    <w:lang w:eastAsia="zh-CN"/>
                  </w:rPr>
                  <w:t>South Africa</w:t>
                </w:r>
              </w:smartTag>
            </w:smartTag>
          </w:p>
        </w:tc>
        <w:tc>
          <w:tcPr>
            <w:tcW w:w="3081" w:type="dxa"/>
          </w:tcPr>
          <w:p w:rsidR="0069702D" w:rsidRPr="001012C5" w:rsidRDefault="0069702D" w:rsidP="00491D8B">
            <w:pPr>
              <w:pStyle w:val="FSTableText"/>
              <w:rPr>
                <w:lang w:eastAsia="zh-CN"/>
              </w:rPr>
            </w:pPr>
            <w:r w:rsidRPr="001012C5">
              <w:rPr>
                <w:rFonts w:hint="eastAsia"/>
                <w:lang w:eastAsia="zh-CN"/>
              </w:rPr>
              <w:t>Not specified</w:t>
            </w:r>
          </w:p>
        </w:tc>
        <w:tc>
          <w:tcPr>
            <w:tcW w:w="3081" w:type="dxa"/>
          </w:tcPr>
          <w:p w:rsidR="0069702D" w:rsidRPr="001012C5" w:rsidRDefault="0069702D" w:rsidP="00491D8B">
            <w:pPr>
              <w:pStyle w:val="FSTableText"/>
              <w:rPr>
                <w:lang w:eastAsia="zh-CN"/>
              </w:rPr>
            </w:pPr>
          </w:p>
        </w:tc>
      </w:tr>
    </w:tbl>
    <w:p w:rsidR="0069702D" w:rsidRDefault="0069702D" w:rsidP="0069702D">
      <w:pPr>
        <w:widowControl/>
        <w:rPr>
          <w:bCs/>
          <w:iCs/>
          <w:szCs w:val="26"/>
          <w:u w:val="single"/>
        </w:rPr>
      </w:pPr>
    </w:p>
    <w:p w:rsidR="0069702D" w:rsidRDefault="0069702D" w:rsidP="0069702D">
      <w:pPr>
        <w:pStyle w:val="Heading5"/>
      </w:pPr>
      <w:r>
        <w:t xml:space="preserve">2.4.2.1 </w:t>
      </w:r>
      <w:r>
        <w:tab/>
        <w:t>New Zealand Regulations</w:t>
      </w:r>
    </w:p>
    <w:p w:rsidR="0069702D" w:rsidRDefault="0069702D" w:rsidP="0069702D"/>
    <w:p w:rsidR="0069702D" w:rsidRPr="00160FF8" w:rsidRDefault="0069702D" w:rsidP="0069702D">
      <w:r>
        <w:t xml:space="preserve">In New Zealand, winemakers must comply with the </w:t>
      </w:r>
      <w:r w:rsidRPr="00A622B5">
        <w:rPr>
          <w:i/>
        </w:rPr>
        <w:t>Wine Act 2003</w:t>
      </w:r>
      <w:r>
        <w:t xml:space="preserve"> and the Regulations, Specifications and Notices made under this Act. Additionally, all wine sold in New Zealand must meet the composition and labelling requirements of the Code. In relation to minimum alcohol content requirements applicable to New Zealand, there is no minimum prescribed in the Code, and as far as FSANZ is aware, there is no minimum specified in any New Zealand legislation.</w:t>
      </w:r>
    </w:p>
    <w:p w:rsidR="0069702D" w:rsidRDefault="0069702D" w:rsidP="0069702D">
      <w:pPr>
        <w:widowControl/>
        <w:rPr>
          <w:rFonts w:ascii="Arial Bold" w:hAnsi="Arial Bold" w:cs="Arial Unicode MS"/>
          <w:b/>
          <w:bCs/>
          <w:szCs w:val="26"/>
        </w:rPr>
      </w:pPr>
      <w:bookmarkStart w:id="45" w:name="Heading7"/>
      <w:bookmarkEnd w:id="45"/>
    </w:p>
    <w:p w:rsidR="0069702D" w:rsidRDefault="0069702D" w:rsidP="0069702D">
      <w:pPr>
        <w:pStyle w:val="Heading3"/>
      </w:pPr>
      <w:bookmarkStart w:id="46" w:name="_Toc290905594"/>
      <w:bookmarkStart w:id="47" w:name="_Toc298406742"/>
      <w:r>
        <w:t xml:space="preserve">2.5 </w:t>
      </w:r>
      <w:r>
        <w:tab/>
        <w:t>Technological Considerations</w:t>
      </w:r>
      <w:bookmarkEnd w:id="46"/>
      <w:bookmarkEnd w:id="47"/>
    </w:p>
    <w:p w:rsidR="0069702D" w:rsidRDefault="0069702D" w:rsidP="0069702D"/>
    <w:p w:rsidR="0069702D" w:rsidRDefault="0069702D" w:rsidP="0069702D">
      <w:pPr>
        <w:rPr>
          <w:lang w:eastAsia="zh-CN"/>
        </w:rPr>
      </w:pPr>
      <w:r>
        <w:rPr>
          <w:lang w:eastAsia="zh-CN"/>
        </w:rPr>
        <w:t xml:space="preserve">Australian </w:t>
      </w:r>
      <w:r w:rsidRPr="00706261">
        <w:rPr>
          <w:rFonts w:hint="eastAsia"/>
          <w:lang w:eastAsia="zh-CN"/>
        </w:rPr>
        <w:t>wines are produced</w:t>
      </w:r>
      <w:r>
        <w:rPr>
          <w:lang w:eastAsia="zh-CN"/>
        </w:rPr>
        <w:t xml:space="preserve"> and sold</w:t>
      </w:r>
      <w:r w:rsidRPr="00706261">
        <w:rPr>
          <w:rFonts w:hint="eastAsia"/>
          <w:lang w:eastAsia="zh-CN"/>
        </w:rPr>
        <w:t xml:space="preserve"> </w:t>
      </w:r>
      <w:r>
        <w:rPr>
          <w:lang w:eastAsia="zh-CN"/>
        </w:rPr>
        <w:t>as ‘wine’ with</w:t>
      </w:r>
      <w:r>
        <w:rPr>
          <w:rFonts w:hint="eastAsia"/>
          <w:lang w:eastAsia="zh-CN"/>
        </w:rPr>
        <w:t xml:space="preserve"> alcohol content above 8%</w:t>
      </w:r>
      <w:r>
        <w:rPr>
          <w:lang w:eastAsia="zh-CN"/>
        </w:rPr>
        <w:t xml:space="preserve"> alc/vol as currently permitted in the Code</w:t>
      </w:r>
      <w:r>
        <w:rPr>
          <w:rFonts w:hint="eastAsia"/>
          <w:lang w:eastAsia="zh-CN"/>
        </w:rPr>
        <w:t xml:space="preserve">. </w:t>
      </w:r>
      <w:r>
        <w:rPr>
          <w:lang w:eastAsia="zh-CN"/>
        </w:rPr>
        <w:t>The Applicant has indicated that l</w:t>
      </w:r>
      <w:r w:rsidRPr="00706261">
        <w:rPr>
          <w:rFonts w:hint="eastAsia"/>
          <w:lang w:eastAsia="zh-CN"/>
        </w:rPr>
        <w:t xml:space="preserve">ower alcohol wines can be produced by limiting the supply of fruit sugars, stopping the fermentation prior to conversion of all the sugars to </w:t>
      </w:r>
      <w:r w:rsidRPr="00706261">
        <w:rPr>
          <w:lang w:eastAsia="zh-CN"/>
        </w:rPr>
        <w:t>alcohol</w:t>
      </w:r>
      <w:r w:rsidRPr="00706261">
        <w:rPr>
          <w:rFonts w:hint="eastAsia"/>
          <w:lang w:eastAsia="zh-CN"/>
        </w:rPr>
        <w:t xml:space="preserve"> or rem</w:t>
      </w:r>
      <w:r>
        <w:rPr>
          <w:rFonts w:hint="eastAsia"/>
          <w:lang w:eastAsia="zh-CN"/>
        </w:rPr>
        <w:t xml:space="preserve">oval of alcohol from the wine. </w:t>
      </w:r>
      <w:r>
        <w:rPr>
          <w:lang w:eastAsia="zh-CN"/>
        </w:rPr>
        <w:t>Improved technology and demand has meant that wine can be produced with lower alcohol levels with acceptable flavour and stability.</w:t>
      </w:r>
    </w:p>
    <w:p w:rsidR="0069702D" w:rsidRDefault="0069702D" w:rsidP="0069702D">
      <w:pPr>
        <w:rPr>
          <w:lang w:eastAsia="zh-CN"/>
        </w:rPr>
      </w:pPr>
    </w:p>
    <w:p w:rsidR="00FD7B68" w:rsidRDefault="00FD7B68">
      <w:pPr>
        <w:widowControl/>
        <w:rPr>
          <w:lang w:eastAsia="zh-CN"/>
        </w:rPr>
      </w:pPr>
      <w:r>
        <w:rPr>
          <w:lang w:eastAsia="zh-CN"/>
        </w:rPr>
        <w:br w:type="page"/>
      </w:r>
    </w:p>
    <w:p w:rsidR="0069702D" w:rsidRPr="00353B45" w:rsidRDefault="0069702D" w:rsidP="0069702D">
      <w:pPr>
        <w:rPr>
          <w:rFonts w:cs="Arial"/>
        </w:rPr>
      </w:pPr>
      <w:r>
        <w:rPr>
          <w:lang w:eastAsia="zh-CN"/>
        </w:rPr>
        <w:lastRenderedPageBreak/>
        <w:t xml:space="preserve">The Applicant has indicated that there is a potential risk of microbiological instability with alcohol contents below 4.5% alc/vol which can cause quality issues (e.g. taste), although it does not raise any health and safety issues. </w:t>
      </w:r>
      <w:r>
        <w:rPr>
          <w:rFonts w:cs="Arial"/>
        </w:rPr>
        <w:t xml:space="preserve">The Applicant believes the proposed minimum of 4.5% alc/vol, as well as current industry wine making practice, is appropriate to preserve the reputation of Australian wine with trading partners. </w:t>
      </w:r>
    </w:p>
    <w:p w:rsidR="00807559" w:rsidRPr="00DC6570" w:rsidRDefault="00807559">
      <w:pPr>
        <w:rPr>
          <w:rFonts w:cs="Arial"/>
        </w:rPr>
      </w:pPr>
    </w:p>
    <w:p w:rsidR="003C4969" w:rsidRPr="00DC6570" w:rsidRDefault="00D51A95">
      <w:pPr>
        <w:pStyle w:val="Heading2"/>
        <w:rPr>
          <w:rFonts w:cs="Arial"/>
        </w:rPr>
      </w:pPr>
      <w:bookmarkStart w:id="48" w:name="_Toc120358585"/>
      <w:bookmarkStart w:id="49" w:name="_Toc298406743"/>
      <w:r w:rsidRPr="00DC6570">
        <w:rPr>
          <w:rFonts w:cs="Arial"/>
        </w:rPr>
        <w:t>3</w:t>
      </w:r>
      <w:r w:rsidR="003C4969" w:rsidRPr="00DC6570">
        <w:rPr>
          <w:rFonts w:cs="Arial"/>
        </w:rPr>
        <w:t>.</w:t>
      </w:r>
      <w:r w:rsidR="003C4969" w:rsidRPr="00DC6570">
        <w:rPr>
          <w:rFonts w:cs="Arial"/>
        </w:rPr>
        <w:tab/>
        <w:t>Objectives</w:t>
      </w:r>
      <w:bookmarkEnd w:id="48"/>
      <w:bookmarkEnd w:id="49"/>
    </w:p>
    <w:p w:rsidR="003C4969" w:rsidRPr="00320E6B" w:rsidRDefault="003C4969">
      <w:pPr>
        <w:rPr>
          <w:rFonts w:cs="Arial"/>
          <w:color w:val="000000" w:themeColor="text1"/>
        </w:rPr>
      </w:pPr>
    </w:p>
    <w:p w:rsidR="003C4969" w:rsidRPr="00DC6570" w:rsidRDefault="003C4969">
      <w:pPr>
        <w:rPr>
          <w:rFonts w:cs="Arial"/>
        </w:rPr>
      </w:pPr>
      <w:r w:rsidRPr="00DC6570">
        <w:rPr>
          <w:rFonts w:cs="Arial"/>
        </w:rPr>
        <w:t>In developing or varying a food standard, FSANZ is required by its legislation to meet three primary objectives</w:t>
      </w:r>
      <w:r w:rsidR="005D72E1" w:rsidRPr="00DC6570">
        <w:rPr>
          <w:rFonts w:cs="Arial"/>
        </w:rPr>
        <w:t xml:space="preserve"> which are set out in section 18</w:t>
      </w:r>
      <w:r w:rsidR="00A46F1D">
        <w:rPr>
          <w:rFonts w:cs="Arial"/>
        </w:rPr>
        <w:t xml:space="preserve"> of the FSANZ Act. </w:t>
      </w:r>
      <w:r w:rsidRPr="00DC6570">
        <w:rPr>
          <w:rFonts w:cs="Arial"/>
        </w:rPr>
        <w:t>These are:</w:t>
      </w:r>
    </w:p>
    <w:p w:rsidR="003C4969" w:rsidRPr="00DC6570" w:rsidRDefault="003C4969">
      <w:pPr>
        <w:rPr>
          <w:rFonts w:cs="Arial"/>
        </w:rPr>
      </w:pPr>
    </w:p>
    <w:p w:rsidR="003C4969" w:rsidRPr="00DC6570" w:rsidRDefault="003C4969" w:rsidP="00DB2973">
      <w:pPr>
        <w:pStyle w:val="FSBullet"/>
      </w:pPr>
      <w:r w:rsidRPr="00DC6570">
        <w:t>the protection of public health and safety;</w:t>
      </w:r>
      <w:r w:rsidR="0000469B">
        <w:t xml:space="preserve"> and</w:t>
      </w:r>
    </w:p>
    <w:p w:rsidR="003C4969" w:rsidRPr="00DC6570" w:rsidRDefault="003C4969" w:rsidP="006A48A7"/>
    <w:p w:rsidR="003C4969" w:rsidRPr="00DC6570" w:rsidRDefault="003C4969" w:rsidP="00DB2973">
      <w:pPr>
        <w:pStyle w:val="FSBullet"/>
      </w:pPr>
      <w:r w:rsidRPr="00DC6570">
        <w:t>the provision of adequate information relating to food to enable consumers to make informed choices; and</w:t>
      </w:r>
    </w:p>
    <w:p w:rsidR="003C4969" w:rsidRPr="00DC6570" w:rsidRDefault="003C4969" w:rsidP="006A48A7"/>
    <w:p w:rsidR="003C4969" w:rsidRPr="00DC6570" w:rsidRDefault="003C4969" w:rsidP="00DB2973">
      <w:pPr>
        <w:pStyle w:val="FSBullet"/>
      </w:pPr>
      <w:r w:rsidRPr="00DC6570">
        <w:t>the prevention of misleading or deceptive conduct.</w:t>
      </w:r>
    </w:p>
    <w:p w:rsidR="003C4969" w:rsidRPr="00DC6570" w:rsidRDefault="003C4969">
      <w:pPr>
        <w:rPr>
          <w:rFonts w:cs="Arial"/>
        </w:rPr>
      </w:pPr>
    </w:p>
    <w:p w:rsidR="003C4969" w:rsidRPr="00DC6570" w:rsidRDefault="003C4969">
      <w:pPr>
        <w:rPr>
          <w:rFonts w:cs="Arial"/>
        </w:rPr>
      </w:pPr>
      <w:r w:rsidRPr="00DC6570">
        <w:rPr>
          <w:rFonts w:cs="Arial"/>
        </w:rPr>
        <w:t>In developing and varying standards, FSANZ must also have regard to:</w:t>
      </w:r>
    </w:p>
    <w:p w:rsidR="003C4969" w:rsidRPr="00DC6570" w:rsidRDefault="003C4969">
      <w:pPr>
        <w:rPr>
          <w:rFonts w:cs="Arial"/>
        </w:rPr>
      </w:pPr>
    </w:p>
    <w:p w:rsidR="003C4969" w:rsidRPr="00DC6570" w:rsidRDefault="003C4969" w:rsidP="00DB2973">
      <w:pPr>
        <w:pStyle w:val="FSBullet"/>
      </w:pPr>
      <w:r w:rsidRPr="00DC6570">
        <w:t>the need for standards to be based on risk analysis using the best available scientific evidence;</w:t>
      </w:r>
    </w:p>
    <w:p w:rsidR="003C4969" w:rsidRPr="00DC6570" w:rsidRDefault="003C4969" w:rsidP="006A48A7"/>
    <w:p w:rsidR="003C4969" w:rsidRPr="00DC6570" w:rsidRDefault="003C4969" w:rsidP="00DB2973">
      <w:pPr>
        <w:pStyle w:val="FSBullet"/>
      </w:pPr>
      <w:r w:rsidRPr="00DC6570">
        <w:t>the promotion of consistency between domestic and international food standards;</w:t>
      </w:r>
    </w:p>
    <w:p w:rsidR="003C4969" w:rsidRPr="00DC6570" w:rsidRDefault="003C4969" w:rsidP="006A48A7"/>
    <w:p w:rsidR="003C4969" w:rsidRPr="00D60568" w:rsidRDefault="003C4969" w:rsidP="00DB2973">
      <w:pPr>
        <w:pStyle w:val="FSBullet"/>
      </w:pPr>
      <w:r w:rsidRPr="00DC6570">
        <w:t>the desirabil</w:t>
      </w:r>
      <w:r w:rsidRPr="00D60568">
        <w:t>ity of an efficient and internationally competitive food industry;</w:t>
      </w:r>
    </w:p>
    <w:p w:rsidR="003C4969" w:rsidRPr="00DC6570" w:rsidRDefault="003C4969" w:rsidP="006A48A7"/>
    <w:p w:rsidR="003C4969" w:rsidRPr="00DC6570" w:rsidRDefault="003C4969" w:rsidP="00DB2973">
      <w:pPr>
        <w:pStyle w:val="FSBullet"/>
      </w:pPr>
      <w:r w:rsidRPr="00DC6570">
        <w:t>the promotion of fair trading in food; and</w:t>
      </w:r>
    </w:p>
    <w:p w:rsidR="003C4969" w:rsidRPr="00DC6570" w:rsidRDefault="003C4969" w:rsidP="006A48A7"/>
    <w:p w:rsidR="003C4969" w:rsidRPr="00DC6570" w:rsidRDefault="003C4969" w:rsidP="00DB2973">
      <w:pPr>
        <w:pStyle w:val="FSBullet"/>
      </w:pPr>
      <w:r w:rsidRPr="00DC6570">
        <w:t>any written policy guidelines formulated by the Ministerial Council.</w:t>
      </w:r>
    </w:p>
    <w:p w:rsidR="00D51A95" w:rsidRDefault="00D51A95" w:rsidP="00D51A95">
      <w:pPr>
        <w:rPr>
          <w:rFonts w:cs="Arial"/>
        </w:rPr>
      </w:pPr>
    </w:p>
    <w:p w:rsidR="0096770B" w:rsidRPr="00DC6570" w:rsidRDefault="0096770B" w:rsidP="0096770B">
      <w:pPr>
        <w:pStyle w:val="Heading2"/>
        <w:rPr>
          <w:rFonts w:cs="Arial"/>
        </w:rPr>
      </w:pPr>
      <w:bookmarkStart w:id="50" w:name="_Toc290905596"/>
      <w:bookmarkStart w:id="51" w:name="_Toc298406744"/>
      <w:r>
        <w:rPr>
          <w:rFonts w:cs="Arial"/>
        </w:rPr>
        <w:t>4</w:t>
      </w:r>
      <w:r w:rsidRPr="00DC6570">
        <w:rPr>
          <w:rFonts w:cs="Arial"/>
        </w:rPr>
        <w:t>.</w:t>
      </w:r>
      <w:r w:rsidRPr="00DC6570">
        <w:rPr>
          <w:rFonts w:cs="Arial"/>
        </w:rPr>
        <w:tab/>
      </w:r>
      <w:r>
        <w:rPr>
          <w:rFonts w:cs="Arial"/>
        </w:rPr>
        <w:t>Risk Assessment</w:t>
      </w:r>
      <w:bookmarkEnd w:id="50"/>
      <w:bookmarkEnd w:id="51"/>
    </w:p>
    <w:p w:rsidR="0096770B" w:rsidRDefault="0096770B" w:rsidP="0096770B"/>
    <w:p w:rsidR="0096770B" w:rsidRDefault="0096770B" w:rsidP="0096770B">
      <w:r w:rsidRPr="006D355A" w:rsidDel="00E54443">
        <w:t xml:space="preserve">A risk assessment </w:t>
      </w:r>
      <w:r w:rsidR="002F485F">
        <w:t>was</w:t>
      </w:r>
      <w:r w:rsidR="002F485F" w:rsidRPr="006D355A" w:rsidDel="00E54443">
        <w:t xml:space="preserve"> </w:t>
      </w:r>
      <w:r w:rsidRPr="006D355A" w:rsidDel="00E54443">
        <w:t xml:space="preserve">not </w:t>
      </w:r>
      <w:r w:rsidR="00FC33BA">
        <w:t>conducted</w:t>
      </w:r>
      <w:r w:rsidR="00FC33BA" w:rsidDel="00E54443">
        <w:t xml:space="preserve"> </w:t>
      </w:r>
      <w:r w:rsidDel="00E54443">
        <w:t>on the basis that there are</w:t>
      </w:r>
      <w:r w:rsidRPr="006D355A" w:rsidDel="00E54443">
        <w:t xml:space="preserve"> no </w:t>
      </w:r>
      <w:r w:rsidDel="00E54443">
        <w:t xml:space="preserve">public health and safety risks related to this Application. </w:t>
      </w:r>
      <w:r w:rsidDel="00D934CB">
        <w:t>The main</w:t>
      </w:r>
      <w:r w:rsidRPr="00D560B2" w:rsidDel="00D934CB">
        <w:t xml:space="preserve"> </w:t>
      </w:r>
      <w:r w:rsidDel="00D934CB">
        <w:t>considerations</w:t>
      </w:r>
      <w:r w:rsidRPr="00D560B2" w:rsidDel="00D934CB">
        <w:t xml:space="preserve"> relevant to this Application are </w:t>
      </w:r>
      <w:r w:rsidDel="00D934CB">
        <w:t xml:space="preserve">the promotion of consistency between domestic and international food standards, and the desirability of an efficient and internationally competitive food industry. In considering this Application, FSANZ </w:t>
      </w:r>
      <w:r>
        <w:t>has</w:t>
      </w:r>
      <w:r w:rsidDel="00D934CB">
        <w:t xml:space="preserve"> </w:t>
      </w:r>
      <w:r>
        <w:t xml:space="preserve">therefore </w:t>
      </w:r>
      <w:r w:rsidDel="00D934CB">
        <w:t>give</w:t>
      </w:r>
      <w:r>
        <w:t>n</w:t>
      </w:r>
      <w:r w:rsidDel="00D934CB">
        <w:t xml:space="preserve"> regard to the international obligations under the Australia – EU Wine Agreement.</w:t>
      </w:r>
    </w:p>
    <w:p w:rsidR="0096770B" w:rsidRPr="00DC6570" w:rsidRDefault="0096770B" w:rsidP="00D51A95">
      <w:pPr>
        <w:rPr>
          <w:rFonts w:cs="Arial"/>
        </w:rPr>
      </w:pPr>
    </w:p>
    <w:p w:rsidR="00ED0401" w:rsidRDefault="009216D1" w:rsidP="009216D1">
      <w:pPr>
        <w:pStyle w:val="Heading2"/>
      </w:pPr>
      <w:bookmarkStart w:id="52" w:name="_Toc298406745"/>
      <w:bookmarkStart w:id="53" w:name="_Toc290905597"/>
      <w:bookmarkStart w:id="54" w:name="_Toc11735636"/>
      <w:bookmarkStart w:id="55" w:name="_Toc29883121"/>
      <w:bookmarkStart w:id="56" w:name="_Toc41906808"/>
      <w:bookmarkStart w:id="57" w:name="_Toc41907555"/>
      <w:bookmarkStart w:id="58" w:name="_Toc120358586"/>
      <w:r>
        <w:t>5</w:t>
      </w:r>
      <w:r w:rsidRPr="00982A68">
        <w:t>.</w:t>
      </w:r>
      <w:r w:rsidRPr="00982A68">
        <w:tab/>
      </w:r>
      <w:r w:rsidR="00ED0401">
        <w:t xml:space="preserve">Labelling of </w:t>
      </w:r>
      <w:r w:rsidR="007970A0">
        <w:t>Wine</w:t>
      </w:r>
      <w:bookmarkEnd w:id="52"/>
    </w:p>
    <w:p w:rsidR="00ED0401" w:rsidRDefault="00ED0401" w:rsidP="00ED0401"/>
    <w:p w:rsidR="00ED0401" w:rsidRPr="005A5E6B" w:rsidRDefault="00ED0401" w:rsidP="00ED0401">
      <w:r w:rsidRPr="005A5E6B">
        <w:t>Standard 2.7.1</w:t>
      </w:r>
      <w:r>
        <w:t xml:space="preserve"> </w:t>
      </w:r>
      <w:r w:rsidR="00A570BC">
        <w:t xml:space="preserve">provides labelling requirements for all alcoholic beverages, </w:t>
      </w:r>
      <w:r w:rsidR="0076689A">
        <w:t>including</w:t>
      </w:r>
      <w:r w:rsidR="00A570BC">
        <w:t xml:space="preserve"> wine. In accordance with this Standard</w:t>
      </w:r>
      <w:r w:rsidR="00647ECE">
        <w:t xml:space="preserve">, the label on </w:t>
      </w:r>
      <w:r w:rsidRPr="005A5E6B">
        <w:t>alcoholic beverage</w:t>
      </w:r>
      <w:r w:rsidR="00647ECE">
        <w:t>s</w:t>
      </w:r>
      <w:r w:rsidR="005F1FF6">
        <w:t xml:space="preserve"> (e.g. wine) </w:t>
      </w:r>
      <w:r w:rsidRPr="005A5E6B">
        <w:t>con</w:t>
      </w:r>
      <w:r w:rsidR="00A570BC">
        <w:t xml:space="preserve">taining more than 1.15% alc/vol </w:t>
      </w:r>
      <w:r w:rsidRPr="005A5E6B">
        <w:t>must include a st</w:t>
      </w:r>
      <w:r w:rsidR="0076689A">
        <w:t>atement of the alcohol content</w:t>
      </w:r>
      <w:r w:rsidR="007970A0">
        <w:t>, for example</w:t>
      </w:r>
      <w:r w:rsidR="0076689A">
        <w:t xml:space="preserve"> ‘x% alcohol/volume’.</w:t>
      </w:r>
      <w:r w:rsidR="00F12ECD">
        <w:t xml:space="preserve"> In addition, alcoholic beverages which contain more than 0.5% alc/vol must include a statement of the approximate number of standard drinks. </w:t>
      </w:r>
      <w:r w:rsidR="007970A0">
        <w:t>T</w:t>
      </w:r>
      <w:r w:rsidR="005F1FF6">
        <w:t>h</w:t>
      </w:r>
      <w:r w:rsidR="00F12ECD">
        <w:t>e</w:t>
      </w:r>
      <w:r w:rsidR="005F1FF6">
        <w:t>s</w:t>
      </w:r>
      <w:r w:rsidR="00F12ECD">
        <w:t>e</w:t>
      </w:r>
      <w:r w:rsidR="005F1FF6">
        <w:t xml:space="preserve"> </w:t>
      </w:r>
      <w:r w:rsidR="001A1E49">
        <w:t>l</w:t>
      </w:r>
      <w:r w:rsidR="005F1FF6">
        <w:t>abelling requirement</w:t>
      </w:r>
      <w:r w:rsidR="00F12ECD">
        <w:t>s</w:t>
      </w:r>
      <w:r w:rsidR="005F1FF6">
        <w:t xml:space="preserve"> </w:t>
      </w:r>
      <w:r w:rsidR="001A1E49">
        <w:t xml:space="preserve">will continue to </w:t>
      </w:r>
      <w:r w:rsidR="001B447A">
        <w:t xml:space="preserve">apply to </w:t>
      </w:r>
      <w:r w:rsidR="005F1FF6">
        <w:t>Australian produced wines</w:t>
      </w:r>
      <w:r w:rsidR="001A1E49">
        <w:t xml:space="preserve"> with </w:t>
      </w:r>
      <w:r w:rsidR="00F67033">
        <w:t>a</w:t>
      </w:r>
      <w:r w:rsidR="001A1E49">
        <w:t xml:space="preserve"> proposed minimum alcohol content of</w:t>
      </w:r>
      <w:r w:rsidR="00AB7C29">
        <w:t xml:space="preserve"> 4.5% alc/vol</w:t>
      </w:r>
      <w:r w:rsidR="005F1FF6">
        <w:t xml:space="preserve">. </w:t>
      </w:r>
      <w:r w:rsidRPr="005A5E6B">
        <w:t xml:space="preserve">FSANZ </w:t>
      </w:r>
      <w:r w:rsidR="00F12ECD">
        <w:t xml:space="preserve">therefore </w:t>
      </w:r>
      <w:r w:rsidRPr="005A5E6B">
        <w:t xml:space="preserve">considers that </w:t>
      </w:r>
      <w:r w:rsidR="00F12ECD">
        <w:t>the current labelling requirements will continue to provide consumers with adequate information to make informed decisions when purchasing wine</w:t>
      </w:r>
      <w:r w:rsidR="00F75F6B">
        <w:t>s</w:t>
      </w:r>
      <w:r w:rsidR="001860A1">
        <w:t>,</w:t>
      </w:r>
      <w:r w:rsidR="00F12ECD">
        <w:t xml:space="preserve"> and prevent misleading and deceptive conduct.</w:t>
      </w:r>
    </w:p>
    <w:p w:rsidR="000D20F6" w:rsidRDefault="000D20F6" w:rsidP="00ED0401">
      <w:r>
        <w:br w:type="page"/>
      </w:r>
    </w:p>
    <w:p w:rsidR="009216D1" w:rsidRPr="00ED0401" w:rsidRDefault="00ED0401" w:rsidP="00ED0401">
      <w:pPr>
        <w:pStyle w:val="Heading2"/>
      </w:pPr>
      <w:bookmarkStart w:id="59" w:name="_Toc298406746"/>
      <w:r w:rsidRPr="00ED0401">
        <w:lastRenderedPageBreak/>
        <w:t xml:space="preserve">6. </w:t>
      </w:r>
      <w:r>
        <w:tab/>
      </w:r>
      <w:r w:rsidR="009216D1" w:rsidRPr="00ED0401">
        <w:t>Options</w:t>
      </w:r>
      <w:bookmarkEnd w:id="53"/>
      <w:bookmarkEnd w:id="59"/>
      <w:r w:rsidR="009216D1" w:rsidRPr="00ED0401">
        <w:t xml:space="preserve"> </w:t>
      </w:r>
    </w:p>
    <w:p w:rsidR="009216D1" w:rsidRPr="00982A68" w:rsidRDefault="009216D1" w:rsidP="009216D1">
      <w:pPr>
        <w:rPr>
          <w:rFonts w:cs="Arial"/>
        </w:rPr>
      </w:pPr>
    </w:p>
    <w:p w:rsidR="009216D1" w:rsidRPr="00932971" w:rsidRDefault="009216D1" w:rsidP="009216D1">
      <w:pPr>
        <w:pStyle w:val="Header"/>
      </w:pPr>
      <w:r w:rsidRPr="00AE3470">
        <w:rPr>
          <w:rFonts w:cs="Arial"/>
        </w:rPr>
        <w:t xml:space="preserve">FSANZ </w:t>
      </w:r>
      <w:r>
        <w:rPr>
          <w:rFonts w:cs="Arial"/>
        </w:rPr>
        <w:t xml:space="preserve">is required to </w:t>
      </w:r>
      <w:r w:rsidRPr="00AE3470">
        <w:rPr>
          <w:rFonts w:cs="Arial"/>
        </w:rPr>
        <w:t>consider the impact of various regulatory (and non-regulatory) options on all sectors of the community, which includes consumers, food industr</w:t>
      </w:r>
      <w:r>
        <w:rPr>
          <w:rFonts w:cs="Arial"/>
        </w:rPr>
        <w:t>ies and</w:t>
      </w:r>
      <w:r w:rsidRPr="00AE3470">
        <w:rPr>
          <w:rFonts w:cs="Arial"/>
        </w:rPr>
        <w:t xml:space="preserve"> government</w:t>
      </w:r>
      <w:r>
        <w:rPr>
          <w:rFonts w:cs="Arial"/>
        </w:rPr>
        <w:t xml:space="preserve">. </w:t>
      </w:r>
      <w:r w:rsidRPr="00932971">
        <w:t xml:space="preserve">The benefits and costs associated with the proposed amendment to the Code have been </w:t>
      </w:r>
      <w:r>
        <w:t>assessed</w:t>
      </w:r>
      <w:r w:rsidRPr="00932971">
        <w:t xml:space="preserve"> using regulatory impact </w:t>
      </w:r>
      <w:r>
        <w:t xml:space="preserve">analysis </w:t>
      </w:r>
      <w:r w:rsidRPr="00932971">
        <w:t>principles.</w:t>
      </w:r>
    </w:p>
    <w:p w:rsidR="009216D1" w:rsidRDefault="009216D1" w:rsidP="009216D1">
      <w:pPr>
        <w:rPr>
          <w:rFonts w:cs="Arial"/>
        </w:rPr>
      </w:pPr>
    </w:p>
    <w:p w:rsidR="009216D1" w:rsidRDefault="009216D1" w:rsidP="009216D1">
      <w:pPr>
        <w:pStyle w:val="Header"/>
        <w:rPr>
          <w:lang w:val="en-AU"/>
        </w:rPr>
      </w:pPr>
      <w:r>
        <w:rPr>
          <w:lang w:val="en-AU"/>
        </w:rPr>
        <w:t xml:space="preserve">As this assessment considered an application from industry to amend a regulatory Standard that already exists, </w:t>
      </w:r>
      <w:r w:rsidR="00B24394">
        <w:rPr>
          <w:lang w:val="en-AU"/>
        </w:rPr>
        <w:t>it was</w:t>
      </w:r>
      <w:r>
        <w:rPr>
          <w:lang w:val="en-AU"/>
        </w:rPr>
        <w:t xml:space="preserve"> not appropriate to consider a third, non-regulatory option.</w:t>
      </w:r>
    </w:p>
    <w:p w:rsidR="003F785F" w:rsidRDefault="003F785F">
      <w:pPr>
        <w:widowControl/>
      </w:pPr>
    </w:p>
    <w:p w:rsidR="009216D1" w:rsidRPr="00BD0FDC" w:rsidRDefault="00B24394" w:rsidP="009216D1">
      <w:pPr>
        <w:rPr>
          <w:lang w:val="en-AU"/>
        </w:rPr>
      </w:pPr>
      <w:r>
        <w:t>T</w:t>
      </w:r>
      <w:r w:rsidR="009216D1" w:rsidRPr="00D560B2">
        <w:t>wo regulatory options</w:t>
      </w:r>
      <w:r>
        <w:t xml:space="preserve"> have been identified</w:t>
      </w:r>
      <w:r w:rsidR="009216D1" w:rsidRPr="00D560B2">
        <w:t xml:space="preserve"> for </w:t>
      </w:r>
      <w:r w:rsidR="009216D1">
        <w:t>this Application</w:t>
      </w:r>
      <w:r w:rsidR="009216D1" w:rsidRPr="00D560B2">
        <w:t xml:space="preserve">: </w:t>
      </w:r>
    </w:p>
    <w:p w:rsidR="009216D1" w:rsidRDefault="009216D1" w:rsidP="009216D1">
      <w:pPr>
        <w:rPr>
          <w:rFonts w:cs="Arial"/>
          <w:b/>
        </w:rPr>
      </w:pPr>
    </w:p>
    <w:p w:rsidR="009216D1" w:rsidRPr="00047BE3" w:rsidRDefault="009216D1" w:rsidP="009216D1">
      <w:r w:rsidRPr="00047BE3">
        <w:rPr>
          <w:b/>
        </w:rPr>
        <w:t>Option 1</w:t>
      </w:r>
      <w:r>
        <w:tab/>
      </w:r>
      <w:r w:rsidRPr="00047BE3">
        <w:t xml:space="preserve">Reject </w:t>
      </w:r>
      <w:r w:rsidR="00EE56D6">
        <w:t>the</w:t>
      </w:r>
      <w:r w:rsidRPr="00047BE3">
        <w:t xml:space="preserve"> </w:t>
      </w:r>
      <w:r w:rsidR="00510551">
        <w:t>draft variation</w:t>
      </w:r>
      <w:r w:rsidRPr="00047BE3">
        <w:t>, thus maintaining the status quo</w:t>
      </w:r>
      <w:r>
        <w:t>.</w:t>
      </w:r>
      <w:r w:rsidRPr="00047BE3">
        <w:t xml:space="preserve"> </w:t>
      </w:r>
    </w:p>
    <w:p w:rsidR="009216D1" w:rsidRPr="00370415" w:rsidRDefault="009216D1" w:rsidP="009216D1">
      <w:pPr>
        <w:rPr>
          <w:rFonts w:cs="Arial"/>
        </w:rPr>
      </w:pPr>
    </w:p>
    <w:p w:rsidR="009216D1" w:rsidRDefault="009216D1" w:rsidP="009216D1">
      <w:r>
        <w:t xml:space="preserve">Under this option, the </w:t>
      </w:r>
      <w:r w:rsidRPr="00A622B5">
        <w:rPr>
          <w:iCs/>
        </w:rPr>
        <w:t>status quo</w:t>
      </w:r>
      <w:r>
        <w:t xml:space="preserve"> would be maintained and there would be no change to the existing Standard 4.5.1. This option would see the rejection of the </w:t>
      </w:r>
      <w:r w:rsidR="00510551">
        <w:t>draft variation</w:t>
      </w:r>
      <w:r>
        <w:t>.</w:t>
      </w:r>
    </w:p>
    <w:p w:rsidR="009216D1" w:rsidRDefault="009216D1" w:rsidP="009216D1"/>
    <w:p w:rsidR="009216D1" w:rsidRPr="00047BE3" w:rsidRDefault="009216D1" w:rsidP="009216D1">
      <w:r>
        <w:rPr>
          <w:b/>
        </w:rPr>
        <w:t>Option 2</w:t>
      </w:r>
      <w:r w:rsidRPr="00083CF7">
        <w:tab/>
      </w:r>
      <w:r w:rsidR="00822D89">
        <w:t xml:space="preserve">Approve </w:t>
      </w:r>
      <w:r w:rsidR="00EE56D6">
        <w:t>the</w:t>
      </w:r>
      <w:r w:rsidRPr="00047BE3">
        <w:t xml:space="preserve"> draft variation to Standard 4.5.1 </w:t>
      </w:r>
    </w:p>
    <w:p w:rsidR="009216D1" w:rsidRDefault="009216D1" w:rsidP="009216D1">
      <w:pPr>
        <w:rPr>
          <w:rFonts w:cs="Arial"/>
        </w:rPr>
      </w:pPr>
    </w:p>
    <w:p w:rsidR="009216D1" w:rsidRDefault="009216D1" w:rsidP="009216D1">
      <w:r>
        <w:t>Under this option, Standard 4.5.1 would be amended so that the minimum alcohol content for wine and sparkling wine would reduce from 80 mL/L to 45 mL/L of ethanol at 20</w:t>
      </w:r>
      <w:r>
        <w:sym w:font="Symbol" w:char="F0B0"/>
      </w:r>
      <w:r>
        <w:t>C.</w:t>
      </w:r>
    </w:p>
    <w:bookmarkEnd w:id="54"/>
    <w:bookmarkEnd w:id="55"/>
    <w:bookmarkEnd w:id="56"/>
    <w:bookmarkEnd w:id="57"/>
    <w:bookmarkEnd w:id="58"/>
    <w:p w:rsidR="003C4969" w:rsidRPr="00DC6570" w:rsidRDefault="003C4969">
      <w:pPr>
        <w:pStyle w:val="Header"/>
        <w:rPr>
          <w:rFonts w:cs="Arial"/>
          <w:lang w:val="en-AU"/>
        </w:rPr>
      </w:pPr>
    </w:p>
    <w:p w:rsidR="009216D1" w:rsidRPr="00DC6570" w:rsidRDefault="00F94A5D" w:rsidP="009216D1">
      <w:pPr>
        <w:pStyle w:val="Heading2"/>
      </w:pPr>
      <w:bookmarkStart w:id="60" w:name="_Toc290905598"/>
      <w:bookmarkStart w:id="61" w:name="_Toc298406747"/>
      <w:bookmarkStart w:id="62" w:name="_Toc11735637"/>
      <w:bookmarkStart w:id="63" w:name="_Toc29883122"/>
      <w:bookmarkStart w:id="64" w:name="_Toc41906809"/>
      <w:bookmarkStart w:id="65" w:name="_Toc41907556"/>
      <w:bookmarkStart w:id="66" w:name="_Toc120358587"/>
      <w:r>
        <w:t>7</w:t>
      </w:r>
      <w:r w:rsidR="009216D1">
        <w:t>.</w:t>
      </w:r>
      <w:r w:rsidR="009216D1" w:rsidRPr="00DC6570">
        <w:tab/>
        <w:t>Impact Analysis</w:t>
      </w:r>
      <w:r w:rsidR="009216D1">
        <w:t xml:space="preserve"> (RIS ID: 11677</w:t>
      </w:r>
      <w:r w:rsidR="009216D1" w:rsidRPr="00DC6570">
        <w:t>)</w:t>
      </w:r>
      <w:bookmarkEnd w:id="60"/>
      <w:bookmarkEnd w:id="61"/>
    </w:p>
    <w:p w:rsidR="009216D1" w:rsidRDefault="009216D1" w:rsidP="009216D1"/>
    <w:p w:rsidR="009216D1" w:rsidRDefault="009216D1" w:rsidP="009216D1">
      <w:r>
        <w:t xml:space="preserve">The Office of Best Practice Regulation (OBPR) has advised FSANZ that the proposed amendment is likely to have a minor impact on business and therefore does not require a Regulation Impact Statement (RIS). </w:t>
      </w:r>
    </w:p>
    <w:p w:rsidR="009216D1" w:rsidRPr="00982A68" w:rsidRDefault="009216D1" w:rsidP="009216D1"/>
    <w:p w:rsidR="009216D1" w:rsidRPr="00DC6570" w:rsidRDefault="00F94A5D" w:rsidP="009216D1">
      <w:pPr>
        <w:pStyle w:val="Heading3"/>
      </w:pPr>
      <w:bookmarkStart w:id="67" w:name="_Toc290905599"/>
      <w:bookmarkStart w:id="68" w:name="_Toc298406748"/>
      <w:r>
        <w:t>7</w:t>
      </w:r>
      <w:r w:rsidR="009216D1">
        <w:t>.1</w:t>
      </w:r>
      <w:r w:rsidR="009216D1" w:rsidRPr="00DC6570">
        <w:tab/>
        <w:t>Affected Parties</w:t>
      </w:r>
      <w:bookmarkEnd w:id="67"/>
      <w:bookmarkEnd w:id="68"/>
    </w:p>
    <w:p w:rsidR="009216D1" w:rsidRDefault="009216D1" w:rsidP="009216D1">
      <w:pPr>
        <w:rPr>
          <w:rFonts w:cs="Arial"/>
        </w:rPr>
      </w:pPr>
    </w:p>
    <w:p w:rsidR="009216D1" w:rsidRDefault="009216D1" w:rsidP="009216D1">
      <w:r>
        <w:t>The proposed amendment to the minimum alcohol content in Standard 4.5.1 only applies to the production of wine in Australia. Wines produced in New Zealand and wines imported into Australia or New Zealand are not affected by the proposed change. Therefore the parties potentially affected by the regulatory options outlined above include:</w:t>
      </w:r>
    </w:p>
    <w:p w:rsidR="009216D1" w:rsidRDefault="009216D1" w:rsidP="009216D1"/>
    <w:p w:rsidR="009216D1" w:rsidRDefault="009216D1" w:rsidP="009216D1">
      <w:pPr>
        <w:pStyle w:val="FSBullet"/>
      </w:pPr>
      <w:r>
        <w:t>Australian wine industry</w:t>
      </w:r>
    </w:p>
    <w:p w:rsidR="009216D1" w:rsidRDefault="009216D1" w:rsidP="009216D1">
      <w:pPr>
        <w:ind w:left="567"/>
      </w:pPr>
    </w:p>
    <w:p w:rsidR="009216D1" w:rsidRDefault="009216D1" w:rsidP="009216D1">
      <w:pPr>
        <w:pStyle w:val="FSBullet"/>
      </w:pPr>
      <w:r>
        <w:t>Consumers of Australian wine</w:t>
      </w:r>
    </w:p>
    <w:p w:rsidR="009216D1" w:rsidRDefault="009216D1" w:rsidP="009216D1">
      <w:pPr>
        <w:pStyle w:val="FSBullet"/>
        <w:numPr>
          <w:ilvl w:val="0"/>
          <w:numId w:val="0"/>
        </w:numPr>
        <w:ind w:left="567"/>
      </w:pPr>
    </w:p>
    <w:p w:rsidR="009216D1" w:rsidRDefault="009216D1" w:rsidP="009216D1">
      <w:pPr>
        <w:pStyle w:val="FSBullet"/>
      </w:pPr>
      <w:r>
        <w:t>Australian Government, State and Territory enforcement agencies.</w:t>
      </w:r>
    </w:p>
    <w:p w:rsidR="001860A1" w:rsidRDefault="001860A1">
      <w:pPr>
        <w:widowControl/>
        <w:rPr>
          <w:rFonts w:ascii="Arial Bold" w:hAnsi="Arial Bold" w:cs="Arial Unicode MS"/>
          <w:b/>
          <w:bCs/>
          <w:szCs w:val="26"/>
        </w:rPr>
      </w:pPr>
      <w:bookmarkStart w:id="69" w:name="_Toc290905600"/>
    </w:p>
    <w:p w:rsidR="009216D1" w:rsidRPr="001B43BE" w:rsidRDefault="00F94A5D" w:rsidP="009216D1">
      <w:pPr>
        <w:pStyle w:val="Heading3"/>
      </w:pPr>
      <w:bookmarkStart w:id="70" w:name="_Toc298406749"/>
      <w:r>
        <w:t>7</w:t>
      </w:r>
      <w:r w:rsidR="009216D1" w:rsidRPr="001B43BE">
        <w:t>.2</w:t>
      </w:r>
      <w:r w:rsidR="009216D1" w:rsidRPr="001B43BE">
        <w:tab/>
        <w:t>Benefit Cost Analysis</w:t>
      </w:r>
      <w:bookmarkEnd w:id="69"/>
      <w:bookmarkEnd w:id="70"/>
    </w:p>
    <w:p w:rsidR="009216D1" w:rsidRDefault="009216D1" w:rsidP="009216D1"/>
    <w:p w:rsidR="009216D1" w:rsidRDefault="00F94A5D" w:rsidP="009216D1">
      <w:pPr>
        <w:pStyle w:val="Heading4"/>
      </w:pPr>
      <w:r>
        <w:t>7</w:t>
      </w:r>
      <w:r w:rsidR="009216D1">
        <w:t xml:space="preserve">.2.1 </w:t>
      </w:r>
      <w:r w:rsidR="009216D1">
        <w:tab/>
        <w:t xml:space="preserve">Option 1 – Reject the </w:t>
      </w:r>
      <w:r w:rsidR="00822D89">
        <w:t>draft variation</w:t>
      </w:r>
    </w:p>
    <w:p w:rsidR="009216D1" w:rsidRDefault="009216D1" w:rsidP="009216D1"/>
    <w:p w:rsidR="009216D1" w:rsidRDefault="009216D1" w:rsidP="009216D1">
      <w:r>
        <w:t>Maintaining the status quo could result in the following costs and benefits to the affected parties.</w:t>
      </w:r>
    </w:p>
    <w:p w:rsidR="009216D1" w:rsidRDefault="009216D1" w:rsidP="009216D1">
      <w:pPr>
        <w:widowControl/>
        <w:rPr>
          <w:bCs/>
          <w:iCs/>
          <w:szCs w:val="26"/>
          <w:u w:val="single"/>
        </w:rPr>
      </w:pPr>
    </w:p>
    <w:p w:rsidR="009216D1" w:rsidRDefault="00F94A5D" w:rsidP="009216D1">
      <w:pPr>
        <w:pStyle w:val="Heading5"/>
      </w:pPr>
      <w:r>
        <w:t>7</w:t>
      </w:r>
      <w:r w:rsidR="009216D1">
        <w:t>.2.1.</w:t>
      </w:r>
      <w:r w:rsidR="009216D1" w:rsidRPr="0078688E">
        <w:t>1</w:t>
      </w:r>
      <w:r w:rsidR="009216D1">
        <w:tab/>
      </w:r>
      <w:r w:rsidR="009216D1" w:rsidRPr="0078688E">
        <w:t>Industry</w:t>
      </w:r>
    </w:p>
    <w:p w:rsidR="009216D1" w:rsidRDefault="009216D1" w:rsidP="009216D1">
      <w:pPr>
        <w:rPr>
          <w:u w:val="single"/>
        </w:rPr>
      </w:pPr>
    </w:p>
    <w:p w:rsidR="000E4F31" w:rsidRDefault="009216D1" w:rsidP="000E4F31">
      <w:pPr>
        <w:pStyle w:val="FSBullet"/>
      </w:pPr>
      <w:r>
        <w:t xml:space="preserve">This option does not address the current regulatory disadvantage where Australian produced wine must conform to a minimum alcohol content of 8% alc/vol, whereas, there is no minimum alcohol content specified in the Code for imported wine. </w:t>
      </w:r>
    </w:p>
    <w:p w:rsidR="000D20F6" w:rsidRDefault="000D20F6" w:rsidP="000E4F31">
      <w:r>
        <w:br w:type="page"/>
      </w:r>
    </w:p>
    <w:p w:rsidR="009216D1" w:rsidRDefault="009216D1" w:rsidP="009216D1">
      <w:pPr>
        <w:pStyle w:val="FSBullet"/>
        <w:ind w:right="-472"/>
      </w:pPr>
      <w:r>
        <w:lastRenderedPageBreak/>
        <w:t xml:space="preserve">The status quo may </w:t>
      </w:r>
      <w:r w:rsidRPr="00EE7939">
        <w:t>be</w:t>
      </w:r>
      <w:r>
        <w:t xml:space="preserve"> seen as a disincentive for the Australian wine industry to make innovations with respect to</w:t>
      </w:r>
      <w:r w:rsidR="00B66485">
        <w:t xml:space="preserve"> </w:t>
      </w:r>
      <w:r>
        <w:t>low alcohol wines</w:t>
      </w:r>
      <w:r w:rsidR="007C35F6">
        <w:t xml:space="preserve"> </w:t>
      </w:r>
      <w:r w:rsidR="00420F2E">
        <w:t>without permission to label them</w:t>
      </w:r>
      <w:r w:rsidR="008005C8">
        <w:t xml:space="preserve"> </w:t>
      </w:r>
      <w:r w:rsidR="007C35F6">
        <w:t>as ‘wine’</w:t>
      </w:r>
      <w:r w:rsidR="00B66485">
        <w:t xml:space="preserve"> in Australia or in the EU</w:t>
      </w:r>
      <w:r>
        <w:t>. This may be regarded as a cost to the Australian wine industry in terms of a more limited product range and market opportunities</w:t>
      </w:r>
      <w:r w:rsidR="00B66485">
        <w:t>.</w:t>
      </w:r>
      <w:r>
        <w:t xml:space="preserve"> </w:t>
      </w:r>
    </w:p>
    <w:p w:rsidR="003F785F" w:rsidRDefault="003F785F">
      <w:pPr>
        <w:widowControl/>
        <w:rPr>
          <w:bCs/>
          <w:iCs/>
          <w:szCs w:val="26"/>
          <w:u w:val="single"/>
        </w:rPr>
      </w:pPr>
    </w:p>
    <w:p w:rsidR="009216D1" w:rsidRPr="0086488C" w:rsidRDefault="00F94A5D" w:rsidP="009216D1">
      <w:pPr>
        <w:pStyle w:val="Heading5"/>
      </w:pPr>
      <w:r>
        <w:t>7</w:t>
      </w:r>
      <w:r w:rsidR="009216D1">
        <w:t xml:space="preserve">.2.1.2 </w:t>
      </w:r>
      <w:r w:rsidR="009216D1">
        <w:tab/>
      </w:r>
      <w:r w:rsidR="009216D1" w:rsidRPr="0086488C">
        <w:t>Consumers</w:t>
      </w:r>
    </w:p>
    <w:p w:rsidR="009216D1" w:rsidRDefault="009216D1" w:rsidP="009216D1"/>
    <w:p w:rsidR="00EF55EB" w:rsidRDefault="00061107" w:rsidP="00EF55EB">
      <w:pPr>
        <w:pStyle w:val="FSBullet"/>
      </w:pPr>
      <w:r>
        <w:t>The</w:t>
      </w:r>
      <w:r w:rsidR="00B2319D">
        <w:t xml:space="preserve"> status quo </w:t>
      </w:r>
      <w:r w:rsidR="00531249">
        <w:t xml:space="preserve">would not allow for an increase in the range of domestically produced low alcohol wines available to Australian consumers. </w:t>
      </w:r>
    </w:p>
    <w:p w:rsidR="00EF55EB" w:rsidRPr="00EF55EB" w:rsidRDefault="00EF55EB" w:rsidP="00EF55EB"/>
    <w:p w:rsidR="00986C09" w:rsidRDefault="00531249" w:rsidP="00EF55EB">
      <w:pPr>
        <w:pStyle w:val="FSBullet"/>
      </w:pPr>
      <w:r>
        <w:t>The status quo</w:t>
      </w:r>
      <w:r w:rsidR="007A73AD">
        <w:t xml:space="preserve"> </w:t>
      </w:r>
      <w:r w:rsidR="00E71865">
        <w:t>would not allow for</w:t>
      </w:r>
      <w:r w:rsidR="00986C09">
        <w:t xml:space="preserve"> </w:t>
      </w:r>
      <w:r w:rsidR="00C45C55">
        <w:t>increase</w:t>
      </w:r>
      <w:r w:rsidR="00986C09">
        <w:t>d</w:t>
      </w:r>
      <w:r w:rsidR="00C45C55">
        <w:t xml:space="preserve"> </w:t>
      </w:r>
      <w:r w:rsidR="007A73AD">
        <w:t xml:space="preserve">competition </w:t>
      </w:r>
      <w:r w:rsidR="00C45C55">
        <w:t xml:space="preserve">in </w:t>
      </w:r>
      <w:r w:rsidR="00986C09">
        <w:t>the</w:t>
      </w:r>
      <w:r w:rsidR="00C45C55">
        <w:t xml:space="preserve"> </w:t>
      </w:r>
      <w:r w:rsidR="0010481F">
        <w:t>market of low alcohol wines</w:t>
      </w:r>
      <w:r w:rsidR="00C45C55">
        <w:t xml:space="preserve">. </w:t>
      </w:r>
    </w:p>
    <w:p w:rsidR="009216D1" w:rsidRDefault="009216D1" w:rsidP="009216D1">
      <w:pPr>
        <w:pStyle w:val="FSBullet"/>
        <w:numPr>
          <w:ilvl w:val="0"/>
          <w:numId w:val="0"/>
        </w:numPr>
        <w:ind w:left="567"/>
      </w:pPr>
    </w:p>
    <w:p w:rsidR="009216D1" w:rsidRPr="007B539C" w:rsidRDefault="00F94A5D" w:rsidP="009216D1">
      <w:pPr>
        <w:pStyle w:val="Heading5"/>
      </w:pPr>
      <w:r>
        <w:t>7</w:t>
      </w:r>
      <w:r w:rsidR="009216D1" w:rsidRPr="007B539C">
        <w:t>.2.1.3</w:t>
      </w:r>
      <w:r w:rsidR="009216D1" w:rsidRPr="007B539C">
        <w:tab/>
        <w:t>Government</w:t>
      </w:r>
    </w:p>
    <w:p w:rsidR="009216D1" w:rsidRPr="002F60B2" w:rsidRDefault="009216D1" w:rsidP="009216D1">
      <w:pPr>
        <w:keepNext/>
        <w:keepLines/>
        <w:widowControl/>
      </w:pPr>
    </w:p>
    <w:p w:rsidR="009216D1" w:rsidRPr="009D77ED" w:rsidRDefault="009216D1" w:rsidP="009216D1">
      <w:pPr>
        <w:pStyle w:val="FSBullet"/>
        <w:keepNext/>
        <w:keepLines/>
        <w:widowControl/>
        <w:rPr>
          <w:i/>
          <w:u w:val="single"/>
        </w:rPr>
      </w:pPr>
      <w:r>
        <w:t>Should the status quo prevail, t</w:t>
      </w:r>
      <w:r w:rsidRPr="003E19F7">
        <w:t xml:space="preserve">here would be no </w:t>
      </w:r>
      <w:r>
        <w:t>impact</w:t>
      </w:r>
      <w:r w:rsidRPr="003E19F7">
        <w:t xml:space="preserve"> on</w:t>
      </w:r>
      <w:r>
        <w:t xml:space="preserve"> enforcement agencies. Jurisdictions would not need to </w:t>
      </w:r>
      <w:r w:rsidRPr="00EE7939">
        <w:t>make</w:t>
      </w:r>
      <w:r>
        <w:t xml:space="preserve"> changes to the systems currently in place to monitor compliance. </w:t>
      </w:r>
    </w:p>
    <w:p w:rsidR="009216D1" w:rsidRDefault="009216D1" w:rsidP="009216D1">
      <w:pPr>
        <w:widowControl/>
        <w:rPr>
          <w:bCs/>
          <w:iCs/>
          <w:szCs w:val="26"/>
          <w:u w:val="single"/>
        </w:rPr>
      </w:pPr>
    </w:p>
    <w:p w:rsidR="009216D1" w:rsidRDefault="00F94A5D" w:rsidP="009216D1">
      <w:pPr>
        <w:pStyle w:val="Heading4"/>
      </w:pPr>
      <w:r>
        <w:t>7</w:t>
      </w:r>
      <w:r w:rsidR="009216D1">
        <w:t>.2.2</w:t>
      </w:r>
      <w:r w:rsidR="009216D1" w:rsidRPr="00471D00">
        <w:tab/>
        <w:t xml:space="preserve">Option 2 </w:t>
      </w:r>
      <w:r w:rsidR="009216D1">
        <w:t>–</w:t>
      </w:r>
      <w:r w:rsidR="009216D1" w:rsidRPr="00471D00">
        <w:t xml:space="preserve"> </w:t>
      </w:r>
      <w:r w:rsidR="00EE56D6">
        <w:t>Approve the</w:t>
      </w:r>
      <w:r w:rsidR="009216D1">
        <w:t xml:space="preserve"> </w:t>
      </w:r>
      <w:r w:rsidR="009216D1" w:rsidRPr="00471D00">
        <w:t>draft variation to Standard 4.5.1</w:t>
      </w:r>
      <w:r w:rsidR="009216D1">
        <w:t xml:space="preserve"> </w:t>
      </w:r>
    </w:p>
    <w:p w:rsidR="009216D1" w:rsidRDefault="009216D1" w:rsidP="009216D1"/>
    <w:p w:rsidR="009216D1" w:rsidRDefault="009216D1" w:rsidP="009216D1">
      <w:r>
        <w:t>The draft variation could result in the following costs and benefits to the affected parties.</w:t>
      </w:r>
    </w:p>
    <w:p w:rsidR="009216D1" w:rsidRDefault="009216D1" w:rsidP="009216D1">
      <w:pPr>
        <w:widowControl/>
        <w:rPr>
          <w:u w:val="single"/>
        </w:rPr>
      </w:pPr>
    </w:p>
    <w:p w:rsidR="009216D1" w:rsidRDefault="00F94A5D" w:rsidP="009216D1">
      <w:pPr>
        <w:pStyle w:val="Heading5"/>
      </w:pPr>
      <w:r>
        <w:t>7</w:t>
      </w:r>
      <w:r w:rsidR="009216D1">
        <w:t>.2.2.1</w:t>
      </w:r>
      <w:r w:rsidR="009216D1">
        <w:tab/>
      </w:r>
      <w:r w:rsidR="009216D1" w:rsidRPr="00562AEF">
        <w:t>Industry</w:t>
      </w:r>
    </w:p>
    <w:p w:rsidR="009216D1" w:rsidRDefault="009216D1" w:rsidP="009216D1">
      <w:pPr>
        <w:rPr>
          <w:rFonts w:cs="Arial"/>
        </w:rPr>
      </w:pPr>
    </w:p>
    <w:p w:rsidR="009216D1" w:rsidRPr="00FD13EC" w:rsidRDefault="009216D1" w:rsidP="009216D1">
      <w:pPr>
        <w:pStyle w:val="ListParagraph"/>
        <w:numPr>
          <w:ilvl w:val="0"/>
          <w:numId w:val="33"/>
        </w:numPr>
        <w:ind w:left="567" w:hanging="567"/>
      </w:pPr>
      <w:r>
        <w:rPr>
          <w:rFonts w:cs="Arial"/>
        </w:rPr>
        <w:t>The</w:t>
      </w:r>
      <w:r w:rsidRPr="00827390">
        <w:rPr>
          <w:rFonts w:cs="Arial"/>
        </w:rPr>
        <w:t xml:space="preserve"> Australian wine industry </w:t>
      </w:r>
      <w:r w:rsidR="009F37B6">
        <w:rPr>
          <w:rFonts w:cs="Arial"/>
        </w:rPr>
        <w:t xml:space="preserve">would </w:t>
      </w:r>
      <w:r>
        <w:rPr>
          <w:rFonts w:cs="Arial"/>
        </w:rPr>
        <w:t xml:space="preserve">likely </w:t>
      </w:r>
      <w:r w:rsidRPr="00827390">
        <w:rPr>
          <w:rFonts w:cs="Arial"/>
        </w:rPr>
        <w:t xml:space="preserve">regard a lowering of the minimum alcohol content of wine as beneficial as it addresses a regulatory disadvantage compared to </w:t>
      </w:r>
      <w:r>
        <w:rPr>
          <w:rFonts w:cs="Arial"/>
        </w:rPr>
        <w:t>import requirements. This would</w:t>
      </w:r>
      <w:r w:rsidRPr="00827390">
        <w:rPr>
          <w:rFonts w:cs="Arial"/>
        </w:rPr>
        <w:t xml:space="preserve"> </w:t>
      </w:r>
      <w:r>
        <w:rPr>
          <w:rFonts w:cs="Arial"/>
        </w:rPr>
        <w:t>increase product range and market opportunities, and provide regulatory</w:t>
      </w:r>
      <w:r w:rsidRPr="00827390">
        <w:rPr>
          <w:rFonts w:cs="Arial"/>
        </w:rPr>
        <w:t xml:space="preserve"> certainty for </w:t>
      </w:r>
      <w:r>
        <w:rPr>
          <w:rFonts w:cs="Arial"/>
        </w:rPr>
        <w:t xml:space="preserve">Australian produced </w:t>
      </w:r>
      <w:r w:rsidRPr="00827390">
        <w:rPr>
          <w:rFonts w:cs="Arial"/>
        </w:rPr>
        <w:t>low alcohol wines to be labelled and sold as ‘wine’.</w:t>
      </w:r>
    </w:p>
    <w:p w:rsidR="009216D1" w:rsidRPr="00974310" w:rsidRDefault="009216D1" w:rsidP="009216D1">
      <w:pPr>
        <w:pStyle w:val="ListParagraph"/>
        <w:ind w:left="567"/>
      </w:pPr>
    </w:p>
    <w:p w:rsidR="009216D1" w:rsidRDefault="009216D1" w:rsidP="009216D1">
      <w:pPr>
        <w:pStyle w:val="ListParagraph"/>
        <w:numPr>
          <w:ilvl w:val="0"/>
          <w:numId w:val="33"/>
        </w:numPr>
        <w:ind w:left="567" w:hanging="567"/>
      </w:pPr>
      <w:r>
        <w:t>The change in the Standard would make it possible for Australian producers to locally produce and market wine with a lower level of alcohol. Those who choose to produce wines with lower alcohol content may need to make changes to their production process, and this could entail additional costs. However</w:t>
      </w:r>
      <w:r w:rsidR="006C0DED">
        <w:t>,</w:t>
      </w:r>
      <w:r>
        <w:t xml:space="preserve"> this would be a voluntary business decision, embarked upon only if the individual producer sees an economic benefit in producing such wines for the domestic market. </w:t>
      </w:r>
    </w:p>
    <w:p w:rsidR="009216D1" w:rsidRDefault="009216D1" w:rsidP="009216D1">
      <w:pPr>
        <w:pStyle w:val="ListParagraph"/>
      </w:pPr>
    </w:p>
    <w:p w:rsidR="009216D1" w:rsidRDefault="009216D1" w:rsidP="009216D1">
      <w:pPr>
        <w:pStyle w:val="ListParagraph"/>
        <w:numPr>
          <w:ilvl w:val="0"/>
          <w:numId w:val="33"/>
        </w:numPr>
        <w:ind w:left="567" w:hanging="567"/>
      </w:pPr>
      <w:r>
        <w:t xml:space="preserve">The </w:t>
      </w:r>
      <w:r w:rsidRPr="009948CC">
        <w:t>proposed</w:t>
      </w:r>
      <w:r>
        <w:t xml:space="preserve"> minimum alcohol content would also align the requirements for wine produced in Australia with the EU and meet the requirements under the trade agreement and thus facilitate trade.</w:t>
      </w:r>
    </w:p>
    <w:p w:rsidR="00AB7C29" w:rsidRDefault="00AB7C29" w:rsidP="00AB7C29"/>
    <w:p w:rsidR="009216D1" w:rsidRPr="00562AEF" w:rsidRDefault="00F94A5D" w:rsidP="009216D1">
      <w:pPr>
        <w:pStyle w:val="Heading5"/>
      </w:pPr>
      <w:r>
        <w:t>7</w:t>
      </w:r>
      <w:r w:rsidR="009216D1">
        <w:t>.2.2.2</w:t>
      </w:r>
      <w:r w:rsidR="009216D1">
        <w:tab/>
      </w:r>
      <w:r w:rsidR="009216D1" w:rsidRPr="00562AEF">
        <w:t>Consumers</w:t>
      </w:r>
    </w:p>
    <w:p w:rsidR="009216D1" w:rsidRDefault="009216D1" w:rsidP="009216D1"/>
    <w:p w:rsidR="009216D1" w:rsidRPr="004917FF" w:rsidRDefault="009216D1" w:rsidP="009216D1">
      <w:pPr>
        <w:pStyle w:val="ListParagraph"/>
        <w:numPr>
          <w:ilvl w:val="0"/>
          <w:numId w:val="34"/>
        </w:numPr>
        <w:ind w:left="567" w:hanging="567"/>
      </w:pPr>
      <w:r>
        <w:t xml:space="preserve">The change in the Standard would </w:t>
      </w:r>
      <w:r w:rsidR="007633F5">
        <w:rPr>
          <w:rFonts w:cs="Arial"/>
        </w:rPr>
        <w:t>enable</w:t>
      </w:r>
      <w:r w:rsidR="007633F5" w:rsidRPr="00B93992">
        <w:rPr>
          <w:rFonts w:cs="Arial"/>
        </w:rPr>
        <w:t xml:space="preserve"> </w:t>
      </w:r>
      <w:r w:rsidRPr="00B93992">
        <w:rPr>
          <w:rFonts w:cs="Arial"/>
        </w:rPr>
        <w:t>the Australian wine industry to produce low alcohol wine and this could provide Australian consumers with a wider range of low alcohol wines</w:t>
      </w:r>
      <w:r>
        <w:rPr>
          <w:rFonts w:cs="Arial"/>
        </w:rPr>
        <w:t>.</w:t>
      </w:r>
      <w:r>
        <w:t xml:space="preserve"> </w:t>
      </w:r>
    </w:p>
    <w:p w:rsidR="009216D1" w:rsidRPr="004917FF" w:rsidRDefault="009216D1" w:rsidP="009216D1">
      <w:pPr>
        <w:pStyle w:val="ListParagraph"/>
        <w:ind w:left="567"/>
      </w:pPr>
    </w:p>
    <w:p w:rsidR="009216D1" w:rsidRDefault="009216D1" w:rsidP="009216D1">
      <w:pPr>
        <w:pStyle w:val="FSBullet"/>
      </w:pPr>
      <w:r>
        <w:t xml:space="preserve">There is a potential benefit to Australian consumers due to possible increased competition in the production and marketing of low alcohol wines. </w:t>
      </w:r>
    </w:p>
    <w:p w:rsidR="009216D1" w:rsidRPr="00FD13EC" w:rsidRDefault="009216D1" w:rsidP="009216D1"/>
    <w:p w:rsidR="000D20F6" w:rsidRDefault="000D20F6" w:rsidP="009216D1">
      <w:pPr>
        <w:pStyle w:val="Heading5"/>
      </w:pPr>
      <w:r>
        <w:br w:type="page"/>
      </w:r>
    </w:p>
    <w:p w:rsidR="009216D1" w:rsidRPr="00562AEF" w:rsidRDefault="00F94A5D" w:rsidP="009216D1">
      <w:pPr>
        <w:pStyle w:val="Heading5"/>
      </w:pPr>
      <w:r>
        <w:lastRenderedPageBreak/>
        <w:t>7</w:t>
      </w:r>
      <w:r w:rsidR="009216D1">
        <w:t>.2.2.3</w:t>
      </w:r>
      <w:r w:rsidR="009216D1">
        <w:tab/>
      </w:r>
      <w:r w:rsidR="009216D1" w:rsidRPr="00562AEF">
        <w:t>Government</w:t>
      </w:r>
    </w:p>
    <w:p w:rsidR="009216D1" w:rsidRDefault="009216D1" w:rsidP="009216D1">
      <w:pPr>
        <w:rPr>
          <w:u w:val="single"/>
        </w:rPr>
      </w:pPr>
    </w:p>
    <w:p w:rsidR="009216D1" w:rsidRDefault="009216D1" w:rsidP="009216D1">
      <w:pPr>
        <w:pStyle w:val="FSBullet"/>
      </w:pPr>
      <w:r w:rsidRPr="00A2499C">
        <w:t xml:space="preserve">The Applicant has indicated that no changes would be required to the analytical </w:t>
      </w:r>
      <w:r>
        <w:t xml:space="preserve">testing </w:t>
      </w:r>
      <w:r w:rsidRPr="00A2499C">
        <w:t xml:space="preserve">procedures for determining the alcohol content in </w:t>
      </w:r>
      <w:r>
        <w:t xml:space="preserve">Australian produced </w:t>
      </w:r>
      <w:r w:rsidRPr="00A2499C">
        <w:t xml:space="preserve">wine. As such, </w:t>
      </w:r>
      <w:r>
        <w:t>there should be no costs imposed on enforcement agencies as they</w:t>
      </w:r>
      <w:r w:rsidRPr="00A2499C">
        <w:t xml:space="preserve"> would not need to alter the current testing procedures used for determining compliance of the alcohol conte</w:t>
      </w:r>
      <w:r w:rsidR="001860A1">
        <w:t>nt.</w:t>
      </w:r>
    </w:p>
    <w:p w:rsidR="001860A1" w:rsidRPr="001860A1" w:rsidRDefault="001860A1" w:rsidP="001860A1"/>
    <w:p w:rsidR="009216D1" w:rsidRPr="0042521E" w:rsidRDefault="00F94A5D" w:rsidP="009216D1">
      <w:pPr>
        <w:pStyle w:val="Heading3"/>
        <w:rPr>
          <w:rFonts w:cs="Arial"/>
        </w:rPr>
      </w:pPr>
      <w:bookmarkStart w:id="71" w:name="_Toc290905601"/>
      <w:bookmarkStart w:id="72" w:name="_Toc298406750"/>
      <w:bookmarkStart w:id="73" w:name="_Toc120358590"/>
      <w:bookmarkEnd w:id="62"/>
      <w:bookmarkEnd w:id="63"/>
      <w:bookmarkEnd w:id="64"/>
      <w:bookmarkEnd w:id="65"/>
      <w:bookmarkEnd w:id="66"/>
      <w:r>
        <w:rPr>
          <w:rFonts w:cs="Arial"/>
        </w:rPr>
        <w:t>7</w:t>
      </w:r>
      <w:r w:rsidR="009216D1" w:rsidRPr="0042521E">
        <w:rPr>
          <w:rFonts w:cs="Arial"/>
        </w:rPr>
        <w:t>.3</w:t>
      </w:r>
      <w:r w:rsidR="009216D1" w:rsidRPr="0042521E">
        <w:rPr>
          <w:rFonts w:cs="Arial"/>
        </w:rPr>
        <w:tab/>
        <w:t>Comparison of Options</w:t>
      </w:r>
      <w:bookmarkEnd w:id="71"/>
      <w:bookmarkEnd w:id="72"/>
    </w:p>
    <w:p w:rsidR="009216D1" w:rsidRPr="0042521E" w:rsidRDefault="009216D1" w:rsidP="009216D1">
      <w:pPr>
        <w:rPr>
          <w:rFonts w:cs="Arial"/>
        </w:rPr>
      </w:pPr>
    </w:p>
    <w:p w:rsidR="009216D1" w:rsidRDefault="000D20F6" w:rsidP="009216D1">
      <w:pPr>
        <w:rPr>
          <w:b/>
        </w:rPr>
      </w:pPr>
      <w:r>
        <w:rPr>
          <w:rFonts w:cs="Arial"/>
        </w:rPr>
        <w:t>Option 2 wa</w:t>
      </w:r>
      <w:r w:rsidR="009216D1">
        <w:rPr>
          <w:rFonts w:cs="Arial"/>
        </w:rPr>
        <w:t xml:space="preserve">s favoured since there is no benefit derived for any affected party from Option 1. Option 2 provides benefits to the Australian wine industry in terms of product innovation and market opportunities and addresses a regulatory disadvantage for the Australian wine industry in comparison </w:t>
      </w:r>
      <w:r w:rsidR="00917E86">
        <w:rPr>
          <w:rFonts w:cs="Arial"/>
        </w:rPr>
        <w:t xml:space="preserve">with </w:t>
      </w:r>
      <w:r w:rsidR="009216D1">
        <w:rPr>
          <w:rFonts w:cs="Arial"/>
        </w:rPr>
        <w:t>imports. Australian consumers may also benefit from a potentially wider range of low alcohol wine products and increased competition. Any costs incurred by industry would be voluntary. Overall, the benefits outweigh the costs.</w:t>
      </w:r>
    </w:p>
    <w:bookmarkEnd w:id="73"/>
    <w:p w:rsidR="006A7266" w:rsidRDefault="006A7266" w:rsidP="006A7266">
      <w:pPr>
        <w:rPr>
          <w:rFonts w:cs="Arial"/>
          <w:color w:val="000000" w:themeColor="text1"/>
        </w:rPr>
      </w:pPr>
    </w:p>
    <w:p w:rsidR="006A7266" w:rsidRDefault="00F94A5D" w:rsidP="006A7266">
      <w:pPr>
        <w:pStyle w:val="Heading2"/>
      </w:pPr>
      <w:bookmarkStart w:id="74" w:name="_Toc290973088"/>
      <w:bookmarkStart w:id="75" w:name="_Toc298406751"/>
      <w:r>
        <w:t>8</w:t>
      </w:r>
      <w:r w:rsidR="006A7266">
        <w:t>.</w:t>
      </w:r>
      <w:r w:rsidR="006A7266">
        <w:tab/>
        <w:t>Addressing FSANZ’s Primary Objectives</w:t>
      </w:r>
      <w:bookmarkEnd w:id="74"/>
      <w:bookmarkEnd w:id="75"/>
    </w:p>
    <w:p w:rsidR="006A7266" w:rsidRPr="00DC6570" w:rsidRDefault="006A7266" w:rsidP="006A7266"/>
    <w:p w:rsidR="006A7266" w:rsidRDefault="006A7266" w:rsidP="006A7266">
      <w:pPr>
        <w:rPr>
          <w:rFonts w:cs="Arial"/>
        </w:rPr>
      </w:pPr>
      <w:r>
        <w:t xml:space="preserve">The legislative objectives that FSANZ is required to meet when </w:t>
      </w:r>
      <w:r w:rsidRPr="00DC6570">
        <w:t>developing or varying a food standard</w:t>
      </w:r>
      <w:r>
        <w:t xml:space="preserve"> are noted in section 3. The </w:t>
      </w:r>
      <w:r w:rsidR="00731B63">
        <w:t>primary objective</w:t>
      </w:r>
      <w:r w:rsidR="006C47BE">
        <w:t xml:space="preserve"> relating to public health and safety</w:t>
      </w:r>
      <w:r w:rsidR="00731B63">
        <w:t xml:space="preserve"> </w:t>
      </w:r>
      <w:r w:rsidR="006C47BE">
        <w:t xml:space="preserve">was </w:t>
      </w:r>
      <w:r w:rsidR="00731B63">
        <w:t>not directly relevant to the consideration</w:t>
      </w:r>
      <w:r w:rsidR="004413DA">
        <w:t>s</w:t>
      </w:r>
      <w:r w:rsidR="00731B63">
        <w:t xml:space="preserve"> of </w:t>
      </w:r>
      <w:r w:rsidR="004413DA">
        <w:t>this</w:t>
      </w:r>
      <w:r>
        <w:t xml:space="preserve"> A</w:t>
      </w:r>
      <w:r w:rsidR="00731B63">
        <w:t>pplication</w:t>
      </w:r>
      <w:r w:rsidR="006C47BE">
        <w:t xml:space="preserve">. </w:t>
      </w:r>
      <w:r w:rsidR="00777842">
        <w:t>However, t</w:t>
      </w:r>
      <w:r w:rsidR="006C47BE">
        <w:t xml:space="preserve">he primary objectives relating to </w:t>
      </w:r>
      <w:r w:rsidR="00777842">
        <w:t xml:space="preserve">the </w:t>
      </w:r>
      <w:r w:rsidR="006C47BE">
        <w:t xml:space="preserve">provision of adequate information and misleading and deceptive conduct were </w:t>
      </w:r>
      <w:r w:rsidR="00777842">
        <w:t>taken into consideration</w:t>
      </w:r>
      <w:r w:rsidR="006C47BE">
        <w:t xml:space="preserve"> in relation to the labe</w:t>
      </w:r>
      <w:r w:rsidR="008B6192">
        <w:t>lling of wine in section 5</w:t>
      </w:r>
      <w:r>
        <w:rPr>
          <w:rFonts w:cs="Arial"/>
        </w:rPr>
        <w:t xml:space="preserve">. </w:t>
      </w:r>
    </w:p>
    <w:p w:rsidR="00CD43AF" w:rsidRDefault="00CD43AF" w:rsidP="006A7266">
      <w:pPr>
        <w:rPr>
          <w:rFonts w:cs="Arial"/>
        </w:rPr>
      </w:pPr>
    </w:p>
    <w:p w:rsidR="00CD43AF" w:rsidRDefault="00D12445" w:rsidP="006A7266">
      <w:pPr>
        <w:rPr>
          <w:rFonts w:cs="Arial"/>
        </w:rPr>
      </w:pPr>
      <w:r>
        <w:t xml:space="preserve">Matters </w:t>
      </w:r>
      <w:r w:rsidR="004F4117">
        <w:t xml:space="preserve">that </w:t>
      </w:r>
      <w:r>
        <w:t xml:space="preserve">were </w:t>
      </w:r>
      <w:r w:rsidR="006C47BE">
        <w:t xml:space="preserve">primarily </w:t>
      </w:r>
      <w:r>
        <w:t>relevant to the considerations of this Application were</w:t>
      </w:r>
      <w:r w:rsidR="004F4117">
        <w:t xml:space="preserve"> the </w:t>
      </w:r>
      <w:r w:rsidR="00CD43AF" w:rsidDel="00D934CB">
        <w:t>promotion of consistency between domestic and international food standards, and the desirability of an efficient and internationally competitive food industry</w:t>
      </w:r>
      <w:r>
        <w:t>.</w:t>
      </w:r>
    </w:p>
    <w:p w:rsidR="006A7266" w:rsidRPr="00320E6B" w:rsidRDefault="006A7266">
      <w:pPr>
        <w:rPr>
          <w:rFonts w:cs="Arial"/>
          <w:color w:val="000000" w:themeColor="text1"/>
        </w:rPr>
      </w:pPr>
    </w:p>
    <w:p w:rsidR="003C4969" w:rsidRPr="00DC6570" w:rsidRDefault="00807559" w:rsidP="007A44B4">
      <w:pPr>
        <w:pStyle w:val="Heading1"/>
      </w:pPr>
      <w:bookmarkStart w:id="76" w:name="_Toc298406752"/>
      <w:r>
        <w:t>C</w:t>
      </w:r>
      <w:r w:rsidR="003C4969" w:rsidRPr="00DC6570">
        <w:t>ommunication</w:t>
      </w:r>
      <w:r w:rsidR="00A74FD1" w:rsidRPr="00DC6570">
        <w:t xml:space="preserve"> and Consultation Strategy</w:t>
      </w:r>
      <w:bookmarkEnd w:id="76"/>
    </w:p>
    <w:p w:rsidR="003C4969" w:rsidRPr="00DC6570" w:rsidRDefault="003C4969">
      <w:pPr>
        <w:rPr>
          <w:rFonts w:cs="Arial"/>
        </w:rPr>
      </w:pPr>
    </w:p>
    <w:p w:rsidR="00572425" w:rsidRPr="00DC6570" w:rsidRDefault="00F94A5D" w:rsidP="00572425">
      <w:pPr>
        <w:pStyle w:val="Heading2"/>
      </w:pPr>
      <w:bookmarkStart w:id="77" w:name="_Toc290905603"/>
      <w:bookmarkStart w:id="78" w:name="_Toc298406753"/>
      <w:bookmarkStart w:id="79" w:name="_Toc120358592"/>
      <w:r>
        <w:t>9</w:t>
      </w:r>
      <w:r w:rsidR="00572425">
        <w:t>.</w:t>
      </w:r>
      <w:r w:rsidR="00572425" w:rsidRPr="00DC6570">
        <w:tab/>
        <w:t>Communication</w:t>
      </w:r>
      <w:bookmarkEnd w:id="77"/>
      <w:bookmarkEnd w:id="78"/>
    </w:p>
    <w:p w:rsidR="00572425" w:rsidRDefault="00572425" w:rsidP="00572425">
      <w:pPr>
        <w:autoSpaceDE w:val="0"/>
        <w:autoSpaceDN w:val="0"/>
        <w:adjustRightInd w:val="0"/>
        <w:rPr>
          <w:rFonts w:cs="Arial"/>
          <w:szCs w:val="22"/>
        </w:rPr>
      </w:pPr>
    </w:p>
    <w:p w:rsidR="00572425" w:rsidRDefault="00572425" w:rsidP="00572425">
      <w:pPr>
        <w:autoSpaceDE w:val="0"/>
        <w:autoSpaceDN w:val="0"/>
        <w:adjustRightInd w:val="0"/>
        <w:rPr>
          <w:rFonts w:cs="Arial"/>
          <w:szCs w:val="20"/>
        </w:rPr>
      </w:pPr>
      <w:r w:rsidRPr="00423539">
        <w:rPr>
          <w:rFonts w:cs="Arial"/>
          <w:szCs w:val="22"/>
        </w:rPr>
        <w:t>FSAN</w:t>
      </w:r>
      <w:r>
        <w:rPr>
          <w:rFonts w:cs="Arial"/>
          <w:szCs w:val="22"/>
        </w:rPr>
        <w:t>Z d</w:t>
      </w:r>
      <w:r w:rsidR="00187AD3">
        <w:rPr>
          <w:rFonts w:cs="Arial"/>
          <w:szCs w:val="22"/>
        </w:rPr>
        <w:t>id</w:t>
      </w:r>
      <w:r>
        <w:rPr>
          <w:rFonts w:cs="Arial"/>
          <w:szCs w:val="22"/>
        </w:rPr>
        <w:t xml:space="preserve"> not anticipate </w:t>
      </w:r>
      <w:r w:rsidR="00187AD3">
        <w:rPr>
          <w:rFonts w:cs="Arial"/>
          <w:szCs w:val="22"/>
        </w:rPr>
        <w:t>that the</w:t>
      </w:r>
      <w:r>
        <w:rPr>
          <w:rFonts w:cs="Arial"/>
          <w:szCs w:val="22"/>
        </w:rPr>
        <w:t xml:space="preserve"> </w:t>
      </w:r>
      <w:r w:rsidR="009F37B6">
        <w:rPr>
          <w:rFonts w:cs="Arial"/>
          <w:szCs w:val="22"/>
        </w:rPr>
        <w:t xml:space="preserve">proposed </w:t>
      </w:r>
      <w:r>
        <w:rPr>
          <w:rFonts w:cs="Arial"/>
          <w:szCs w:val="22"/>
        </w:rPr>
        <w:t>amendment</w:t>
      </w:r>
      <w:r w:rsidRPr="00423539">
        <w:rPr>
          <w:rFonts w:cs="Arial"/>
          <w:szCs w:val="22"/>
        </w:rPr>
        <w:t xml:space="preserve"> </w:t>
      </w:r>
      <w:r>
        <w:rPr>
          <w:rFonts w:cs="Arial"/>
          <w:szCs w:val="22"/>
        </w:rPr>
        <w:t>w</w:t>
      </w:r>
      <w:r w:rsidR="00187AD3">
        <w:rPr>
          <w:rFonts w:cs="Arial"/>
          <w:szCs w:val="22"/>
        </w:rPr>
        <w:t>ould</w:t>
      </w:r>
      <w:r w:rsidRPr="00423539">
        <w:rPr>
          <w:rFonts w:cs="Arial"/>
          <w:szCs w:val="22"/>
        </w:rPr>
        <w:t xml:space="preserve"> be of major significance and </w:t>
      </w:r>
      <w:r w:rsidRPr="004A6138">
        <w:rPr>
          <w:rFonts w:cs="Arial"/>
          <w:szCs w:val="22"/>
        </w:rPr>
        <w:t xml:space="preserve">applied a basic communication strategy to this </w:t>
      </w:r>
      <w:r>
        <w:rPr>
          <w:rFonts w:cs="Arial"/>
          <w:szCs w:val="22"/>
        </w:rPr>
        <w:t>Application.</w:t>
      </w:r>
      <w:r w:rsidR="006427EF">
        <w:rPr>
          <w:rFonts w:cs="Arial"/>
          <w:szCs w:val="20"/>
        </w:rPr>
        <w:t xml:space="preserve"> This involve</w:t>
      </w:r>
      <w:r>
        <w:rPr>
          <w:rFonts w:cs="Arial"/>
          <w:szCs w:val="20"/>
        </w:rPr>
        <w:t>d</w:t>
      </w:r>
      <w:r w:rsidR="006427EF">
        <w:rPr>
          <w:rFonts w:cs="Arial"/>
          <w:szCs w:val="20"/>
        </w:rPr>
        <w:t xml:space="preserve"> </w:t>
      </w:r>
      <w:r>
        <w:rPr>
          <w:rFonts w:cs="Arial"/>
          <w:szCs w:val="20"/>
        </w:rPr>
        <w:t xml:space="preserve">alerting the community to the opportunity to comment on the proposed change to the Code via a media release, website and FSANZ’s Facebook page. Email alerts were sent to more than 5000 subscribers to the FSANZ Notification Circular and to interested parties. </w:t>
      </w:r>
    </w:p>
    <w:p w:rsidR="00572425" w:rsidRDefault="00572425" w:rsidP="00572425">
      <w:pPr>
        <w:widowControl/>
      </w:pPr>
    </w:p>
    <w:p w:rsidR="00874F25" w:rsidRPr="003F08FA" w:rsidRDefault="00874F25" w:rsidP="00874F25">
      <w:pPr>
        <w:rPr>
          <w:rFonts w:cs="Arial"/>
        </w:rPr>
      </w:pPr>
      <w:r w:rsidRPr="00423539">
        <w:rPr>
          <w:rFonts w:cs="Arial"/>
          <w:szCs w:val="22"/>
        </w:rPr>
        <w:t xml:space="preserve">FSANZ </w:t>
      </w:r>
      <w:r w:rsidR="00151222">
        <w:rPr>
          <w:rFonts w:cs="Arial"/>
          <w:szCs w:val="22"/>
        </w:rPr>
        <w:t>has notified</w:t>
      </w:r>
      <w:r w:rsidRPr="00423539">
        <w:rPr>
          <w:rFonts w:cs="Arial"/>
          <w:szCs w:val="22"/>
        </w:rPr>
        <w:t xml:space="preserve"> the Ministerial Council of its decision</w:t>
      </w:r>
      <w:r>
        <w:rPr>
          <w:rFonts w:cs="Arial"/>
          <w:szCs w:val="22"/>
        </w:rPr>
        <w:t xml:space="preserve"> on the draft variation to the Code</w:t>
      </w:r>
      <w:r w:rsidRPr="00423539">
        <w:rPr>
          <w:rFonts w:cs="Arial"/>
          <w:szCs w:val="22"/>
        </w:rPr>
        <w:t xml:space="preserve">. Stakeholders, including the public, will be notified on the gazettal of </w:t>
      </w:r>
      <w:r>
        <w:rPr>
          <w:rFonts w:cs="Arial"/>
          <w:szCs w:val="22"/>
        </w:rPr>
        <w:t>the change</w:t>
      </w:r>
      <w:r w:rsidRPr="00423539">
        <w:rPr>
          <w:rFonts w:cs="Arial"/>
          <w:szCs w:val="22"/>
        </w:rPr>
        <w:t xml:space="preserve"> to the Code on </w:t>
      </w:r>
      <w:r w:rsidRPr="003F08FA">
        <w:rPr>
          <w:rFonts w:cs="Arial"/>
          <w:szCs w:val="22"/>
        </w:rPr>
        <w:t>the FSANZ website.</w:t>
      </w:r>
    </w:p>
    <w:bookmarkEnd w:id="79"/>
    <w:p w:rsidR="003C4969" w:rsidRPr="00320E6B" w:rsidRDefault="003C4969">
      <w:pPr>
        <w:rPr>
          <w:rFonts w:cs="Arial"/>
          <w:color w:val="000000" w:themeColor="text1"/>
        </w:rPr>
      </w:pPr>
    </w:p>
    <w:p w:rsidR="007B55BE" w:rsidRPr="00307158" w:rsidRDefault="00F94A5D" w:rsidP="007B55BE">
      <w:pPr>
        <w:pStyle w:val="Heading2"/>
      </w:pPr>
      <w:bookmarkStart w:id="80" w:name="_Toc290905604"/>
      <w:bookmarkStart w:id="81" w:name="_Toc298406754"/>
      <w:bookmarkStart w:id="82" w:name="_Toc11735640"/>
      <w:bookmarkStart w:id="83" w:name="_Toc29883125"/>
      <w:bookmarkStart w:id="84" w:name="_Toc41906812"/>
      <w:bookmarkStart w:id="85" w:name="_Toc41907559"/>
      <w:bookmarkStart w:id="86" w:name="_Toc120358593"/>
      <w:r>
        <w:t>10</w:t>
      </w:r>
      <w:r w:rsidR="007B55BE" w:rsidRPr="00307158">
        <w:t>.</w:t>
      </w:r>
      <w:r w:rsidR="007B55BE" w:rsidRPr="00307158">
        <w:tab/>
        <w:t>Consultation</w:t>
      </w:r>
      <w:bookmarkEnd w:id="80"/>
      <w:bookmarkEnd w:id="81"/>
    </w:p>
    <w:p w:rsidR="00466A72" w:rsidRDefault="00466A72" w:rsidP="007B55BE">
      <w:pPr>
        <w:rPr>
          <w:rFonts w:cs="Arial"/>
        </w:rPr>
      </w:pPr>
    </w:p>
    <w:p w:rsidR="004E35DA" w:rsidRDefault="00466A72" w:rsidP="00466A72">
      <w:r w:rsidRPr="006220C2">
        <w:t>The Assessment Report was advertised for public comment</w:t>
      </w:r>
      <w:r w:rsidR="000D20F6">
        <w:t xml:space="preserve"> from </w:t>
      </w:r>
      <w:r>
        <w:t>21 April</w:t>
      </w:r>
      <w:r w:rsidR="000D20F6">
        <w:t xml:space="preserve"> to </w:t>
      </w:r>
      <w:r>
        <w:t>2 June 2011</w:t>
      </w:r>
      <w:r w:rsidRPr="006220C2">
        <w:t xml:space="preserve">. </w:t>
      </w:r>
      <w:r w:rsidRPr="00932971">
        <w:t xml:space="preserve">Comments were specifically </w:t>
      </w:r>
      <w:r w:rsidRPr="00F4629F">
        <w:t>requested on</w:t>
      </w:r>
      <w:r w:rsidRPr="00DC6570">
        <w:rPr>
          <w:rFonts w:cs="Arial"/>
          <w:color w:val="FF0000"/>
        </w:rPr>
        <w:t xml:space="preserve"> </w:t>
      </w:r>
      <w:r>
        <w:t>the potential costs and benefits to all stakeholders.</w:t>
      </w:r>
      <w:r w:rsidR="004E35DA">
        <w:t xml:space="preserve"> </w:t>
      </w:r>
    </w:p>
    <w:p w:rsidR="004E35DA" w:rsidRDefault="004E35DA" w:rsidP="00466A72"/>
    <w:p w:rsidR="000D20F6" w:rsidRDefault="009335DB" w:rsidP="009335DB">
      <w:r w:rsidRPr="006346B8">
        <w:t xml:space="preserve">A total of eleven submissions were received. </w:t>
      </w:r>
      <w:r w:rsidR="00B21706" w:rsidRPr="006346B8">
        <w:t>Seven</w:t>
      </w:r>
      <w:r w:rsidRPr="006346B8">
        <w:t xml:space="preserve"> submissions supported the proposed amendment</w:t>
      </w:r>
      <w:r w:rsidR="00CB7AB3" w:rsidRPr="006346B8">
        <w:t xml:space="preserve"> </w:t>
      </w:r>
      <w:r w:rsidR="003D008A" w:rsidRPr="006346B8">
        <w:t xml:space="preserve">with </w:t>
      </w:r>
      <w:r w:rsidR="00B21706" w:rsidRPr="006346B8">
        <w:t xml:space="preserve">two </w:t>
      </w:r>
      <w:r w:rsidR="00C82364" w:rsidRPr="006346B8">
        <w:t xml:space="preserve">of these </w:t>
      </w:r>
      <w:r w:rsidR="003D008A" w:rsidRPr="006346B8">
        <w:t xml:space="preserve">providing further </w:t>
      </w:r>
      <w:r w:rsidR="00B21706" w:rsidRPr="006346B8">
        <w:t>comments on specific issues</w:t>
      </w:r>
      <w:r w:rsidRPr="006346B8">
        <w:t xml:space="preserve">. </w:t>
      </w:r>
      <w:r w:rsidR="00CB7AB3" w:rsidRPr="006346B8">
        <w:t xml:space="preserve">Three </w:t>
      </w:r>
      <w:r w:rsidRPr="006346B8">
        <w:t xml:space="preserve">submitters did not explicitly </w:t>
      </w:r>
      <w:r w:rsidR="007E3034" w:rsidRPr="006346B8">
        <w:t>state</w:t>
      </w:r>
      <w:r w:rsidR="00CB7AB3" w:rsidRPr="006346B8">
        <w:t xml:space="preserve"> a preference</w:t>
      </w:r>
      <w:r w:rsidR="007E3034" w:rsidRPr="006346B8">
        <w:t xml:space="preserve"> and provided comments on specific issues</w:t>
      </w:r>
      <w:r w:rsidR="00F77544" w:rsidRPr="006346B8">
        <w:t>.</w:t>
      </w:r>
    </w:p>
    <w:p w:rsidR="000D20F6" w:rsidRDefault="000D20F6" w:rsidP="009335DB">
      <w:r>
        <w:br w:type="page"/>
      </w:r>
    </w:p>
    <w:p w:rsidR="00B21706" w:rsidRPr="006346B8" w:rsidRDefault="009335DB" w:rsidP="009335DB">
      <w:r w:rsidRPr="006346B8">
        <w:lastRenderedPageBreak/>
        <w:t xml:space="preserve">Specific comments from submitters and FSANZ responses are provided </w:t>
      </w:r>
      <w:r w:rsidR="004E2648" w:rsidRPr="006346B8">
        <w:t>at</w:t>
      </w:r>
      <w:r w:rsidRPr="006346B8">
        <w:t xml:space="preserve"> </w:t>
      </w:r>
      <w:r w:rsidRPr="006346B8">
        <w:rPr>
          <w:b/>
        </w:rPr>
        <w:t>Attachment 2</w:t>
      </w:r>
      <w:r w:rsidRPr="006346B8">
        <w:t xml:space="preserve"> to this Report. </w:t>
      </w:r>
    </w:p>
    <w:p w:rsidR="009335DB" w:rsidRDefault="009335DB" w:rsidP="007B55BE"/>
    <w:p w:rsidR="003C4969" w:rsidRPr="00DC6570" w:rsidRDefault="00F94A5D" w:rsidP="007A44B4">
      <w:pPr>
        <w:pStyle w:val="Heading3"/>
      </w:pPr>
      <w:bookmarkStart w:id="87" w:name="_Toc15456903"/>
      <w:bookmarkStart w:id="88" w:name="_Toc20727764"/>
      <w:bookmarkStart w:id="89" w:name="_Toc29727729"/>
      <w:bookmarkStart w:id="90" w:name="_Toc29883126"/>
      <w:bookmarkStart w:id="91" w:name="_Toc41906813"/>
      <w:bookmarkStart w:id="92" w:name="_Toc41907560"/>
      <w:bookmarkStart w:id="93" w:name="_Toc120358594"/>
      <w:bookmarkStart w:id="94" w:name="_Toc298406755"/>
      <w:bookmarkEnd w:id="82"/>
      <w:bookmarkEnd w:id="83"/>
      <w:bookmarkEnd w:id="84"/>
      <w:bookmarkEnd w:id="85"/>
      <w:bookmarkEnd w:id="86"/>
      <w:r>
        <w:t>10</w:t>
      </w:r>
      <w:r w:rsidR="00FA2E9B">
        <w:t>.1</w:t>
      </w:r>
      <w:r w:rsidR="003C4969" w:rsidRPr="00DC6570">
        <w:tab/>
        <w:t>World Trade Organization (WTO)</w:t>
      </w:r>
      <w:bookmarkEnd w:id="87"/>
      <w:bookmarkEnd w:id="88"/>
      <w:bookmarkEnd w:id="89"/>
      <w:bookmarkEnd w:id="90"/>
      <w:bookmarkEnd w:id="91"/>
      <w:bookmarkEnd w:id="92"/>
      <w:bookmarkEnd w:id="93"/>
      <w:bookmarkEnd w:id="94"/>
    </w:p>
    <w:p w:rsidR="00837068" w:rsidRDefault="00837068" w:rsidP="00837068">
      <w:pPr>
        <w:rPr>
          <w:rFonts w:cs="Arial"/>
          <w:color w:val="000000"/>
        </w:rPr>
      </w:pPr>
    </w:p>
    <w:p w:rsidR="00837068" w:rsidRDefault="00837068" w:rsidP="00837068">
      <w:pPr>
        <w:rPr>
          <w:rFonts w:cs="Arial"/>
          <w:color w:val="000000"/>
        </w:rPr>
      </w:pPr>
      <w:r w:rsidRPr="00DC6570">
        <w:rPr>
          <w:rFonts w:cs="Arial"/>
          <w:color w:val="000000"/>
        </w:rPr>
        <w:t>As members of the World Trade Organization (WTO), Australia and New Zealand are obligated to notify WTO member nations where proposed mandatory regulatory measures are inconsistent with any existing or imminent international standards and the proposed measure may have a significant effect on trade.</w:t>
      </w:r>
    </w:p>
    <w:p w:rsidR="003F785F" w:rsidRDefault="003F785F">
      <w:pPr>
        <w:widowControl/>
        <w:rPr>
          <w:rFonts w:cs="Arial"/>
        </w:rPr>
      </w:pPr>
    </w:p>
    <w:p w:rsidR="00926291" w:rsidRDefault="00837068" w:rsidP="00926291">
      <w:pPr>
        <w:widowControl/>
        <w:rPr>
          <w:rFonts w:cs="Arial"/>
          <w:szCs w:val="22"/>
        </w:rPr>
      </w:pPr>
      <w:r>
        <w:rPr>
          <w:rFonts w:cs="Arial"/>
        </w:rPr>
        <w:t xml:space="preserve">The proposed amendment to Standard 4.5.1 is unlikely to have a significant impact on international trade as it applies to the production of wine in Australia only. </w:t>
      </w:r>
      <w:r w:rsidR="00926291" w:rsidRPr="00423539">
        <w:rPr>
          <w:rFonts w:cs="Arial"/>
          <w:szCs w:val="22"/>
        </w:rPr>
        <w:t xml:space="preserve">On this basis, a notification </w:t>
      </w:r>
      <w:r w:rsidR="00926291">
        <w:rPr>
          <w:rFonts w:cs="Arial"/>
          <w:szCs w:val="22"/>
        </w:rPr>
        <w:t>was not made</w:t>
      </w:r>
      <w:r w:rsidR="00926291" w:rsidRPr="00423539">
        <w:rPr>
          <w:rFonts w:cs="Arial"/>
          <w:szCs w:val="22"/>
        </w:rPr>
        <w:t xml:space="preserve"> under either the WTO Technical Barriers to Trade (TBT) or Sanitary and Phytosanitary Measures (SPS) Agreement</w:t>
      </w:r>
      <w:r w:rsidR="00926291">
        <w:rPr>
          <w:rFonts w:cs="Arial"/>
          <w:szCs w:val="22"/>
        </w:rPr>
        <w:t>s</w:t>
      </w:r>
      <w:r w:rsidR="00926291" w:rsidRPr="00423539">
        <w:rPr>
          <w:rFonts w:cs="Arial"/>
          <w:szCs w:val="22"/>
        </w:rPr>
        <w:t>.</w:t>
      </w:r>
    </w:p>
    <w:p w:rsidR="003C4969" w:rsidRPr="00D12445" w:rsidRDefault="003C4969">
      <w:pPr>
        <w:rPr>
          <w:rFonts w:cs="Arial"/>
        </w:rPr>
      </w:pPr>
    </w:p>
    <w:p w:rsidR="005F7342" w:rsidRPr="00DC6570" w:rsidRDefault="005F7342" w:rsidP="007A44B4">
      <w:pPr>
        <w:pStyle w:val="Heading1"/>
      </w:pPr>
      <w:bookmarkStart w:id="95" w:name="_Toc298406756"/>
      <w:r w:rsidRPr="00DC6570">
        <w:t>Conclusion</w:t>
      </w:r>
      <w:bookmarkEnd w:id="95"/>
    </w:p>
    <w:p w:rsidR="005F7342" w:rsidRPr="00D12445" w:rsidRDefault="005F7342" w:rsidP="005F7342">
      <w:pPr>
        <w:rPr>
          <w:rFonts w:cs="Arial"/>
        </w:rPr>
      </w:pPr>
    </w:p>
    <w:p w:rsidR="005F7342" w:rsidRPr="00DC6570" w:rsidRDefault="004C579A" w:rsidP="006A48A7">
      <w:pPr>
        <w:pStyle w:val="Heading2"/>
      </w:pPr>
      <w:bookmarkStart w:id="96" w:name="_Toc298406757"/>
      <w:r>
        <w:t>1</w:t>
      </w:r>
      <w:r w:rsidR="00F94A5D">
        <w:t>1</w:t>
      </w:r>
      <w:r w:rsidR="005F7342" w:rsidRPr="00DC6570">
        <w:t>.</w:t>
      </w:r>
      <w:r w:rsidR="005F7342" w:rsidRPr="00DC6570">
        <w:tab/>
        <w:t xml:space="preserve">Conclusion and </w:t>
      </w:r>
      <w:r w:rsidR="00EC30E1" w:rsidRPr="00DC6570">
        <w:rPr>
          <w:bCs w:val="0"/>
        </w:rPr>
        <w:t>Decision</w:t>
      </w:r>
      <w:bookmarkEnd w:id="96"/>
      <w:r w:rsidR="00EC30E1" w:rsidRPr="00DC6570">
        <w:rPr>
          <w:bCs w:val="0"/>
        </w:rPr>
        <w:t xml:space="preserve"> </w:t>
      </w:r>
    </w:p>
    <w:p w:rsidR="006A7266" w:rsidRDefault="006A7266" w:rsidP="00926291"/>
    <w:p w:rsidR="00A27FEE" w:rsidRDefault="00926291" w:rsidP="00926291">
      <w:r w:rsidRPr="00B4611D">
        <w:t>This Application has been assessed against the requirements o</w:t>
      </w:r>
      <w:r>
        <w:t xml:space="preserve">f section 29 of the FSANZ Act. </w:t>
      </w:r>
    </w:p>
    <w:p w:rsidR="00926291" w:rsidRDefault="00926291" w:rsidP="00926291"/>
    <w:p w:rsidR="00926291" w:rsidRDefault="00926291" w:rsidP="00926291">
      <w:pPr>
        <w:pStyle w:val="FSDecisionHeading"/>
      </w:pPr>
      <w:r>
        <w:t>Decision</w:t>
      </w:r>
    </w:p>
    <w:p w:rsidR="00926291" w:rsidRDefault="00926291" w:rsidP="00926291">
      <w:pPr>
        <w:pStyle w:val="FSDecisiontext"/>
      </w:pPr>
    </w:p>
    <w:p w:rsidR="00926291" w:rsidRDefault="00926291" w:rsidP="00926291">
      <w:pPr>
        <w:pStyle w:val="FSDecisiontext"/>
      </w:pPr>
      <w:r>
        <w:t>To approve the draft variation to Standard 4.5.1 – Wine Production Requirements to require wine and sparkling wine produced in Australia to contain no less than 45 mL/L of ethanol at 20</w:t>
      </w:r>
      <w:r>
        <w:sym w:font="Symbol" w:char="F0B0"/>
      </w:r>
      <w:r>
        <w:t>C.</w:t>
      </w:r>
    </w:p>
    <w:p w:rsidR="00926291" w:rsidRDefault="00926291" w:rsidP="00926291">
      <w:pPr>
        <w:widowControl/>
        <w:rPr>
          <w:rFonts w:ascii="Arial Bold" w:hAnsi="Arial Bold" w:cs="Arial Unicode MS"/>
          <w:b/>
          <w:bCs/>
          <w:szCs w:val="26"/>
        </w:rPr>
      </w:pPr>
    </w:p>
    <w:p w:rsidR="00926291" w:rsidRPr="00D51A95" w:rsidRDefault="004C579A" w:rsidP="000D20F6">
      <w:pPr>
        <w:pStyle w:val="Heading3"/>
      </w:pPr>
      <w:bookmarkStart w:id="97" w:name="_Toc290905608"/>
      <w:bookmarkStart w:id="98" w:name="_Toc298406758"/>
      <w:r>
        <w:t>1</w:t>
      </w:r>
      <w:r w:rsidR="00F94A5D">
        <w:t>1</w:t>
      </w:r>
      <w:r w:rsidR="00926291">
        <w:t>.1</w:t>
      </w:r>
      <w:r w:rsidR="00926291">
        <w:tab/>
        <w:t xml:space="preserve">Reasons for </w:t>
      </w:r>
      <w:bookmarkEnd w:id="97"/>
      <w:r w:rsidR="00926291">
        <w:t>Decision</w:t>
      </w:r>
      <w:bookmarkEnd w:id="98"/>
      <w:r w:rsidR="00926291" w:rsidRPr="00D51A95">
        <w:t xml:space="preserve"> </w:t>
      </w:r>
    </w:p>
    <w:p w:rsidR="00926291" w:rsidRPr="00A86489" w:rsidRDefault="00926291" w:rsidP="00926291"/>
    <w:p w:rsidR="00926291" w:rsidRDefault="00926291" w:rsidP="00926291">
      <w:pPr>
        <w:pStyle w:val="FSBullet"/>
      </w:pPr>
      <w:r>
        <w:t xml:space="preserve">The </w:t>
      </w:r>
      <w:r w:rsidR="00A32A9F">
        <w:t xml:space="preserve">recommended amendment to Standard 4.5.1 </w:t>
      </w:r>
      <w:r>
        <w:t xml:space="preserve">does not raise any public health and safety issues. The amendment could provide </w:t>
      </w:r>
      <w:r w:rsidR="00A32A9F">
        <w:t xml:space="preserve">Australian </w:t>
      </w:r>
      <w:r>
        <w:t xml:space="preserve">consumers with a greater range of low alcohol products. </w:t>
      </w:r>
    </w:p>
    <w:p w:rsidR="00926291" w:rsidRPr="00B93992" w:rsidRDefault="00926291" w:rsidP="00926291"/>
    <w:p w:rsidR="00926291" w:rsidRDefault="00926291" w:rsidP="00926291">
      <w:pPr>
        <w:pStyle w:val="FSBullet"/>
      </w:pPr>
      <w:r>
        <w:t xml:space="preserve">Approval of the </w:t>
      </w:r>
      <w:r w:rsidR="00A32A9F">
        <w:t>recommended</w:t>
      </w:r>
      <w:r>
        <w:t xml:space="preserve"> amendment promotes consistency between domestic and international food standards, particularly with the European Union (EU), and promotes an efficient and internationally competitive food industry, which are matters that FSANZ must have regard to under the FSANZ Act.</w:t>
      </w:r>
    </w:p>
    <w:p w:rsidR="00926291" w:rsidRDefault="00926291" w:rsidP="00926291">
      <w:pPr>
        <w:widowControl/>
      </w:pPr>
    </w:p>
    <w:p w:rsidR="00926291" w:rsidRDefault="00926291" w:rsidP="00926291">
      <w:pPr>
        <w:pStyle w:val="FSBullet"/>
      </w:pPr>
      <w:r w:rsidRPr="00B4611D">
        <w:t xml:space="preserve">The impact analysis concluded that the benefits of </w:t>
      </w:r>
      <w:r>
        <w:t>the amendment</w:t>
      </w:r>
      <w:r w:rsidR="00A32451">
        <w:t xml:space="preserve"> </w:t>
      </w:r>
      <w:r>
        <w:t xml:space="preserve">outweigh any associated costs. </w:t>
      </w:r>
    </w:p>
    <w:p w:rsidR="00926291" w:rsidRDefault="00926291" w:rsidP="00926291">
      <w:pPr>
        <w:widowControl/>
      </w:pPr>
    </w:p>
    <w:p w:rsidR="00926291" w:rsidRDefault="00926291" w:rsidP="00926291">
      <w:pPr>
        <w:pStyle w:val="FSBullet"/>
      </w:pPr>
      <w:r>
        <w:t>There are no relevant New Zealand standards that would impact on our decision to amend the Code.</w:t>
      </w:r>
    </w:p>
    <w:p w:rsidR="006D7450" w:rsidRDefault="006D7450"/>
    <w:p w:rsidR="00A32A9F" w:rsidRPr="00A32A9F" w:rsidRDefault="00926291" w:rsidP="00A32A9F">
      <w:pPr>
        <w:pStyle w:val="FSBullet"/>
      </w:pPr>
      <w:r>
        <w:t>There are no other measures than a variation to Standard 4.5.1 that could achieve the same end.</w:t>
      </w:r>
    </w:p>
    <w:p w:rsidR="00C92E07" w:rsidRDefault="00C92E07" w:rsidP="00DB2973"/>
    <w:p w:rsidR="00290C82" w:rsidRDefault="00290C82" w:rsidP="00290C82">
      <w:r>
        <w:t xml:space="preserve">The draft variation is provided in </w:t>
      </w:r>
      <w:r w:rsidRPr="00AC2D5B">
        <w:rPr>
          <w:b/>
        </w:rPr>
        <w:t>Attachment 1</w:t>
      </w:r>
      <w:r>
        <w:t>.</w:t>
      </w:r>
    </w:p>
    <w:p w:rsidR="00290C82" w:rsidRPr="00DC6570" w:rsidRDefault="00290C82" w:rsidP="00DB2973"/>
    <w:p w:rsidR="000D20F6" w:rsidRDefault="000D20F6">
      <w:pPr>
        <w:pStyle w:val="Heading2"/>
        <w:rPr>
          <w:rFonts w:cs="Arial"/>
        </w:rPr>
      </w:pPr>
      <w:bookmarkStart w:id="99" w:name="_Toc11735642"/>
      <w:bookmarkStart w:id="100" w:name="_Toc29883129"/>
      <w:bookmarkStart w:id="101" w:name="_Toc41906816"/>
      <w:bookmarkStart w:id="102" w:name="_Toc41907563"/>
      <w:bookmarkStart w:id="103" w:name="_Toc120358595"/>
      <w:bookmarkStart w:id="104" w:name="_Toc298406759"/>
      <w:r>
        <w:rPr>
          <w:rFonts w:cs="Arial"/>
        </w:rPr>
        <w:br w:type="page"/>
      </w:r>
    </w:p>
    <w:p w:rsidR="003C4969" w:rsidRPr="00DC6570" w:rsidRDefault="007A44B4">
      <w:pPr>
        <w:pStyle w:val="Heading2"/>
        <w:rPr>
          <w:rFonts w:cs="Arial"/>
        </w:rPr>
      </w:pPr>
      <w:r>
        <w:rPr>
          <w:rFonts w:cs="Arial"/>
        </w:rPr>
        <w:lastRenderedPageBreak/>
        <w:t>1</w:t>
      </w:r>
      <w:r w:rsidR="00F94A5D">
        <w:rPr>
          <w:rFonts w:cs="Arial"/>
        </w:rPr>
        <w:t>2</w:t>
      </w:r>
      <w:r w:rsidR="003C4969" w:rsidRPr="00DC6570">
        <w:rPr>
          <w:rFonts w:cs="Arial"/>
        </w:rPr>
        <w:t>.</w:t>
      </w:r>
      <w:r w:rsidR="003C4969" w:rsidRPr="00DC6570">
        <w:rPr>
          <w:rFonts w:cs="Arial"/>
        </w:rPr>
        <w:tab/>
      </w:r>
      <w:r w:rsidR="003C4969" w:rsidRPr="00837CAF">
        <w:rPr>
          <w:rFonts w:ascii="Arial" w:hAnsi="Arial" w:cs="Arial"/>
        </w:rPr>
        <w:t>Implementation</w:t>
      </w:r>
      <w:r w:rsidR="003C4969" w:rsidRPr="00DC6570">
        <w:rPr>
          <w:rFonts w:cs="Arial"/>
        </w:rPr>
        <w:t xml:space="preserve"> and Review</w:t>
      </w:r>
      <w:bookmarkEnd w:id="99"/>
      <w:bookmarkEnd w:id="100"/>
      <w:bookmarkEnd w:id="101"/>
      <w:bookmarkEnd w:id="102"/>
      <w:bookmarkEnd w:id="103"/>
      <w:bookmarkEnd w:id="104"/>
    </w:p>
    <w:p w:rsidR="003B6D44" w:rsidRDefault="003B6D44" w:rsidP="003B6D44"/>
    <w:p w:rsidR="00A01855" w:rsidRDefault="00A01855" w:rsidP="003B6D44">
      <w:r w:rsidRPr="00F4629F">
        <w:t xml:space="preserve">The FSANZ Board’s decision </w:t>
      </w:r>
      <w:r w:rsidR="00290C82">
        <w:t>has been</w:t>
      </w:r>
      <w:r w:rsidRPr="00F4629F">
        <w:t xml:space="preserve"> notified to the Ministerial Council. Following notification, the </w:t>
      </w:r>
      <w:r w:rsidR="00A32A9F">
        <w:t>proposed</w:t>
      </w:r>
      <w:r w:rsidR="007454AF">
        <w:t xml:space="preserve"> draft variation </w:t>
      </w:r>
      <w:r w:rsidR="00CF0BE6">
        <w:t>will</w:t>
      </w:r>
      <w:r w:rsidRPr="00F4629F">
        <w:t xml:space="preserve"> come into effect on gazettal, subject to any request from the Ministerial Council for a review of FSANZ’s decision.</w:t>
      </w:r>
    </w:p>
    <w:p w:rsidR="00917E86" w:rsidRPr="00F4629F" w:rsidRDefault="00917E86" w:rsidP="003B6D44"/>
    <w:p w:rsidR="00A01855" w:rsidRDefault="00A01855" w:rsidP="00A01855">
      <w:pPr>
        <w:pStyle w:val="Heading2"/>
      </w:pPr>
      <w:bookmarkStart w:id="105" w:name="_Toc298406760"/>
      <w:r>
        <w:t>1</w:t>
      </w:r>
      <w:r w:rsidR="00F94A5D">
        <w:t>3</w:t>
      </w:r>
      <w:r>
        <w:t>.</w:t>
      </w:r>
      <w:r>
        <w:tab/>
        <w:t>References</w:t>
      </w:r>
      <w:bookmarkEnd w:id="105"/>
    </w:p>
    <w:p w:rsidR="00A01855" w:rsidRDefault="00A01855" w:rsidP="00A01855"/>
    <w:p w:rsidR="00A01855" w:rsidRPr="003D5E39" w:rsidRDefault="00A01855" w:rsidP="00A01855">
      <w:pPr>
        <w:rPr>
          <w:sz w:val="20"/>
          <w:szCs w:val="20"/>
        </w:rPr>
      </w:pPr>
      <w:r w:rsidRPr="003D5E39">
        <w:rPr>
          <w:sz w:val="20"/>
          <w:szCs w:val="20"/>
        </w:rPr>
        <w:t xml:space="preserve">Agreement between Australia and the European Community on Trade in Wine. </w:t>
      </w:r>
    </w:p>
    <w:p w:rsidR="00A01855" w:rsidRPr="003D5E39" w:rsidRDefault="00A01855" w:rsidP="00A01855">
      <w:pPr>
        <w:rPr>
          <w:sz w:val="20"/>
          <w:szCs w:val="20"/>
        </w:rPr>
      </w:pPr>
      <w:r w:rsidRPr="003D5E39">
        <w:rPr>
          <w:sz w:val="20"/>
          <w:szCs w:val="20"/>
        </w:rPr>
        <w:t xml:space="preserve">Available from various websites including the Department of Agriculture, Fisheries and Forestry (DAFF). </w:t>
      </w:r>
      <w:hyperlink r:id="rId14" w:history="1">
        <w:r w:rsidRPr="003D5E39">
          <w:rPr>
            <w:rStyle w:val="Hyperlink"/>
            <w:color w:val="0000FF"/>
            <w:sz w:val="20"/>
            <w:szCs w:val="20"/>
          </w:rPr>
          <w:t>http://www.daff.gov.au/__data/assets/pdf_file/0011/913754/wine-agreement.pdf</w:t>
        </w:r>
      </w:hyperlink>
      <w:r w:rsidRPr="003D5E39">
        <w:rPr>
          <w:color w:val="0000FF"/>
          <w:sz w:val="20"/>
          <w:szCs w:val="20"/>
        </w:rPr>
        <w:t>.</w:t>
      </w:r>
      <w:r w:rsidRPr="003D5E39">
        <w:rPr>
          <w:sz w:val="20"/>
          <w:szCs w:val="20"/>
        </w:rPr>
        <w:t xml:space="preserve"> Accessed 26 October 2010.</w:t>
      </w:r>
    </w:p>
    <w:p w:rsidR="00A01855" w:rsidRDefault="00A01855" w:rsidP="00A01855">
      <w:pPr>
        <w:widowControl/>
      </w:pPr>
    </w:p>
    <w:p w:rsidR="00A01855" w:rsidRPr="007602AA" w:rsidRDefault="00A01855" w:rsidP="00A01855">
      <w:pPr>
        <w:rPr>
          <w:rFonts w:ascii="Tahoma" w:hAnsi="Tahoma" w:cs="Tahoma"/>
          <w:b/>
          <w:bCs/>
          <w:sz w:val="28"/>
          <w:u w:val="single"/>
        </w:rPr>
      </w:pPr>
      <w:r w:rsidRPr="007602AA">
        <w:rPr>
          <w:rFonts w:ascii="Tahoma" w:hAnsi="Tahoma" w:cs="Tahoma"/>
          <w:b/>
          <w:bCs/>
          <w:sz w:val="28"/>
          <w:u w:val="single"/>
        </w:rPr>
        <w:t>ATTACHMENTS</w:t>
      </w:r>
    </w:p>
    <w:p w:rsidR="00A01855" w:rsidRPr="00CD4414" w:rsidRDefault="00A01855" w:rsidP="00A01855">
      <w:pPr>
        <w:rPr>
          <w:rFonts w:cs="Arial"/>
        </w:rPr>
      </w:pPr>
    </w:p>
    <w:p w:rsidR="00A01855" w:rsidRDefault="00A01855" w:rsidP="00A01855">
      <w:r w:rsidRPr="006A48A7">
        <w:t>1.</w:t>
      </w:r>
      <w:r w:rsidRPr="006A48A7">
        <w:tab/>
        <w:t xml:space="preserve">Draft variation to the </w:t>
      </w:r>
      <w:r w:rsidRPr="006A48A7">
        <w:rPr>
          <w:i/>
        </w:rPr>
        <w:t>Australia New Zealand Food Standards Code</w:t>
      </w:r>
      <w:r w:rsidRPr="006A48A7">
        <w:t xml:space="preserve"> </w:t>
      </w:r>
    </w:p>
    <w:p w:rsidR="00A01855" w:rsidRPr="006A48A7" w:rsidRDefault="00A01855" w:rsidP="00A01855">
      <w:r>
        <w:t xml:space="preserve">2. </w:t>
      </w:r>
      <w:r>
        <w:tab/>
        <w:t xml:space="preserve">Summary of </w:t>
      </w:r>
      <w:r w:rsidR="00C95102">
        <w:t>issues raised in public submissions</w:t>
      </w:r>
    </w:p>
    <w:p w:rsidR="00A01855" w:rsidRDefault="00A01855">
      <w:pPr>
        <w:pStyle w:val="Header"/>
        <w:rPr>
          <w:rFonts w:cs="Arial"/>
        </w:rPr>
      </w:pPr>
    </w:p>
    <w:p w:rsidR="003C4969" w:rsidRPr="00DC6570" w:rsidRDefault="003C4969">
      <w:pPr>
        <w:pStyle w:val="Heading2"/>
        <w:jc w:val="right"/>
        <w:rPr>
          <w:rFonts w:cs="Arial"/>
        </w:rPr>
      </w:pPr>
      <w:r w:rsidRPr="00DC2129">
        <w:br w:type="page"/>
      </w:r>
      <w:bookmarkStart w:id="106" w:name="_Toc29883131"/>
      <w:bookmarkStart w:id="107" w:name="_Toc41906818"/>
      <w:bookmarkStart w:id="108" w:name="_Toc41907565"/>
      <w:bookmarkStart w:id="109" w:name="_Toc120358596"/>
      <w:bookmarkStart w:id="110" w:name="_Toc298406761"/>
      <w:bookmarkStart w:id="111" w:name="_Toc11735644"/>
      <w:r w:rsidRPr="00DC6570">
        <w:rPr>
          <w:rFonts w:cs="Arial"/>
        </w:rPr>
        <w:lastRenderedPageBreak/>
        <w:t xml:space="preserve">Attachment </w:t>
      </w:r>
      <w:bookmarkEnd w:id="106"/>
      <w:bookmarkEnd w:id="107"/>
      <w:bookmarkEnd w:id="108"/>
      <w:r w:rsidRPr="00DC6570">
        <w:rPr>
          <w:rFonts w:cs="Arial"/>
        </w:rPr>
        <w:t>1</w:t>
      </w:r>
      <w:bookmarkEnd w:id="109"/>
      <w:bookmarkEnd w:id="110"/>
    </w:p>
    <w:p w:rsidR="00CF0BE6" w:rsidRDefault="00CF0BE6" w:rsidP="00CF0BE6">
      <w:bookmarkStart w:id="112" w:name="_Toc120358597"/>
      <w:bookmarkStart w:id="113" w:name="_Toc290027038"/>
      <w:bookmarkStart w:id="114" w:name="_Toc290294781"/>
      <w:bookmarkStart w:id="115" w:name="_Toc290295458"/>
      <w:bookmarkStart w:id="116" w:name="_Toc290904875"/>
      <w:bookmarkStart w:id="117" w:name="_Toc290905612"/>
    </w:p>
    <w:p w:rsidR="00CF0BE6" w:rsidRPr="005F1FC5" w:rsidRDefault="00CF0BE6" w:rsidP="00CF0BE6">
      <w:pPr>
        <w:pStyle w:val="Heading2"/>
      </w:pPr>
      <w:bookmarkStart w:id="118" w:name="_Toc298332196"/>
      <w:bookmarkStart w:id="119" w:name="_Toc298405669"/>
      <w:bookmarkStart w:id="120" w:name="_Toc298406762"/>
      <w:r w:rsidRPr="005F1FC5">
        <w:t xml:space="preserve">Draft variation to the </w:t>
      </w:r>
      <w:r w:rsidRPr="000D20F6">
        <w:rPr>
          <w:i/>
        </w:rPr>
        <w:t>Australia New Zealand Food Standards Code</w:t>
      </w:r>
      <w:bookmarkEnd w:id="112"/>
      <w:bookmarkEnd w:id="113"/>
      <w:bookmarkEnd w:id="114"/>
      <w:bookmarkEnd w:id="115"/>
      <w:bookmarkEnd w:id="116"/>
      <w:bookmarkEnd w:id="117"/>
      <w:bookmarkEnd w:id="118"/>
      <w:bookmarkEnd w:id="119"/>
      <w:bookmarkEnd w:id="120"/>
    </w:p>
    <w:p w:rsidR="003C4969" w:rsidRDefault="003C4969" w:rsidP="00F05621"/>
    <w:bookmarkEnd w:id="111"/>
    <w:p w:rsidR="00EA2D0E" w:rsidRPr="006C7B2E" w:rsidRDefault="00EA2D0E" w:rsidP="00EA2D0E">
      <w:pPr>
        <w:rPr>
          <w:noProof/>
          <w:lang w:val="en-AU" w:eastAsia="en-AU"/>
        </w:rPr>
      </w:pPr>
      <w:r>
        <w:rPr>
          <w:noProof/>
          <w:sz w:val="26"/>
          <w:lang w:val="en-AU" w:eastAsia="en-AU" w:bidi="ar-SA"/>
        </w:rPr>
        <w:drawing>
          <wp:inline distT="0" distB="0" distL="0" distR="0">
            <wp:extent cx="2657475" cy="438150"/>
            <wp:effectExtent l="0" t="0" r="9525"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EA2D0E" w:rsidRPr="006C7B2E" w:rsidRDefault="00EA2D0E" w:rsidP="00EA2D0E">
      <w:pPr>
        <w:pStyle w:val="Title"/>
        <w:pBdr>
          <w:bottom w:val="single" w:sz="4" w:space="3" w:color="auto"/>
        </w:pBdr>
        <w:rPr>
          <w:b w:val="0"/>
          <w:bCs w:val="0"/>
          <w:szCs w:val="20"/>
          <w:lang w:val="en-GB"/>
        </w:rPr>
      </w:pPr>
    </w:p>
    <w:p w:rsidR="00EA2D0E" w:rsidRPr="00AD1FB0" w:rsidRDefault="00EA2D0E" w:rsidP="00EA2D0E">
      <w:pPr>
        <w:pStyle w:val="Title"/>
        <w:pBdr>
          <w:bottom w:val="single" w:sz="4" w:space="3" w:color="auto"/>
        </w:pBdr>
        <w:jc w:val="left"/>
        <w:rPr>
          <w:szCs w:val="20"/>
        </w:rPr>
      </w:pPr>
      <w:r w:rsidRPr="00AD1FB0">
        <w:rPr>
          <w:szCs w:val="20"/>
        </w:rPr>
        <w:t>Food Standards (Application A1026 – Minimum Alcohol Content for Wine) Variation</w:t>
      </w:r>
    </w:p>
    <w:p w:rsidR="00EA2D0E" w:rsidRPr="00AD1FB0" w:rsidRDefault="00EA2D0E" w:rsidP="00EA2D0E">
      <w:pPr>
        <w:rPr>
          <w:sz w:val="20"/>
          <w:szCs w:val="20"/>
        </w:rPr>
      </w:pPr>
    </w:p>
    <w:p w:rsidR="00EA2D0E" w:rsidRPr="00AD1FB0" w:rsidRDefault="00EA2D0E" w:rsidP="00EA2D0E">
      <w:pPr>
        <w:rPr>
          <w:sz w:val="20"/>
          <w:szCs w:val="20"/>
        </w:rPr>
      </w:pPr>
      <w:r w:rsidRPr="00AD1FB0">
        <w:rPr>
          <w:sz w:val="20"/>
          <w:szCs w:val="20"/>
        </w:rPr>
        <w:t xml:space="preserve">The Board of Food Standards Australia New Zealand gives notice of the making of this variation under section 92 of the </w:t>
      </w:r>
      <w:r w:rsidRPr="00AD1FB0">
        <w:rPr>
          <w:i/>
          <w:sz w:val="20"/>
          <w:szCs w:val="20"/>
        </w:rPr>
        <w:t>Food Standards Australia New Zealand Act 1991</w:t>
      </w:r>
      <w:r w:rsidRPr="00AD1FB0">
        <w:rPr>
          <w:sz w:val="20"/>
          <w:szCs w:val="20"/>
        </w:rPr>
        <w:t>.  The Standard commences on the date specified in clause 3 of this variation.</w:t>
      </w:r>
    </w:p>
    <w:p w:rsidR="00EA2D0E" w:rsidRPr="00AD1FB0" w:rsidRDefault="00EA2D0E" w:rsidP="00EA2D0E">
      <w:pPr>
        <w:rPr>
          <w:sz w:val="20"/>
          <w:szCs w:val="20"/>
        </w:rPr>
      </w:pPr>
    </w:p>
    <w:p w:rsidR="00EA2D0E" w:rsidRPr="00AD1FB0" w:rsidRDefault="00EA2D0E" w:rsidP="00EA2D0E">
      <w:pPr>
        <w:rPr>
          <w:sz w:val="20"/>
          <w:szCs w:val="20"/>
        </w:rPr>
      </w:pPr>
      <w:r w:rsidRPr="00AD1FB0">
        <w:rPr>
          <w:sz w:val="20"/>
          <w:szCs w:val="20"/>
        </w:rPr>
        <w:t>Dated  XXXX</w:t>
      </w:r>
    </w:p>
    <w:p w:rsidR="00EA2D0E" w:rsidRPr="00AD1FB0" w:rsidRDefault="00EA2D0E" w:rsidP="00EA2D0E">
      <w:pPr>
        <w:rPr>
          <w:noProof/>
          <w:sz w:val="20"/>
          <w:szCs w:val="20"/>
          <w:lang w:val="en-AU" w:eastAsia="en-AU"/>
        </w:rPr>
      </w:pPr>
    </w:p>
    <w:p w:rsidR="00EA2D0E" w:rsidRPr="00AD1FB0" w:rsidRDefault="00EA2D0E" w:rsidP="00EA2D0E">
      <w:pPr>
        <w:rPr>
          <w:noProof/>
          <w:sz w:val="20"/>
          <w:szCs w:val="20"/>
          <w:lang w:val="en-AU" w:eastAsia="en-AU"/>
        </w:rPr>
      </w:pPr>
    </w:p>
    <w:p w:rsidR="00EA2D0E" w:rsidRPr="00AD1FB0" w:rsidRDefault="00EA2D0E" w:rsidP="00EA2D0E">
      <w:pPr>
        <w:rPr>
          <w:noProof/>
          <w:sz w:val="20"/>
          <w:szCs w:val="20"/>
          <w:lang w:val="en-AU" w:eastAsia="en-AU"/>
        </w:rPr>
      </w:pPr>
      <w:r w:rsidRPr="00AD1FB0">
        <w:rPr>
          <w:noProof/>
          <w:sz w:val="20"/>
          <w:szCs w:val="20"/>
          <w:lang w:val="en-AU" w:eastAsia="en-AU"/>
        </w:rPr>
        <w:t>[Signature to be inserted]</w:t>
      </w:r>
    </w:p>
    <w:p w:rsidR="00EA2D0E" w:rsidRPr="00AD1FB0" w:rsidRDefault="00EA2D0E" w:rsidP="00EA2D0E">
      <w:pPr>
        <w:rPr>
          <w:sz w:val="20"/>
          <w:szCs w:val="20"/>
        </w:rPr>
      </w:pPr>
    </w:p>
    <w:p w:rsidR="00EA2D0E" w:rsidRPr="00AD1FB0" w:rsidRDefault="00EA2D0E" w:rsidP="00EA2D0E">
      <w:pPr>
        <w:rPr>
          <w:sz w:val="20"/>
          <w:szCs w:val="20"/>
        </w:rPr>
      </w:pPr>
    </w:p>
    <w:p w:rsidR="00EA2D0E" w:rsidRPr="00AD1FB0" w:rsidRDefault="00EA2D0E" w:rsidP="00EA2D0E">
      <w:pPr>
        <w:rPr>
          <w:sz w:val="20"/>
          <w:szCs w:val="20"/>
        </w:rPr>
      </w:pPr>
    </w:p>
    <w:p w:rsidR="00EA2D0E" w:rsidRPr="00AD1FB0" w:rsidRDefault="00EA2D0E" w:rsidP="00EA2D0E">
      <w:pPr>
        <w:rPr>
          <w:sz w:val="20"/>
          <w:szCs w:val="20"/>
        </w:rPr>
      </w:pPr>
      <w:r w:rsidRPr="00AD1FB0">
        <w:rPr>
          <w:sz w:val="20"/>
          <w:szCs w:val="20"/>
        </w:rPr>
        <w:t>Standards Management Officer</w:t>
      </w:r>
    </w:p>
    <w:p w:rsidR="00EA2D0E" w:rsidRPr="00AD1FB0" w:rsidRDefault="00EA2D0E" w:rsidP="00EA2D0E">
      <w:pPr>
        <w:rPr>
          <w:sz w:val="20"/>
          <w:szCs w:val="20"/>
        </w:rPr>
      </w:pPr>
      <w:r w:rsidRPr="00AD1FB0">
        <w:rPr>
          <w:sz w:val="20"/>
          <w:szCs w:val="20"/>
        </w:rPr>
        <w:t>Delegate of the Board of Food Standards Australia New Zealand</w:t>
      </w:r>
    </w:p>
    <w:p w:rsidR="00EA2D0E" w:rsidRDefault="00EA2D0E" w:rsidP="00EA2D0E"/>
    <w:p w:rsidR="00EA2D0E" w:rsidRDefault="00EA2D0E" w:rsidP="00EA2D0E"/>
    <w:p w:rsidR="00EA2D0E" w:rsidRDefault="00EA2D0E" w:rsidP="00EA2D0E">
      <w:pPr>
        <w:pStyle w:val="Clauseheading"/>
      </w:pPr>
      <w:r>
        <w:rPr>
          <w:color w:val="7030A0"/>
          <w:sz w:val="28"/>
          <w:szCs w:val="28"/>
        </w:rPr>
        <w:br w:type="page"/>
      </w:r>
      <w:r>
        <w:lastRenderedPageBreak/>
        <w:t>1</w:t>
      </w:r>
      <w:r>
        <w:tab/>
        <w:t>Name</w:t>
      </w:r>
    </w:p>
    <w:p w:rsidR="00EA2D0E" w:rsidRDefault="00EA2D0E" w:rsidP="00EA2D0E">
      <w:pPr>
        <w:pStyle w:val="Clause"/>
      </w:pPr>
    </w:p>
    <w:p w:rsidR="00EA2D0E" w:rsidRPr="002F0EC2" w:rsidRDefault="00EA2D0E" w:rsidP="00EA2D0E">
      <w:pPr>
        <w:pStyle w:val="Clause"/>
      </w:pPr>
      <w:r>
        <w:t xml:space="preserve">This instrument is the </w:t>
      </w:r>
      <w:r w:rsidRPr="00280B5D">
        <w:rPr>
          <w:i/>
        </w:rPr>
        <w:t>Food Standards (Application A1026 – Minimum Alcohol Content for Wine) Variation</w:t>
      </w:r>
      <w:r>
        <w:t>.</w:t>
      </w:r>
    </w:p>
    <w:p w:rsidR="00EA2D0E" w:rsidRDefault="00EA2D0E" w:rsidP="00EA2D0E"/>
    <w:p w:rsidR="00EA2D0E" w:rsidRDefault="00EA2D0E" w:rsidP="00EA2D0E">
      <w:pPr>
        <w:pStyle w:val="Clauseheading"/>
      </w:pPr>
      <w:r>
        <w:t>2</w:t>
      </w:r>
      <w:r>
        <w:tab/>
        <w:t xml:space="preserve">Variation to Standards in the </w:t>
      </w:r>
      <w:r w:rsidRPr="00FF1C11">
        <w:rPr>
          <w:i/>
        </w:rPr>
        <w:t>Australia New Zealand Food Standards Code</w:t>
      </w:r>
    </w:p>
    <w:p w:rsidR="00EA2D0E" w:rsidRDefault="00EA2D0E" w:rsidP="00EA2D0E">
      <w:pPr>
        <w:pStyle w:val="Clause"/>
      </w:pPr>
    </w:p>
    <w:p w:rsidR="00EA2D0E" w:rsidRDefault="00EA2D0E" w:rsidP="00EA2D0E">
      <w:pPr>
        <w:pStyle w:val="Clause"/>
      </w:pPr>
      <w:r>
        <w:t xml:space="preserve">The Schedule varies the Standards in the </w:t>
      </w:r>
      <w:r w:rsidRPr="00FF1C11">
        <w:rPr>
          <w:i/>
        </w:rPr>
        <w:t>Australia New Zealand Food Standards Code</w:t>
      </w:r>
      <w:r>
        <w:t>.</w:t>
      </w:r>
    </w:p>
    <w:p w:rsidR="00EA2D0E" w:rsidRDefault="00EA2D0E" w:rsidP="00EA2D0E"/>
    <w:p w:rsidR="00EA2D0E" w:rsidRDefault="00EA2D0E" w:rsidP="00EA2D0E">
      <w:pPr>
        <w:pStyle w:val="Clauseheading"/>
      </w:pPr>
      <w:r>
        <w:t>3</w:t>
      </w:r>
      <w:r>
        <w:tab/>
        <w:t>Commencement</w:t>
      </w:r>
    </w:p>
    <w:p w:rsidR="00EA2D0E" w:rsidRDefault="00EA2D0E" w:rsidP="00EA2D0E">
      <w:pPr>
        <w:pStyle w:val="Clause"/>
      </w:pPr>
    </w:p>
    <w:p w:rsidR="00EA2D0E" w:rsidRPr="00606CEF" w:rsidRDefault="00EA2D0E" w:rsidP="00EA2D0E">
      <w:pPr>
        <w:pStyle w:val="Clause"/>
      </w:pPr>
      <w:r>
        <w:t xml:space="preserve">This variation commences </w:t>
      </w:r>
      <w:r>
        <w:rPr>
          <w:b/>
        </w:rPr>
        <w:t xml:space="preserve">on the date of </w:t>
      </w:r>
      <w:r w:rsidRPr="001D3CE6">
        <w:rPr>
          <w:b/>
        </w:rPr>
        <w:t>gazettal</w:t>
      </w:r>
      <w:r w:rsidRPr="001D3CE6">
        <w:t>.</w:t>
      </w:r>
    </w:p>
    <w:p w:rsidR="00EA2D0E" w:rsidRDefault="00EA2D0E" w:rsidP="00EA2D0E"/>
    <w:p w:rsidR="00EA2D0E" w:rsidRDefault="00EA2D0E" w:rsidP="00EA2D0E">
      <w:pPr>
        <w:pStyle w:val="ScheduleHeading"/>
      </w:pPr>
      <w:r>
        <w:t>SCHEDULE</w:t>
      </w:r>
    </w:p>
    <w:p w:rsidR="00EA2D0E" w:rsidRPr="00E54E69" w:rsidRDefault="00EA2D0E" w:rsidP="00EA2D0E"/>
    <w:p w:rsidR="00EA2D0E" w:rsidRPr="007358C9" w:rsidRDefault="00EA2D0E" w:rsidP="00EA2D0E">
      <w:pPr>
        <w:pStyle w:val="Clause"/>
      </w:pPr>
      <w:r w:rsidRPr="008B769A">
        <w:rPr>
          <w:b/>
        </w:rPr>
        <w:t>[</w:t>
      </w:r>
      <w:r>
        <w:rPr>
          <w:b/>
        </w:rPr>
        <w:t>1</w:t>
      </w:r>
      <w:r w:rsidRPr="008B769A">
        <w:rPr>
          <w:b/>
        </w:rPr>
        <w:t>]</w:t>
      </w:r>
      <w:r w:rsidRPr="007358C9">
        <w:tab/>
      </w:r>
      <w:r>
        <w:rPr>
          <w:b/>
          <w:i/>
        </w:rPr>
        <w:t>Standard 4.5.1</w:t>
      </w:r>
      <w:r w:rsidRPr="007358C9">
        <w:rPr>
          <w:b/>
          <w:i/>
        </w:rPr>
        <w:t xml:space="preserve"> </w:t>
      </w:r>
      <w:r>
        <w:rPr>
          <w:i/>
        </w:rPr>
        <w:t>is varied by omitting subclause 5(1), substituting</w:t>
      </w:r>
      <w:r w:rsidRPr="007358C9">
        <w:t xml:space="preserve"> –</w:t>
      </w:r>
    </w:p>
    <w:p w:rsidR="00EA2D0E" w:rsidRPr="007358C9" w:rsidRDefault="00EA2D0E" w:rsidP="00EA2D0E"/>
    <w:p w:rsidR="00EA2D0E" w:rsidRDefault="00EA2D0E" w:rsidP="00EA2D0E">
      <w:pPr>
        <w:pStyle w:val="Subclause"/>
      </w:pPr>
      <w:r>
        <w:t>(1)</w:t>
      </w:r>
      <w:r>
        <w:tab/>
        <w:t>Wine and sparkling wine must contain no less than 45 mL/L of ethanol at 20˚C.</w:t>
      </w:r>
    </w:p>
    <w:p w:rsidR="00EA2D0E" w:rsidRPr="004153B1" w:rsidRDefault="00EA2D0E" w:rsidP="00EA2D0E">
      <w:pPr>
        <w:pStyle w:val="Clause"/>
      </w:pPr>
    </w:p>
    <w:p w:rsidR="001E7596" w:rsidRDefault="001E7596" w:rsidP="001E7596">
      <w:pPr>
        <w:jc w:val="center"/>
        <w:rPr>
          <w:rFonts w:cs="Arial"/>
          <w:i/>
        </w:rPr>
      </w:pPr>
    </w:p>
    <w:p w:rsidR="00092D80" w:rsidRDefault="00092D80" w:rsidP="00EA2D0E">
      <w:pPr>
        <w:widowControl/>
        <w:rPr>
          <w:rFonts w:cs="Arial"/>
        </w:rPr>
        <w:sectPr w:rsidR="00092D80" w:rsidSect="00FC19E2">
          <w:pgSz w:w="11906" w:h="16838"/>
          <w:pgMar w:top="1440" w:right="1440" w:bottom="1440" w:left="1440" w:header="709" w:footer="709" w:gutter="0"/>
          <w:pgNumType w:start="1"/>
          <w:cols w:space="708"/>
          <w:docGrid w:linePitch="360"/>
        </w:sectPr>
      </w:pPr>
      <w:bookmarkStart w:id="121" w:name="_Toc120358598"/>
    </w:p>
    <w:p w:rsidR="003C4969" w:rsidRPr="00DC6570" w:rsidRDefault="003C4969">
      <w:pPr>
        <w:pStyle w:val="Heading2"/>
        <w:jc w:val="right"/>
        <w:rPr>
          <w:rFonts w:cs="Arial"/>
        </w:rPr>
      </w:pPr>
      <w:bookmarkStart w:id="122" w:name="_Toc298406763"/>
      <w:r w:rsidRPr="00DC6570">
        <w:rPr>
          <w:rFonts w:cs="Arial"/>
        </w:rPr>
        <w:lastRenderedPageBreak/>
        <w:t>Attachment 2</w:t>
      </w:r>
      <w:bookmarkEnd w:id="121"/>
      <w:bookmarkEnd w:id="122"/>
    </w:p>
    <w:p w:rsidR="003C4969" w:rsidRPr="00DC2129" w:rsidRDefault="003C4969" w:rsidP="00DC2129"/>
    <w:p w:rsidR="003C4969" w:rsidRDefault="00F05621" w:rsidP="00F05621">
      <w:pPr>
        <w:pStyle w:val="Heading2"/>
      </w:pPr>
      <w:bookmarkStart w:id="123" w:name="_Toc292373293"/>
      <w:bookmarkStart w:id="124" w:name="_Toc292701685"/>
      <w:bookmarkStart w:id="125" w:name="_Toc297710830"/>
      <w:bookmarkStart w:id="126" w:name="_Toc297710977"/>
      <w:bookmarkStart w:id="127" w:name="_Toc297897595"/>
      <w:bookmarkStart w:id="128" w:name="_Toc298332198"/>
      <w:bookmarkStart w:id="129" w:name="_Toc298405671"/>
      <w:bookmarkStart w:id="130" w:name="_Toc298406764"/>
      <w:r>
        <w:t xml:space="preserve">Summary of </w:t>
      </w:r>
      <w:r w:rsidR="00F33A38">
        <w:t xml:space="preserve">issues raised in </w:t>
      </w:r>
      <w:bookmarkEnd w:id="123"/>
      <w:bookmarkEnd w:id="124"/>
      <w:r w:rsidR="004A2D64">
        <w:t>public submissions</w:t>
      </w:r>
      <w:bookmarkEnd w:id="125"/>
      <w:bookmarkEnd w:id="126"/>
      <w:bookmarkEnd w:id="127"/>
      <w:bookmarkEnd w:id="128"/>
      <w:bookmarkEnd w:id="129"/>
      <w:bookmarkEnd w:id="130"/>
    </w:p>
    <w:p w:rsidR="003C4969" w:rsidRDefault="003C4969"/>
    <w:p w:rsidR="00CE4812" w:rsidRDefault="00030C78" w:rsidP="00CE4812">
      <w:pPr>
        <w:rPr>
          <w:lang w:val="en-AU" w:eastAsia="en-AU" w:bidi="ar-SA"/>
        </w:rPr>
      </w:pPr>
      <w:r>
        <w:rPr>
          <w:lang w:val="en-AU" w:eastAsia="en-AU" w:bidi="ar-SA"/>
        </w:rPr>
        <w:t>The</w:t>
      </w:r>
      <w:r w:rsidR="00FD7179">
        <w:rPr>
          <w:lang w:val="en-AU" w:eastAsia="en-AU" w:bidi="ar-SA"/>
        </w:rPr>
        <w:t xml:space="preserve"> Assessment Report for this </w:t>
      </w:r>
      <w:r w:rsidR="00CE4812">
        <w:rPr>
          <w:lang w:val="en-AU" w:eastAsia="en-AU" w:bidi="ar-SA"/>
        </w:rPr>
        <w:t>Application</w:t>
      </w:r>
      <w:r w:rsidR="00FD7179">
        <w:rPr>
          <w:lang w:val="en-AU" w:eastAsia="en-AU" w:bidi="ar-SA"/>
        </w:rPr>
        <w:t xml:space="preserve"> was </w:t>
      </w:r>
      <w:r>
        <w:rPr>
          <w:lang w:val="en-AU" w:eastAsia="en-AU" w:bidi="ar-SA"/>
        </w:rPr>
        <w:t>advertised for public comment</w:t>
      </w:r>
      <w:r w:rsidR="00FD7179">
        <w:rPr>
          <w:lang w:val="en-AU" w:eastAsia="en-AU" w:bidi="ar-SA"/>
        </w:rPr>
        <w:t xml:space="preserve"> from 21 April 2011 to 2 June 2011. </w:t>
      </w:r>
      <w:r w:rsidR="00CE4812">
        <w:rPr>
          <w:lang w:val="en-AU" w:eastAsia="en-AU" w:bidi="ar-SA"/>
        </w:rPr>
        <w:t xml:space="preserve">Comments were specifically sought on the potential costs and benefits to all stakeholders. A total of </w:t>
      </w:r>
      <w:r w:rsidR="00CE4812" w:rsidRPr="00CE4812">
        <w:t>e</w:t>
      </w:r>
      <w:r w:rsidR="007B75DB" w:rsidRPr="00CE4812">
        <w:t>leven</w:t>
      </w:r>
      <w:r w:rsidR="00CE4812">
        <w:t xml:space="preserve"> submissions were received. </w:t>
      </w:r>
      <w:r w:rsidR="00CE4812">
        <w:rPr>
          <w:lang w:val="en-AU" w:eastAsia="en-AU" w:bidi="ar-SA"/>
        </w:rPr>
        <w:t xml:space="preserve">A summary of the issues raised and the response from FSANZ is provided in Table 1 below, noting the two options </w:t>
      </w:r>
      <w:r w:rsidR="00883C65">
        <w:rPr>
          <w:lang w:val="en-AU" w:eastAsia="en-AU" w:bidi="ar-SA"/>
        </w:rPr>
        <w:t xml:space="preserve">in the Assessment Report </w:t>
      </w:r>
      <w:r w:rsidR="00CE4812">
        <w:rPr>
          <w:lang w:val="en-AU" w:eastAsia="en-AU" w:bidi="ar-SA"/>
        </w:rPr>
        <w:t>for this Application</w:t>
      </w:r>
      <w:r w:rsidR="00883C65">
        <w:rPr>
          <w:lang w:val="en-AU" w:eastAsia="en-AU" w:bidi="ar-SA"/>
        </w:rPr>
        <w:t xml:space="preserve"> were</w:t>
      </w:r>
      <w:r w:rsidR="00CE4812">
        <w:rPr>
          <w:lang w:val="en-AU" w:eastAsia="en-AU" w:bidi="ar-SA"/>
        </w:rPr>
        <w:t>:</w:t>
      </w:r>
    </w:p>
    <w:p w:rsidR="00394B82" w:rsidRPr="00030C78" w:rsidRDefault="00394B82"/>
    <w:p w:rsidR="00CE4812" w:rsidRPr="00CE4812" w:rsidRDefault="00394B82" w:rsidP="00CE4812">
      <w:r w:rsidRPr="00CE4812">
        <w:rPr>
          <w:b/>
          <w:i/>
        </w:rPr>
        <w:t>Option 1</w:t>
      </w:r>
      <w:r w:rsidRPr="00CE4812">
        <w:rPr>
          <w:b/>
          <w:i/>
        </w:rPr>
        <w:tab/>
      </w:r>
      <w:r w:rsidR="00CE4812" w:rsidRPr="00CE4812">
        <w:t xml:space="preserve">Reject the Application, thus maintaining the status quo. </w:t>
      </w:r>
    </w:p>
    <w:p w:rsidR="00CE4812" w:rsidRPr="00047BE3" w:rsidRDefault="00394B82" w:rsidP="00CE4812">
      <w:r w:rsidRPr="00CE4812">
        <w:rPr>
          <w:b/>
          <w:i/>
        </w:rPr>
        <w:t>Option 2</w:t>
      </w:r>
      <w:r w:rsidRPr="00CE4812">
        <w:rPr>
          <w:b/>
          <w:i/>
        </w:rPr>
        <w:tab/>
      </w:r>
      <w:r w:rsidR="00CE4812" w:rsidRPr="00CE4812">
        <w:t>Prepare</w:t>
      </w:r>
      <w:r w:rsidR="00CE4812" w:rsidRPr="00047BE3">
        <w:t xml:space="preserve"> a draft variation to Standard 4.5.1 </w:t>
      </w:r>
    </w:p>
    <w:p w:rsidR="00394B82" w:rsidRPr="00030C78" w:rsidRDefault="00394B82"/>
    <w:p w:rsidR="00FD7179" w:rsidRPr="00CE4812" w:rsidRDefault="00CE4812" w:rsidP="00CE4812">
      <w:pPr>
        <w:pStyle w:val="FSTableTitle"/>
      </w:pPr>
      <w:r w:rsidRPr="00CE4812">
        <w:t>Summary of issues raised in public submissions and FSANZ response</w:t>
      </w:r>
    </w:p>
    <w:p w:rsidR="00394B82" w:rsidRDefault="00394B82"/>
    <w:tbl>
      <w:tblPr>
        <w:tblStyle w:val="TableGrid"/>
        <w:tblW w:w="14174" w:type="dxa"/>
        <w:tblLook w:val="04A0" w:firstRow="1" w:lastRow="0" w:firstColumn="1" w:lastColumn="0" w:noHBand="0" w:noVBand="1"/>
      </w:tblPr>
      <w:tblGrid>
        <w:gridCol w:w="2904"/>
        <w:gridCol w:w="5721"/>
        <w:gridCol w:w="5549"/>
      </w:tblGrid>
      <w:tr w:rsidR="00092D80" w:rsidRPr="00E457AE" w:rsidTr="00A708B0">
        <w:trPr>
          <w:cantSplit/>
          <w:tblHeader/>
        </w:trPr>
        <w:tc>
          <w:tcPr>
            <w:tcW w:w="2904" w:type="dxa"/>
            <w:shd w:val="clear" w:color="auto" w:fill="C2D69B" w:themeFill="accent3" w:themeFillTint="99"/>
          </w:tcPr>
          <w:p w:rsidR="00092D80" w:rsidRDefault="00092D80" w:rsidP="00E457AE">
            <w:pPr>
              <w:pStyle w:val="FSTableHeading"/>
            </w:pPr>
            <w:r w:rsidRPr="00E457AE">
              <w:t>Submitter</w:t>
            </w:r>
          </w:p>
          <w:p w:rsidR="00A708B0" w:rsidRPr="00E457AE" w:rsidRDefault="00A708B0" w:rsidP="00E457AE">
            <w:pPr>
              <w:pStyle w:val="FSTableHeading"/>
            </w:pPr>
          </w:p>
        </w:tc>
        <w:tc>
          <w:tcPr>
            <w:tcW w:w="5721" w:type="dxa"/>
            <w:shd w:val="clear" w:color="auto" w:fill="C2D69B" w:themeFill="accent3" w:themeFillTint="99"/>
          </w:tcPr>
          <w:p w:rsidR="00092D80" w:rsidRPr="00E457AE" w:rsidRDefault="00092D80" w:rsidP="00E457AE">
            <w:pPr>
              <w:pStyle w:val="FSTableHeading"/>
            </w:pPr>
            <w:r w:rsidRPr="00E457AE">
              <w:t>Comments</w:t>
            </w:r>
          </w:p>
        </w:tc>
        <w:tc>
          <w:tcPr>
            <w:tcW w:w="5549" w:type="dxa"/>
            <w:shd w:val="clear" w:color="auto" w:fill="C2D69B" w:themeFill="accent3" w:themeFillTint="99"/>
          </w:tcPr>
          <w:p w:rsidR="00092D80" w:rsidRPr="00E457AE" w:rsidRDefault="00092D80" w:rsidP="00E457AE">
            <w:pPr>
              <w:pStyle w:val="FSTableHeading"/>
            </w:pPr>
            <w:r w:rsidRPr="00E457AE">
              <w:t>FSANZ Response</w:t>
            </w:r>
          </w:p>
        </w:tc>
      </w:tr>
      <w:tr w:rsidR="00092D80" w:rsidRPr="002A75BA" w:rsidTr="00D16FA1">
        <w:trPr>
          <w:cantSplit/>
        </w:trPr>
        <w:tc>
          <w:tcPr>
            <w:tcW w:w="2904" w:type="dxa"/>
          </w:tcPr>
          <w:p w:rsidR="00092D80" w:rsidRPr="00E457AE" w:rsidRDefault="00092D80" w:rsidP="00E457AE">
            <w:pPr>
              <w:pStyle w:val="FSTableText"/>
            </w:pPr>
            <w:r w:rsidRPr="00E457AE">
              <w:t>New Zealand Food and Grocery Council</w:t>
            </w:r>
          </w:p>
        </w:tc>
        <w:tc>
          <w:tcPr>
            <w:tcW w:w="5721" w:type="dxa"/>
          </w:tcPr>
          <w:p w:rsidR="00092D80" w:rsidRPr="00E457AE" w:rsidRDefault="00092D80" w:rsidP="00E457AE">
            <w:pPr>
              <w:pStyle w:val="FSTableText"/>
            </w:pPr>
            <w:r w:rsidRPr="00E457AE">
              <w:t>Supports option 2</w:t>
            </w:r>
            <w:r w:rsidR="00301A73" w:rsidRPr="00E457AE">
              <w:t xml:space="preserve"> </w:t>
            </w:r>
            <w:r w:rsidR="008C63EE" w:rsidRPr="00E457AE">
              <w:t>as a move</w:t>
            </w:r>
            <w:r w:rsidRPr="00E457AE">
              <w:t xml:space="preserve"> t</w:t>
            </w:r>
            <w:r w:rsidR="008C63EE" w:rsidRPr="00E457AE">
              <w:t>hat</w:t>
            </w:r>
            <w:r w:rsidRPr="00E457AE">
              <w:t xml:space="preserve"> better align</w:t>
            </w:r>
            <w:r w:rsidR="008C63EE" w:rsidRPr="00E457AE">
              <w:t>s</w:t>
            </w:r>
            <w:r w:rsidRPr="00E457AE">
              <w:t xml:space="preserve"> </w:t>
            </w:r>
            <w:r w:rsidR="008C63EE" w:rsidRPr="00E457AE">
              <w:t>the requirements between Australia and New Zealand</w:t>
            </w:r>
            <w:r w:rsidR="00301A73" w:rsidRPr="00E457AE">
              <w:t xml:space="preserve"> and which does not present a barrier to the import of low alcohol wines by Australia</w:t>
            </w:r>
            <w:r w:rsidR="008C63EE" w:rsidRPr="00E457AE">
              <w:t>.</w:t>
            </w:r>
            <w:r w:rsidR="00301A73" w:rsidRPr="00E457AE">
              <w:t xml:space="preserve"> Notes that the change is for an Australian only Standard and that trade considerations are a matter for Australian interests.</w:t>
            </w:r>
            <w:r w:rsidR="008C63EE" w:rsidRPr="00E457AE">
              <w:t xml:space="preserve"> </w:t>
            </w:r>
            <w:r w:rsidRPr="00E457AE">
              <w:t xml:space="preserve"> </w:t>
            </w:r>
          </w:p>
          <w:p w:rsidR="00092D80" w:rsidRPr="00E457AE" w:rsidRDefault="00092D80" w:rsidP="00E457AE">
            <w:pPr>
              <w:pStyle w:val="FSTableText"/>
            </w:pPr>
          </w:p>
          <w:p w:rsidR="00301A73" w:rsidRPr="00E457AE" w:rsidRDefault="008C63EE" w:rsidP="00E457AE">
            <w:pPr>
              <w:pStyle w:val="FSTableText"/>
            </w:pPr>
            <w:r w:rsidRPr="00E457AE">
              <w:t>Suggested</w:t>
            </w:r>
            <w:r w:rsidR="00092D80" w:rsidRPr="00E457AE">
              <w:t xml:space="preserve"> a third option</w:t>
            </w:r>
            <w:r w:rsidRPr="00E457AE">
              <w:t xml:space="preserve"> of</w:t>
            </w:r>
            <w:r w:rsidR="00301A73" w:rsidRPr="00E457AE">
              <w:t xml:space="preserve"> </w:t>
            </w:r>
            <w:r w:rsidR="00092D80" w:rsidRPr="00E457AE">
              <w:t>remov</w:t>
            </w:r>
            <w:r w:rsidRPr="00E457AE">
              <w:t>ing</w:t>
            </w:r>
            <w:r w:rsidR="00092D80" w:rsidRPr="00E457AE">
              <w:t xml:space="preserve"> the minimum level of alcohol content for Australian produced wine entirely with exceptions for trade purposes</w:t>
            </w:r>
            <w:r w:rsidR="00EC3689">
              <w:t>.</w:t>
            </w:r>
            <w:r w:rsidR="00092D80" w:rsidRPr="00E457AE">
              <w:t xml:space="preserve"> </w:t>
            </w:r>
          </w:p>
          <w:p w:rsidR="00B2110D" w:rsidRPr="00E457AE" w:rsidRDefault="00B2110D" w:rsidP="00E457AE">
            <w:pPr>
              <w:pStyle w:val="FSTableText"/>
            </w:pPr>
          </w:p>
        </w:tc>
        <w:tc>
          <w:tcPr>
            <w:tcW w:w="5549" w:type="dxa"/>
          </w:tcPr>
          <w:p w:rsidR="00092D80" w:rsidRPr="00DE6D66" w:rsidRDefault="002E4F77" w:rsidP="00E457AE">
            <w:pPr>
              <w:pStyle w:val="FSTableText"/>
            </w:pPr>
            <w:r w:rsidRPr="00DE6D66">
              <w:t>Support n</w:t>
            </w:r>
            <w:r w:rsidR="00092D80" w:rsidRPr="00DE6D66">
              <w:t>oted</w:t>
            </w:r>
            <w:r w:rsidR="00037BB1">
              <w:t>.</w:t>
            </w:r>
          </w:p>
          <w:p w:rsidR="00037BB1" w:rsidRDefault="00037BB1" w:rsidP="00E457AE">
            <w:pPr>
              <w:pStyle w:val="FSTableText"/>
              <w:rPr>
                <w:lang w:eastAsia="zh-CN"/>
              </w:rPr>
            </w:pPr>
          </w:p>
          <w:p w:rsidR="00A5306F" w:rsidRPr="005D06D4" w:rsidRDefault="00A5306F" w:rsidP="00E457AE">
            <w:pPr>
              <w:pStyle w:val="FSTableText"/>
            </w:pPr>
            <w:r>
              <w:rPr>
                <w:lang w:eastAsia="zh-CN"/>
              </w:rPr>
              <w:t xml:space="preserve">As stated in section 1 of the Assessment Report, the Applicant is seeking to harmonise with the EU to facilitate trade to the European market, Australia’s largest export market. The Applicant has also indicated potential quality issues with alcohol contents below 4.5% and </w:t>
            </w:r>
            <w:r>
              <w:t xml:space="preserve">believes the proposed amendment is appropriate to preserve the reputation of Australian </w:t>
            </w:r>
            <w:r w:rsidR="00DE6D66">
              <w:t>wine with trading partners (</w:t>
            </w:r>
            <w:r>
              <w:t xml:space="preserve">section 2.5). FSANZ therefore considers the Applicant’s request to provide a minimum alcohol content of 4.5% for Australian produced wine is reasonable, and would </w:t>
            </w:r>
            <w:r w:rsidR="002D64D9">
              <w:t xml:space="preserve">require </w:t>
            </w:r>
            <w:r w:rsidR="00FD0395">
              <w:t xml:space="preserve">sound reasoning to consider </w:t>
            </w:r>
            <w:r w:rsidR="007D718D">
              <w:t xml:space="preserve">a different </w:t>
            </w:r>
            <w:r w:rsidR="002D64D9">
              <w:t>option of no minimum alcohol content.</w:t>
            </w:r>
          </w:p>
          <w:p w:rsidR="00092D80" w:rsidRPr="002A75BA" w:rsidRDefault="00092D80" w:rsidP="00E457AE">
            <w:pPr>
              <w:pStyle w:val="FSTableText"/>
              <w:rPr>
                <w:color w:val="FF0000"/>
              </w:rPr>
            </w:pPr>
          </w:p>
        </w:tc>
      </w:tr>
      <w:tr w:rsidR="00092D80" w:rsidRPr="002A75BA" w:rsidTr="00D16FA1">
        <w:trPr>
          <w:cantSplit/>
        </w:trPr>
        <w:tc>
          <w:tcPr>
            <w:tcW w:w="2904" w:type="dxa"/>
          </w:tcPr>
          <w:p w:rsidR="00092D80" w:rsidRPr="008570ED" w:rsidRDefault="00092D80" w:rsidP="00E457AE">
            <w:pPr>
              <w:pStyle w:val="FSTableText"/>
            </w:pPr>
            <w:r w:rsidRPr="008570ED">
              <w:lastRenderedPageBreak/>
              <w:t>McWilliam’s Wines Group Ltd</w:t>
            </w:r>
          </w:p>
        </w:tc>
        <w:tc>
          <w:tcPr>
            <w:tcW w:w="5721" w:type="dxa"/>
          </w:tcPr>
          <w:p w:rsidR="00092D80" w:rsidRPr="008570ED" w:rsidRDefault="00092D80" w:rsidP="00E457AE">
            <w:pPr>
              <w:pStyle w:val="FSTableText"/>
            </w:pPr>
            <w:r w:rsidRPr="008570ED">
              <w:t>Supports option 2.</w:t>
            </w:r>
          </w:p>
          <w:p w:rsidR="0040610E" w:rsidRDefault="008570ED" w:rsidP="0040610E">
            <w:pPr>
              <w:pStyle w:val="FSTableText"/>
            </w:pPr>
            <w:r w:rsidRPr="008570ED">
              <w:t>Notes</w:t>
            </w:r>
            <w:r w:rsidR="00092D80" w:rsidRPr="008570ED">
              <w:t xml:space="preserve"> that the proposed change removes a current anomaly </w:t>
            </w:r>
            <w:r w:rsidRPr="008570ED">
              <w:t>where</w:t>
            </w:r>
            <w:r w:rsidR="00092D80" w:rsidRPr="008570ED">
              <w:t xml:space="preserve"> Australian produced low a</w:t>
            </w:r>
            <w:r w:rsidRPr="008570ED">
              <w:t>lcohol wine (less than 8.0 % alc/vol</w:t>
            </w:r>
            <w:r w:rsidR="00092D80" w:rsidRPr="008570ED">
              <w:t xml:space="preserve">) cannot be labelled </w:t>
            </w:r>
            <w:r w:rsidRPr="008570ED">
              <w:t>‘</w:t>
            </w:r>
            <w:r w:rsidR="00092D80" w:rsidRPr="008570ED">
              <w:t>wine</w:t>
            </w:r>
            <w:r w:rsidRPr="008570ED">
              <w:t>’</w:t>
            </w:r>
            <w:r w:rsidR="00092D80" w:rsidRPr="008570ED">
              <w:t xml:space="preserve">, but are designated </w:t>
            </w:r>
            <w:r w:rsidRPr="008570ED">
              <w:t>as ‘</w:t>
            </w:r>
            <w:r w:rsidR="00092D80" w:rsidRPr="008570ED">
              <w:t>wine products</w:t>
            </w:r>
            <w:r w:rsidRPr="008570ED">
              <w:t>’</w:t>
            </w:r>
            <w:r w:rsidR="00092D80" w:rsidRPr="008570ED">
              <w:t>. Imported wines do not have the same restriction. It notes making the proposed amendment to the Standard is supported by the section 18 objectives of the FSANZ Act.</w:t>
            </w:r>
          </w:p>
          <w:p w:rsidR="00D16FA1" w:rsidRPr="008570ED" w:rsidRDefault="00D16FA1" w:rsidP="0040610E">
            <w:pPr>
              <w:pStyle w:val="FSTableText"/>
            </w:pPr>
          </w:p>
        </w:tc>
        <w:tc>
          <w:tcPr>
            <w:tcW w:w="5549" w:type="dxa"/>
          </w:tcPr>
          <w:p w:rsidR="00092D80" w:rsidRPr="008570ED" w:rsidRDefault="002E4F77" w:rsidP="00E457AE">
            <w:pPr>
              <w:pStyle w:val="FSTableText"/>
            </w:pPr>
            <w:r w:rsidRPr="008570ED">
              <w:t>Support n</w:t>
            </w:r>
            <w:r w:rsidR="00092D80" w:rsidRPr="008570ED">
              <w:t>oted</w:t>
            </w:r>
          </w:p>
        </w:tc>
      </w:tr>
      <w:tr w:rsidR="00092D80" w:rsidRPr="00C40845" w:rsidTr="00D16FA1">
        <w:trPr>
          <w:cantSplit/>
        </w:trPr>
        <w:tc>
          <w:tcPr>
            <w:tcW w:w="2904" w:type="dxa"/>
          </w:tcPr>
          <w:p w:rsidR="00092D80" w:rsidRPr="00C40845" w:rsidRDefault="00092D80" w:rsidP="00E457AE">
            <w:pPr>
              <w:pStyle w:val="FSTableText"/>
            </w:pPr>
            <w:r w:rsidRPr="00C40845">
              <w:t>Woolworths Limited</w:t>
            </w:r>
          </w:p>
        </w:tc>
        <w:tc>
          <w:tcPr>
            <w:tcW w:w="5721" w:type="dxa"/>
          </w:tcPr>
          <w:p w:rsidR="00092D80" w:rsidRPr="00C40845" w:rsidRDefault="00092D80" w:rsidP="00E457AE">
            <w:pPr>
              <w:pStyle w:val="FSTableText"/>
            </w:pPr>
            <w:r w:rsidRPr="00C40845">
              <w:t>Supports option 2.</w:t>
            </w:r>
          </w:p>
          <w:p w:rsidR="0040610E" w:rsidRDefault="00C40845" w:rsidP="0040610E">
            <w:pPr>
              <w:pStyle w:val="FSTableText"/>
            </w:pPr>
            <w:r w:rsidRPr="00C40845">
              <w:t>Notes</w:t>
            </w:r>
            <w:r w:rsidR="00092D80" w:rsidRPr="00C40845">
              <w:t xml:space="preserve"> that currently Australian</w:t>
            </w:r>
            <w:r w:rsidRPr="00C40845">
              <w:t xml:space="preserve"> produced low alcohol wine products (below 8% alc/vol</w:t>
            </w:r>
            <w:r w:rsidR="00092D80" w:rsidRPr="00C40845">
              <w:t xml:space="preserve">) cannot be labelled as </w:t>
            </w:r>
            <w:r w:rsidR="008570ED">
              <w:t>‘</w:t>
            </w:r>
            <w:r w:rsidR="00092D80" w:rsidRPr="00C40845">
              <w:t>wine</w:t>
            </w:r>
            <w:r w:rsidR="008570ED">
              <w:t>’</w:t>
            </w:r>
            <w:r w:rsidR="00092D80" w:rsidRPr="00C40845">
              <w:t xml:space="preserve">. This has a detrimental effect on marketing and selling these products to consumers. Making the proposed change to the Standard will be beneficial to develop </w:t>
            </w:r>
            <w:r w:rsidRPr="00C40845">
              <w:t xml:space="preserve">the customer market for </w:t>
            </w:r>
            <w:r w:rsidR="00092D80" w:rsidRPr="00C40845">
              <w:t>lower alcohol wines and also ensure consistency with imported lower alcohol wines which currently can be labelled as wine.</w:t>
            </w:r>
          </w:p>
          <w:p w:rsidR="00D16FA1" w:rsidRPr="00C40845" w:rsidRDefault="00D16FA1" w:rsidP="0040610E">
            <w:pPr>
              <w:pStyle w:val="FSTableText"/>
            </w:pPr>
          </w:p>
        </w:tc>
        <w:tc>
          <w:tcPr>
            <w:tcW w:w="5549" w:type="dxa"/>
          </w:tcPr>
          <w:p w:rsidR="00092D80" w:rsidRPr="00C40845" w:rsidRDefault="002E4F77" w:rsidP="00E457AE">
            <w:pPr>
              <w:pStyle w:val="FSTableText"/>
            </w:pPr>
            <w:r w:rsidRPr="00C40845">
              <w:t>Support n</w:t>
            </w:r>
            <w:r w:rsidR="00092D80" w:rsidRPr="00C40845">
              <w:t>oted</w:t>
            </w:r>
          </w:p>
        </w:tc>
      </w:tr>
      <w:tr w:rsidR="00092D80" w:rsidRPr="002A75BA" w:rsidTr="00D16FA1">
        <w:trPr>
          <w:cantSplit/>
        </w:trPr>
        <w:tc>
          <w:tcPr>
            <w:tcW w:w="2904" w:type="dxa"/>
          </w:tcPr>
          <w:p w:rsidR="00092D80" w:rsidRDefault="00092D80" w:rsidP="00E457AE">
            <w:pPr>
              <w:pStyle w:val="FSTableText"/>
            </w:pPr>
            <w:r w:rsidRPr="00C40845">
              <w:t>Food Technology Association of Australia</w:t>
            </w:r>
          </w:p>
          <w:p w:rsidR="00D16FA1" w:rsidRPr="00C40845" w:rsidRDefault="00D16FA1" w:rsidP="00E457AE">
            <w:pPr>
              <w:pStyle w:val="FSTableText"/>
            </w:pPr>
          </w:p>
        </w:tc>
        <w:tc>
          <w:tcPr>
            <w:tcW w:w="5721" w:type="dxa"/>
          </w:tcPr>
          <w:p w:rsidR="00092D80" w:rsidRPr="00C40845" w:rsidRDefault="00092D80" w:rsidP="00E457AE">
            <w:pPr>
              <w:pStyle w:val="FSTableText"/>
            </w:pPr>
            <w:r w:rsidRPr="00C40845">
              <w:t>Supports option 2.</w:t>
            </w:r>
          </w:p>
          <w:p w:rsidR="00092D80" w:rsidRPr="00C40845" w:rsidRDefault="00092D80" w:rsidP="00E457AE">
            <w:pPr>
              <w:pStyle w:val="FSTableText"/>
            </w:pPr>
          </w:p>
        </w:tc>
        <w:tc>
          <w:tcPr>
            <w:tcW w:w="5549" w:type="dxa"/>
          </w:tcPr>
          <w:p w:rsidR="00092D80" w:rsidRPr="00C40845" w:rsidRDefault="002E4F77" w:rsidP="00E457AE">
            <w:pPr>
              <w:pStyle w:val="FSTableText"/>
            </w:pPr>
            <w:r w:rsidRPr="00C40845">
              <w:t>Support n</w:t>
            </w:r>
            <w:r w:rsidR="00092D80" w:rsidRPr="00C40845">
              <w:t>oted</w:t>
            </w:r>
          </w:p>
        </w:tc>
      </w:tr>
      <w:tr w:rsidR="0040610E" w:rsidRPr="002A75BA" w:rsidTr="00D16FA1">
        <w:trPr>
          <w:cantSplit/>
        </w:trPr>
        <w:tc>
          <w:tcPr>
            <w:tcW w:w="2904" w:type="dxa"/>
          </w:tcPr>
          <w:p w:rsidR="0040610E" w:rsidRPr="00E457AE" w:rsidRDefault="0040610E" w:rsidP="00B21706">
            <w:pPr>
              <w:pStyle w:val="FSTableText"/>
            </w:pPr>
            <w:r w:rsidRPr="00E457AE">
              <w:lastRenderedPageBreak/>
              <w:t>Alcohol Education and Rehabilitation Foundation and Public Health Association of Australia joint submission</w:t>
            </w:r>
          </w:p>
        </w:tc>
        <w:tc>
          <w:tcPr>
            <w:tcW w:w="5721" w:type="dxa"/>
          </w:tcPr>
          <w:p w:rsidR="0040610E" w:rsidRPr="00E457AE" w:rsidRDefault="0040610E" w:rsidP="00B21706">
            <w:pPr>
              <w:pStyle w:val="FSTableText"/>
            </w:pPr>
            <w:r w:rsidRPr="00E457AE">
              <w:t>No formal statement of which option they prefer.</w:t>
            </w:r>
          </w:p>
          <w:p w:rsidR="0040610E" w:rsidRPr="00E457AE" w:rsidRDefault="0040610E" w:rsidP="00B21706">
            <w:pPr>
              <w:pStyle w:val="FSTableText"/>
            </w:pPr>
            <w:r w:rsidRPr="00E457AE">
              <w:t>As a general principle, support moves to lower alcohol content products in Australia. However, concerned that lower alcohol wine may claim to be lower in alcohol and may make positive health claims such as being low or lower in calories.</w:t>
            </w:r>
          </w:p>
          <w:p w:rsidR="0040610E" w:rsidRDefault="0040610E" w:rsidP="00B21706">
            <w:pPr>
              <w:pStyle w:val="FSTableText"/>
            </w:pPr>
            <w:r w:rsidRPr="00E457AE">
              <w:t>Suggests two additional amendments to Standard 2.7.1 to address these concerns.</w:t>
            </w:r>
          </w:p>
          <w:p w:rsidR="00A708B0" w:rsidRPr="00E457AE" w:rsidRDefault="00A708B0" w:rsidP="00B21706">
            <w:pPr>
              <w:pStyle w:val="FSTableText"/>
            </w:pPr>
          </w:p>
          <w:p w:rsidR="0040610E" w:rsidRPr="00E457AE" w:rsidRDefault="0040610E" w:rsidP="00B21706">
            <w:pPr>
              <w:pStyle w:val="FSTableText"/>
            </w:pPr>
            <w:r w:rsidRPr="00E457AE">
              <w:t>1. Clause 4 should be extended so that producers cannot suggest or imply their product is low in alcohol unless it contains less than 1.15% alc/vol. The aim is to prohibit the use of the term low but also other interpretations of the word ‘low’ such as ‘lower’ alcohol.</w:t>
            </w:r>
          </w:p>
          <w:p w:rsidR="0040610E" w:rsidRDefault="0040610E" w:rsidP="0040610E">
            <w:pPr>
              <w:pStyle w:val="FSTableText"/>
            </w:pPr>
            <w:r w:rsidRPr="00E457AE">
              <w:t>2. Addition of a new clause that prohibits labelling of alcoholic beverages that contain greater than 1.15% alc/vol with language that may constitute a positive health claim.</w:t>
            </w:r>
          </w:p>
          <w:p w:rsidR="00D16FA1" w:rsidRPr="00E457AE" w:rsidRDefault="00D16FA1" w:rsidP="0040610E">
            <w:pPr>
              <w:pStyle w:val="FSTableText"/>
            </w:pPr>
          </w:p>
        </w:tc>
        <w:tc>
          <w:tcPr>
            <w:tcW w:w="5549" w:type="dxa"/>
          </w:tcPr>
          <w:p w:rsidR="0040610E" w:rsidRPr="00E457AE" w:rsidRDefault="0040610E" w:rsidP="00B21706">
            <w:pPr>
              <w:pStyle w:val="FSTableText"/>
            </w:pPr>
            <w:r w:rsidRPr="00E457AE">
              <w:t xml:space="preserve">FSANZ notes that </w:t>
            </w:r>
            <w:r>
              <w:t>the</w:t>
            </w:r>
            <w:r w:rsidRPr="00E457AE">
              <w:t xml:space="preserve"> suggested amendments to Standard 2.7.1 relate to the labelling of all alcoholic beverages, and are not limited to wine produced in Australia only. The amendments are therefore outside the scope of this Application. </w:t>
            </w:r>
          </w:p>
          <w:p w:rsidR="0040610E" w:rsidRPr="00E457AE" w:rsidRDefault="0040610E" w:rsidP="00B21706">
            <w:pPr>
              <w:pStyle w:val="FSTableText"/>
            </w:pPr>
            <w:r w:rsidRPr="00E457AE">
              <w:t xml:space="preserve">Representations and claims made on alcoholic beverages </w:t>
            </w:r>
            <w:r w:rsidR="00B91C13">
              <w:t>are being</w:t>
            </w:r>
            <w:r w:rsidRPr="00E457AE">
              <w:t xml:space="preserve"> considered by FSANZ under Proposal P293 – Nutrition, Health and Related Claims and </w:t>
            </w:r>
            <w:r>
              <w:t xml:space="preserve">therefore </w:t>
            </w:r>
            <w:r w:rsidR="00FE25F5">
              <w:t xml:space="preserve">are </w:t>
            </w:r>
            <w:r>
              <w:t xml:space="preserve">not </w:t>
            </w:r>
            <w:r w:rsidRPr="00E457AE">
              <w:t>considered under this Application.</w:t>
            </w:r>
          </w:p>
          <w:p w:rsidR="0040610E" w:rsidRPr="00E457AE" w:rsidRDefault="0040610E" w:rsidP="00B21706">
            <w:pPr>
              <w:pStyle w:val="FSTableText"/>
            </w:pPr>
          </w:p>
          <w:p w:rsidR="0040610E" w:rsidRDefault="0040610E" w:rsidP="00B21706">
            <w:pPr>
              <w:pStyle w:val="FSTableText"/>
              <w:rPr>
                <w:color w:val="FF0000"/>
              </w:rPr>
            </w:pPr>
          </w:p>
        </w:tc>
      </w:tr>
      <w:tr w:rsidR="0040610E" w:rsidRPr="002A75BA" w:rsidTr="00D16FA1">
        <w:trPr>
          <w:cantSplit/>
        </w:trPr>
        <w:tc>
          <w:tcPr>
            <w:tcW w:w="2904" w:type="dxa"/>
          </w:tcPr>
          <w:p w:rsidR="0040610E" w:rsidRPr="00E457AE" w:rsidRDefault="00D16FA1" w:rsidP="00B21706">
            <w:pPr>
              <w:pStyle w:val="FSTableText"/>
            </w:pPr>
            <w:r>
              <w:t>Q</w:t>
            </w:r>
            <w:r w:rsidR="0040610E" w:rsidRPr="00E457AE">
              <w:t>ueensland Health</w:t>
            </w:r>
          </w:p>
        </w:tc>
        <w:tc>
          <w:tcPr>
            <w:tcW w:w="5721" w:type="dxa"/>
          </w:tcPr>
          <w:p w:rsidR="0040610E" w:rsidRPr="00E457AE" w:rsidRDefault="0040610E" w:rsidP="00B21706">
            <w:pPr>
              <w:pStyle w:val="FSTableText"/>
            </w:pPr>
            <w:r w:rsidRPr="00E457AE">
              <w:t>Supports option 2.</w:t>
            </w:r>
          </w:p>
          <w:p w:rsidR="0040610E" w:rsidRPr="00E457AE" w:rsidRDefault="0040610E" w:rsidP="00B21706">
            <w:pPr>
              <w:pStyle w:val="FSTableText"/>
            </w:pPr>
            <w:r w:rsidRPr="00E457AE">
              <w:t xml:space="preserve">If the proposed amendment is made, a consequential amendment will be required to the current definition of wine under the </w:t>
            </w:r>
            <w:r w:rsidRPr="00E457AE">
              <w:rPr>
                <w:i/>
              </w:rPr>
              <w:t>Queensland Wine Industry Act 1994</w:t>
            </w:r>
            <w:r w:rsidRPr="00E457AE">
              <w:t>.</w:t>
            </w:r>
          </w:p>
          <w:p w:rsidR="0040610E" w:rsidRPr="00E457AE" w:rsidRDefault="0040610E" w:rsidP="00B21706">
            <w:pPr>
              <w:pStyle w:val="FSTableText"/>
            </w:pPr>
          </w:p>
          <w:p w:rsidR="0040610E" w:rsidRDefault="0040610E" w:rsidP="0040610E">
            <w:pPr>
              <w:pStyle w:val="FSTableText"/>
            </w:pPr>
            <w:r w:rsidRPr="00E457AE">
              <w:t>A minor discrepancy is noted in the Assessment Report relating to the minimum alcoholic strength shown in section 2.4.1 for wine in Europe (8.5% vol or 9% vol depending on zone), and the minimum alcoholic strength shown in Table 1 in section 2.4.2 for wine in Europe (9% vol/vol).</w:t>
            </w:r>
          </w:p>
          <w:p w:rsidR="00D16FA1" w:rsidRPr="00E457AE" w:rsidRDefault="00D16FA1" w:rsidP="0040610E">
            <w:pPr>
              <w:pStyle w:val="FSTableText"/>
            </w:pPr>
          </w:p>
        </w:tc>
        <w:tc>
          <w:tcPr>
            <w:tcW w:w="5549" w:type="dxa"/>
          </w:tcPr>
          <w:p w:rsidR="0040610E" w:rsidRDefault="0040610E" w:rsidP="00B21706">
            <w:pPr>
              <w:pStyle w:val="FSTableText"/>
            </w:pPr>
            <w:r w:rsidRPr="0044325B">
              <w:t>Support noted</w:t>
            </w:r>
            <w:r>
              <w:t>.</w:t>
            </w:r>
          </w:p>
          <w:p w:rsidR="0040610E" w:rsidRDefault="0040610E" w:rsidP="00B21706">
            <w:pPr>
              <w:pStyle w:val="FSTableText"/>
            </w:pPr>
          </w:p>
          <w:p w:rsidR="0040610E" w:rsidRPr="009E3616" w:rsidRDefault="0040610E" w:rsidP="00B21706">
            <w:pPr>
              <w:pStyle w:val="FSTableText"/>
            </w:pPr>
            <w:r>
              <w:t>The discrepancy raised has been noted and addressed in section 2.4.2 of the Approval Report</w:t>
            </w:r>
            <w:r w:rsidRPr="009E3616">
              <w:t>.</w:t>
            </w:r>
          </w:p>
          <w:p w:rsidR="0040610E" w:rsidRDefault="0040610E" w:rsidP="00B21706">
            <w:pPr>
              <w:pStyle w:val="FSTableText"/>
              <w:rPr>
                <w:color w:val="FF0000"/>
              </w:rPr>
            </w:pPr>
          </w:p>
        </w:tc>
      </w:tr>
      <w:tr w:rsidR="0040610E" w:rsidRPr="002A75BA" w:rsidTr="00D16FA1">
        <w:trPr>
          <w:cantSplit/>
        </w:trPr>
        <w:tc>
          <w:tcPr>
            <w:tcW w:w="2904" w:type="dxa"/>
          </w:tcPr>
          <w:p w:rsidR="0040610E" w:rsidRPr="00E457AE" w:rsidRDefault="0040610E" w:rsidP="00B21706">
            <w:pPr>
              <w:pStyle w:val="FSTableText"/>
            </w:pPr>
            <w:r w:rsidRPr="00E457AE">
              <w:lastRenderedPageBreak/>
              <w:t>New South Wales Food Authority</w:t>
            </w:r>
          </w:p>
        </w:tc>
        <w:tc>
          <w:tcPr>
            <w:tcW w:w="5721" w:type="dxa"/>
          </w:tcPr>
          <w:p w:rsidR="0040610E" w:rsidRPr="00E457AE" w:rsidRDefault="0040610E" w:rsidP="00B21706">
            <w:pPr>
              <w:pStyle w:val="FSTableText"/>
            </w:pPr>
            <w:r>
              <w:t>No explicit statement of which option it supports</w:t>
            </w:r>
            <w:r w:rsidRPr="00E457AE">
              <w:t>. Sees merit in permitting the production of low alcohol wine</w:t>
            </w:r>
            <w:r>
              <w:t>,</w:t>
            </w:r>
            <w:r w:rsidRPr="00E457AE">
              <w:t xml:space="preserve"> though concludes that further information is needed to justify changes to the Code and labelling issues needs further exploration.</w:t>
            </w:r>
          </w:p>
          <w:p w:rsidR="0040610E" w:rsidRPr="00E457AE" w:rsidRDefault="0040610E" w:rsidP="00B21706">
            <w:pPr>
              <w:pStyle w:val="FSTableText"/>
            </w:pPr>
          </w:p>
          <w:p w:rsidR="0040610E" w:rsidRPr="00E457AE" w:rsidRDefault="0040610E" w:rsidP="00B21706">
            <w:pPr>
              <w:pStyle w:val="FSTableText"/>
            </w:pPr>
            <w:r w:rsidRPr="00E457AE">
              <w:t>The Assessment Report appears to indicate that only wine with a protected designation of origin or geographical indication can have a minimum alcohol content of 4.5% alc/vol, with other wines having a minimum alcohol content of 8.5% or 9% alc/vol. Wine produced in Australia for export would not fall into the lower alcohol category and as such would need to comply with the higher level which is similar to the current requirements in Standard 4.5.1 (being 8% alc/vol).</w:t>
            </w:r>
          </w:p>
          <w:p w:rsidR="0040610E" w:rsidRPr="00E457AE" w:rsidRDefault="0040610E" w:rsidP="00B21706">
            <w:pPr>
              <w:pStyle w:val="FSTableText"/>
            </w:pPr>
          </w:p>
          <w:p w:rsidR="0040610E" w:rsidRPr="00E457AE" w:rsidRDefault="0040610E" w:rsidP="00B21706">
            <w:pPr>
              <w:pStyle w:val="FSTableText"/>
            </w:pPr>
            <w:r w:rsidRPr="00E457AE">
              <w:t>Clause 4 of Standard 2.7.1 does not allow an alcoholic beverage which contains greater than 1.15% alc/vol to be represented as a low alcohol beverage. There is no restriction on such low alcohol beverages being represented as low kilojoule and suggests this issue needs further consideration.</w:t>
            </w:r>
          </w:p>
        </w:tc>
        <w:tc>
          <w:tcPr>
            <w:tcW w:w="5549" w:type="dxa"/>
          </w:tcPr>
          <w:p w:rsidR="0040610E" w:rsidRDefault="00F602C5" w:rsidP="00B21706">
            <w:pPr>
              <w:pStyle w:val="FSTableText"/>
            </w:pPr>
            <w:r>
              <w:t>T</w:t>
            </w:r>
            <w:r w:rsidRPr="005D06D4">
              <w:t xml:space="preserve">he regulatory situation for the EU as summarised in </w:t>
            </w:r>
            <w:r>
              <w:t>s</w:t>
            </w:r>
            <w:r w:rsidR="0027490A">
              <w:t xml:space="preserve">ection 2.4.1 </w:t>
            </w:r>
            <w:r>
              <w:t xml:space="preserve">is explicitly the situation </w:t>
            </w:r>
            <w:r w:rsidRPr="005D06D4">
              <w:t xml:space="preserve">for the EU, not for Australian produced wine. </w:t>
            </w:r>
            <w:r w:rsidR="0040610E" w:rsidRPr="005D06D4">
              <w:t>FSANZ sought assistance from the Applicant to ensure that its understanding of the situation was correct for both Australian produced wines sold domestically and those products sold to the EU under the Australia - EU Wine Agreement.</w:t>
            </w:r>
            <w:r w:rsidR="0040610E">
              <w:t xml:space="preserve"> </w:t>
            </w:r>
            <w:r w:rsidR="0040610E" w:rsidRPr="005D06D4">
              <w:t>The situation</w:t>
            </w:r>
            <w:r w:rsidR="0040610E">
              <w:t>,</w:t>
            </w:r>
            <w:r w:rsidR="0040610E" w:rsidRPr="005D06D4">
              <w:t xml:space="preserve"> if this Application is successful</w:t>
            </w:r>
            <w:r w:rsidR="0040610E">
              <w:t>,</w:t>
            </w:r>
            <w:r w:rsidR="0040610E" w:rsidRPr="005D06D4">
              <w:t xml:space="preserve"> is that Australian produced wine sold in the domestic market can have an alcohol minimum of 4.5% alc/vol. Australian produced wine sold to the EU under the Australia - EU Wine Agreement will be required to have a protected designation of origin or geographical indication if the alcohol content is below 8</w:t>
            </w:r>
            <w:r w:rsidR="0040610E">
              <w:t>.5</w:t>
            </w:r>
            <w:r w:rsidR="0040610E" w:rsidRPr="005D06D4">
              <w:t>% alc/vol.</w:t>
            </w:r>
            <w:r w:rsidR="0040610E">
              <w:t xml:space="preserve"> </w:t>
            </w:r>
            <w:r w:rsidR="0040610E" w:rsidRPr="005D06D4">
              <w:t xml:space="preserve">This situation is different to that described </w:t>
            </w:r>
            <w:r w:rsidR="0040610E">
              <w:t>in the</w:t>
            </w:r>
            <w:r w:rsidR="0040610E" w:rsidRPr="005D06D4">
              <w:t xml:space="preserve"> submi</w:t>
            </w:r>
            <w:r w:rsidR="0040610E">
              <w:t>ssion</w:t>
            </w:r>
            <w:r w:rsidR="0040610E" w:rsidRPr="005D06D4">
              <w:t xml:space="preserve">. </w:t>
            </w:r>
          </w:p>
          <w:p w:rsidR="0040610E" w:rsidRPr="005C770E" w:rsidRDefault="0040610E" w:rsidP="00B21706">
            <w:pPr>
              <w:pStyle w:val="FSTableText"/>
            </w:pPr>
          </w:p>
          <w:p w:rsidR="0040610E" w:rsidRDefault="0040610E" w:rsidP="00B21706">
            <w:pPr>
              <w:pStyle w:val="FSTableText"/>
            </w:pPr>
            <w:r w:rsidRPr="00FA43A4">
              <w:t>FSANZ notes the labelling issue raised</w:t>
            </w:r>
            <w:r>
              <w:t xml:space="preserve"> relate</w:t>
            </w:r>
            <w:r w:rsidR="00FE25F5">
              <w:t>s</w:t>
            </w:r>
            <w:r w:rsidRPr="00FA43A4">
              <w:t xml:space="preserve"> to all alcoholic beverages, and is not limited to wine produced in Australia only. This issue is therefore outside the scope of the Application. </w:t>
            </w:r>
          </w:p>
          <w:p w:rsidR="00A708B0" w:rsidRPr="00FA43A4" w:rsidRDefault="00A708B0" w:rsidP="00B21706">
            <w:pPr>
              <w:pStyle w:val="FSTableText"/>
            </w:pPr>
          </w:p>
          <w:p w:rsidR="0040610E" w:rsidRPr="00FA43A4" w:rsidRDefault="0040610E" w:rsidP="00B21706">
            <w:pPr>
              <w:pStyle w:val="FSTableText"/>
            </w:pPr>
            <w:r w:rsidRPr="00FA43A4">
              <w:t>Claims made on alcoholic beverages, such as low energy</w:t>
            </w:r>
            <w:r>
              <w:t xml:space="preserve"> claims</w:t>
            </w:r>
            <w:r w:rsidRPr="00FA43A4">
              <w:t xml:space="preserve"> (i.e. </w:t>
            </w:r>
            <w:r>
              <w:t xml:space="preserve">low </w:t>
            </w:r>
            <w:r w:rsidRPr="00FA43A4">
              <w:t>kilojoules)</w:t>
            </w:r>
            <w:r>
              <w:t xml:space="preserve"> </w:t>
            </w:r>
            <w:r w:rsidR="00B91C13">
              <w:t>are being</w:t>
            </w:r>
            <w:r w:rsidRPr="00FA43A4">
              <w:t xml:space="preserve"> considered by FSANZ under Proposal P293 – Nutrition, Health </w:t>
            </w:r>
            <w:r w:rsidR="00A708B0">
              <w:t>&amp;</w:t>
            </w:r>
            <w:r w:rsidRPr="00FA43A4">
              <w:t xml:space="preserve"> Related Claims and </w:t>
            </w:r>
            <w:r>
              <w:t xml:space="preserve">therefore </w:t>
            </w:r>
            <w:r w:rsidR="00FE25F5">
              <w:t xml:space="preserve">are </w:t>
            </w:r>
            <w:r>
              <w:t xml:space="preserve">not </w:t>
            </w:r>
            <w:r w:rsidRPr="00FA43A4">
              <w:t>considered under this Application.</w:t>
            </w:r>
          </w:p>
          <w:p w:rsidR="0040610E" w:rsidRDefault="0040610E" w:rsidP="00B21706">
            <w:pPr>
              <w:pStyle w:val="FSTableText"/>
              <w:rPr>
                <w:color w:val="FF0000"/>
              </w:rPr>
            </w:pPr>
          </w:p>
        </w:tc>
      </w:tr>
      <w:tr w:rsidR="0040610E" w:rsidRPr="002A75BA" w:rsidTr="00D16FA1">
        <w:trPr>
          <w:cantSplit/>
        </w:trPr>
        <w:tc>
          <w:tcPr>
            <w:tcW w:w="2904" w:type="dxa"/>
          </w:tcPr>
          <w:p w:rsidR="0040610E" w:rsidRPr="00C64B78" w:rsidRDefault="0040610E" w:rsidP="0040610E">
            <w:pPr>
              <w:pStyle w:val="FSTableText"/>
            </w:pPr>
            <w:r w:rsidRPr="00C64B78">
              <w:t>Dietitians Association of Australia</w:t>
            </w:r>
          </w:p>
        </w:tc>
        <w:tc>
          <w:tcPr>
            <w:tcW w:w="5721" w:type="dxa"/>
          </w:tcPr>
          <w:p w:rsidR="0040610E" w:rsidRPr="00C64B78" w:rsidRDefault="0040610E" w:rsidP="00B21706">
            <w:pPr>
              <w:pStyle w:val="FSTableText"/>
            </w:pPr>
            <w:r w:rsidRPr="00C64B78">
              <w:t>Supports option 2.</w:t>
            </w:r>
          </w:p>
          <w:p w:rsidR="0040610E" w:rsidRPr="00C64B78" w:rsidRDefault="0040610E" w:rsidP="00B21706">
            <w:pPr>
              <w:pStyle w:val="FSTableText"/>
            </w:pPr>
          </w:p>
        </w:tc>
        <w:tc>
          <w:tcPr>
            <w:tcW w:w="5549" w:type="dxa"/>
          </w:tcPr>
          <w:p w:rsidR="0040610E" w:rsidRPr="00C64B78" w:rsidRDefault="0040610E" w:rsidP="00B21706">
            <w:pPr>
              <w:pStyle w:val="FSTableText"/>
            </w:pPr>
            <w:r w:rsidRPr="00C64B78">
              <w:t>Support noted</w:t>
            </w:r>
          </w:p>
        </w:tc>
      </w:tr>
      <w:tr w:rsidR="0040610E" w:rsidRPr="002A75BA" w:rsidTr="00D16FA1">
        <w:trPr>
          <w:cantSplit/>
        </w:trPr>
        <w:tc>
          <w:tcPr>
            <w:tcW w:w="2904" w:type="dxa"/>
          </w:tcPr>
          <w:p w:rsidR="0040610E" w:rsidRPr="001710D1" w:rsidRDefault="0040610E" w:rsidP="00B21706">
            <w:pPr>
              <w:pStyle w:val="FSTableText"/>
            </w:pPr>
            <w:r w:rsidRPr="001710D1">
              <w:t>Ministry of Agriculture and Forestry (NZ)</w:t>
            </w:r>
          </w:p>
        </w:tc>
        <w:tc>
          <w:tcPr>
            <w:tcW w:w="5721" w:type="dxa"/>
          </w:tcPr>
          <w:p w:rsidR="0040610E" w:rsidRDefault="0040610E" w:rsidP="0040610E">
            <w:pPr>
              <w:pStyle w:val="FSTableText"/>
            </w:pPr>
            <w:r w:rsidRPr="001710D1">
              <w:t>No comments, other than to say the proposed changes apply in Australia only and are less restrictive than current provisions.</w:t>
            </w:r>
          </w:p>
          <w:p w:rsidR="00A708B0" w:rsidRPr="001710D1" w:rsidRDefault="00A708B0" w:rsidP="0040610E">
            <w:pPr>
              <w:pStyle w:val="FSTableText"/>
            </w:pPr>
          </w:p>
        </w:tc>
        <w:tc>
          <w:tcPr>
            <w:tcW w:w="5549" w:type="dxa"/>
          </w:tcPr>
          <w:p w:rsidR="0040610E" w:rsidRPr="001710D1" w:rsidRDefault="0040610E" w:rsidP="00B21706">
            <w:pPr>
              <w:pStyle w:val="FSTableText"/>
            </w:pPr>
            <w:r w:rsidRPr="001710D1">
              <w:t>Noted</w:t>
            </w:r>
          </w:p>
        </w:tc>
      </w:tr>
      <w:tr w:rsidR="0040610E" w:rsidRPr="002A75BA" w:rsidTr="00D16FA1">
        <w:trPr>
          <w:cantSplit/>
        </w:trPr>
        <w:tc>
          <w:tcPr>
            <w:tcW w:w="2904" w:type="dxa"/>
          </w:tcPr>
          <w:p w:rsidR="0040610E" w:rsidRPr="00C64B78" w:rsidRDefault="0040610E" w:rsidP="00B21706">
            <w:pPr>
              <w:pStyle w:val="FSTableText"/>
            </w:pPr>
            <w:r w:rsidRPr="00C64B78">
              <w:t>New Zealand Winegrowers</w:t>
            </w:r>
          </w:p>
        </w:tc>
        <w:tc>
          <w:tcPr>
            <w:tcW w:w="5721" w:type="dxa"/>
          </w:tcPr>
          <w:p w:rsidR="0040610E" w:rsidRDefault="0040610E" w:rsidP="0040610E">
            <w:pPr>
              <w:pStyle w:val="FSTableText"/>
            </w:pPr>
            <w:r w:rsidRPr="00C64B78">
              <w:t>Supports option 2.</w:t>
            </w:r>
            <w:r w:rsidR="00D16FA1">
              <w:t xml:space="preserve"> </w:t>
            </w:r>
            <w:r w:rsidRPr="00C64B78">
              <w:t>Notes that the proposed amendment does not apply to wine produced or imported into New Zealand, and therefore the New Zealand wine sector is not affected.</w:t>
            </w:r>
          </w:p>
          <w:p w:rsidR="00A708B0" w:rsidRPr="00C64B78" w:rsidRDefault="00A708B0" w:rsidP="0040610E">
            <w:pPr>
              <w:pStyle w:val="FSTableText"/>
            </w:pPr>
          </w:p>
        </w:tc>
        <w:tc>
          <w:tcPr>
            <w:tcW w:w="5549" w:type="dxa"/>
          </w:tcPr>
          <w:p w:rsidR="0040610E" w:rsidRPr="00C64B78" w:rsidRDefault="0040610E" w:rsidP="00B21706">
            <w:pPr>
              <w:pStyle w:val="FSTableText"/>
            </w:pPr>
            <w:r w:rsidRPr="00C64B78">
              <w:t>Support noted</w:t>
            </w:r>
          </w:p>
          <w:p w:rsidR="0040610E" w:rsidRPr="00C64B78" w:rsidRDefault="0040610E" w:rsidP="00B21706">
            <w:pPr>
              <w:pStyle w:val="FSTableText"/>
            </w:pPr>
          </w:p>
        </w:tc>
      </w:tr>
      <w:tr w:rsidR="00092D80" w:rsidRPr="002A75BA" w:rsidTr="00D16FA1">
        <w:tc>
          <w:tcPr>
            <w:tcW w:w="2904" w:type="dxa"/>
          </w:tcPr>
          <w:p w:rsidR="00092D80" w:rsidRPr="00296D66" w:rsidRDefault="00092D80" w:rsidP="00A708B0">
            <w:pPr>
              <w:pStyle w:val="FSTableText"/>
              <w:keepNext/>
            </w:pPr>
            <w:r w:rsidRPr="00296D66">
              <w:lastRenderedPageBreak/>
              <w:t>Alcohol and other Drugs Council of Australia</w:t>
            </w:r>
            <w:r w:rsidR="00D67C03">
              <w:t xml:space="preserve"> (ADCA)</w:t>
            </w:r>
          </w:p>
        </w:tc>
        <w:tc>
          <w:tcPr>
            <w:tcW w:w="5721" w:type="dxa"/>
          </w:tcPr>
          <w:p w:rsidR="00092D80" w:rsidRPr="00296D66" w:rsidRDefault="00092D80" w:rsidP="00E457AE">
            <w:pPr>
              <w:pStyle w:val="FSTableText"/>
            </w:pPr>
            <w:r w:rsidRPr="00296D66">
              <w:t xml:space="preserve">No explicit statement of which option it supports. </w:t>
            </w:r>
          </w:p>
          <w:p w:rsidR="00092D80" w:rsidRPr="00296D66" w:rsidRDefault="00296D66" w:rsidP="00E457AE">
            <w:pPr>
              <w:pStyle w:val="FSTableText"/>
            </w:pPr>
            <w:r w:rsidRPr="00296D66">
              <w:t>Notes that</w:t>
            </w:r>
            <w:r w:rsidR="00092D80" w:rsidRPr="00296D66">
              <w:t xml:space="preserve"> the amendment to reduce the minimum alcohol content of Australian produced wine </w:t>
            </w:r>
            <w:r w:rsidR="002870A7">
              <w:t>could have</w:t>
            </w:r>
            <w:r w:rsidR="00092D80" w:rsidRPr="00296D66">
              <w:t xml:space="preserve"> a number of potential benefits.</w:t>
            </w:r>
            <w:r w:rsidR="001C6130">
              <w:t xml:space="preserve"> However, </w:t>
            </w:r>
            <w:r w:rsidR="002870A7">
              <w:t>provides the following recommendations</w:t>
            </w:r>
            <w:r w:rsidR="00084839">
              <w:t xml:space="preserve"> to address a number of </w:t>
            </w:r>
            <w:r w:rsidR="007A4641">
              <w:t>concerns</w:t>
            </w:r>
            <w:r w:rsidR="002870A7">
              <w:t>:</w:t>
            </w:r>
          </w:p>
          <w:p w:rsidR="002870A7" w:rsidRDefault="00027B3D" w:rsidP="002870A7">
            <w:pPr>
              <w:pStyle w:val="FSBullet"/>
              <w:ind w:left="357" w:hanging="357"/>
              <w:rPr>
                <w:sz w:val="20"/>
                <w:szCs w:val="20"/>
              </w:rPr>
            </w:pPr>
            <w:r>
              <w:rPr>
                <w:sz w:val="20"/>
                <w:szCs w:val="20"/>
              </w:rPr>
              <w:t>M</w:t>
            </w:r>
            <w:r w:rsidR="002870A7" w:rsidRPr="002870A7">
              <w:rPr>
                <w:sz w:val="20"/>
                <w:szCs w:val="20"/>
              </w:rPr>
              <w:t>arke</w:t>
            </w:r>
            <w:r>
              <w:rPr>
                <w:sz w:val="20"/>
                <w:szCs w:val="20"/>
              </w:rPr>
              <w:t>t</w:t>
            </w:r>
            <w:r w:rsidR="002870A7" w:rsidRPr="002870A7">
              <w:rPr>
                <w:sz w:val="20"/>
                <w:szCs w:val="20"/>
              </w:rPr>
              <w:t>in</w:t>
            </w:r>
            <w:r>
              <w:rPr>
                <w:sz w:val="20"/>
                <w:szCs w:val="20"/>
              </w:rPr>
              <w:t>g</w:t>
            </w:r>
            <w:r w:rsidR="002870A7" w:rsidRPr="002870A7">
              <w:rPr>
                <w:sz w:val="20"/>
                <w:szCs w:val="20"/>
              </w:rPr>
              <w:t xml:space="preserve"> be regulated by the Federal Government and be independent of the alcohol industry</w:t>
            </w:r>
            <w:r>
              <w:rPr>
                <w:sz w:val="20"/>
                <w:szCs w:val="20"/>
              </w:rPr>
              <w:t>, particularly in relation to health claims</w:t>
            </w:r>
            <w:r w:rsidR="002870A7">
              <w:rPr>
                <w:sz w:val="20"/>
                <w:szCs w:val="20"/>
              </w:rPr>
              <w:t>.</w:t>
            </w:r>
          </w:p>
          <w:p w:rsidR="002870A7" w:rsidRPr="002870A7" w:rsidRDefault="002870A7" w:rsidP="002870A7">
            <w:pPr>
              <w:pStyle w:val="FSBullet"/>
              <w:ind w:left="357" w:hanging="357"/>
              <w:rPr>
                <w:sz w:val="20"/>
                <w:szCs w:val="20"/>
              </w:rPr>
            </w:pPr>
            <w:r w:rsidRPr="002870A7">
              <w:rPr>
                <w:sz w:val="20"/>
                <w:szCs w:val="20"/>
              </w:rPr>
              <w:t xml:space="preserve">Require a clear labelling distinction to be made between lower alcohol wine (understood by FSANZ to mean those with alcohol content between 4.5-8% alc/vol) and those ‘standard’ wines that meet the current alcohol limits (i.e. at least 8% alc/vol). </w:t>
            </w:r>
            <w:r w:rsidR="00D67C03">
              <w:rPr>
                <w:sz w:val="20"/>
                <w:szCs w:val="20"/>
              </w:rPr>
              <w:t>Suggests terminology to be agreed in consultation.</w:t>
            </w:r>
          </w:p>
          <w:p w:rsidR="002870A7" w:rsidRDefault="00D67C03" w:rsidP="002870A7">
            <w:pPr>
              <w:pStyle w:val="FSBullet"/>
              <w:ind w:left="357" w:hanging="357"/>
              <w:rPr>
                <w:sz w:val="20"/>
                <w:szCs w:val="20"/>
              </w:rPr>
            </w:pPr>
            <w:r w:rsidRPr="007A4641">
              <w:rPr>
                <w:sz w:val="20"/>
                <w:szCs w:val="20"/>
              </w:rPr>
              <w:t>Exemptions for alcohol products to disclose ingredient and nutritional in</w:t>
            </w:r>
            <w:r w:rsidR="00A6195D">
              <w:rPr>
                <w:sz w:val="20"/>
                <w:szCs w:val="20"/>
              </w:rPr>
              <w:t>formation to be removed</w:t>
            </w:r>
            <w:r w:rsidR="00BC0B6E">
              <w:rPr>
                <w:sz w:val="20"/>
                <w:szCs w:val="20"/>
              </w:rPr>
              <w:t xml:space="preserve"> to allow consumers to make informed choices</w:t>
            </w:r>
            <w:r w:rsidRPr="007A4641">
              <w:rPr>
                <w:sz w:val="20"/>
                <w:szCs w:val="20"/>
              </w:rPr>
              <w:t xml:space="preserve"> (</w:t>
            </w:r>
            <w:r w:rsidR="007A4641" w:rsidRPr="007A4641">
              <w:rPr>
                <w:sz w:val="20"/>
                <w:szCs w:val="20"/>
              </w:rPr>
              <w:t>ADCA submission to the Food Labelling Law and Policy Review)</w:t>
            </w:r>
            <w:r w:rsidR="00027B3D">
              <w:rPr>
                <w:sz w:val="20"/>
                <w:szCs w:val="20"/>
              </w:rPr>
              <w:t>.</w:t>
            </w:r>
          </w:p>
          <w:p w:rsidR="00027B3D" w:rsidRDefault="00027B3D" w:rsidP="00027B3D">
            <w:pPr>
              <w:pStyle w:val="FSBullet"/>
              <w:ind w:left="357" w:hanging="357"/>
              <w:rPr>
                <w:sz w:val="20"/>
                <w:szCs w:val="20"/>
              </w:rPr>
            </w:pPr>
            <w:r w:rsidRPr="00027B3D">
              <w:rPr>
                <w:sz w:val="20"/>
                <w:szCs w:val="20"/>
              </w:rPr>
              <w:t xml:space="preserve">Standardise </w:t>
            </w:r>
            <w:r>
              <w:rPr>
                <w:sz w:val="20"/>
                <w:szCs w:val="20"/>
              </w:rPr>
              <w:t>the way in which</w:t>
            </w:r>
            <w:r w:rsidRPr="00027B3D">
              <w:rPr>
                <w:sz w:val="20"/>
                <w:szCs w:val="20"/>
              </w:rPr>
              <w:t xml:space="preserve"> standard drink and alcohol content information</w:t>
            </w:r>
            <w:r>
              <w:rPr>
                <w:sz w:val="20"/>
                <w:szCs w:val="20"/>
              </w:rPr>
              <w:t xml:space="preserve"> is presented</w:t>
            </w:r>
            <w:r w:rsidR="00BC0B6E">
              <w:rPr>
                <w:sz w:val="20"/>
                <w:szCs w:val="20"/>
              </w:rPr>
              <w:t xml:space="preserve"> to simplify the message to consumers</w:t>
            </w:r>
            <w:r>
              <w:rPr>
                <w:sz w:val="20"/>
                <w:szCs w:val="20"/>
              </w:rPr>
              <w:t>.</w:t>
            </w:r>
          </w:p>
          <w:p w:rsidR="00092D80" w:rsidRPr="00027B3D" w:rsidRDefault="00BC0B6E" w:rsidP="00E457AE">
            <w:pPr>
              <w:pStyle w:val="FSBullet"/>
              <w:ind w:left="357" w:hanging="357"/>
              <w:rPr>
                <w:sz w:val="20"/>
                <w:szCs w:val="20"/>
              </w:rPr>
            </w:pPr>
            <w:r>
              <w:rPr>
                <w:sz w:val="20"/>
                <w:szCs w:val="20"/>
              </w:rPr>
              <w:t>Any c</w:t>
            </w:r>
            <w:r w:rsidR="00092D80" w:rsidRPr="00027B3D">
              <w:rPr>
                <w:sz w:val="20"/>
                <w:szCs w:val="20"/>
              </w:rPr>
              <w:t>hanges to the minimum alcohol content of wine be promoted broadly and the context for such a change be communicated clearly as part of changes to reduce a culture of excessive alcohol consumption.</w:t>
            </w:r>
          </w:p>
          <w:p w:rsidR="002870A7" w:rsidRPr="00027B3D" w:rsidRDefault="002870A7" w:rsidP="00E457AE">
            <w:pPr>
              <w:pStyle w:val="FSTableText"/>
            </w:pPr>
          </w:p>
          <w:p w:rsidR="002870A7" w:rsidRPr="002A75BA" w:rsidRDefault="002870A7" w:rsidP="00027B3D">
            <w:pPr>
              <w:pStyle w:val="FSBullet"/>
              <w:numPr>
                <w:ilvl w:val="0"/>
                <w:numId w:val="0"/>
              </w:numPr>
              <w:ind w:left="567"/>
              <w:rPr>
                <w:color w:val="FF0000"/>
              </w:rPr>
            </w:pPr>
          </w:p>
        </w:tc>
        <w:tc>
          <w:tcPr>
            <w:tcW w:w="5549" w:type="dxa"/>
          </w:tcPr>
          <w:p w:rsidR="008A387C" w:rsidRPr="005A5E6B" w:rsidRDefault="008A387C" w:rsidP="00E457AE">
            <w:pPr>
              <w:pStyle w:val="FSBullet"/>
              <w:ind w:left="306" w:hanging="306"/>
            </w:pPr>
            <w:r w:rsidRPr="005A5E6B">
              <w:rPr>
                <w:sz w:val="20"/>
                <w:szCs w:val="20"/>
              </w:rPr>
              <w:t xml:space="preserve">Representations and claims made on alcoholic beverages </w:t>
            </w:r>
            <w:r w:rsidR="00B91C13">
              <w:rPr>
                <w:sz w:val="20"/>
                <w:szCs w:val="20"/>
              </w:rPr>
              <w:t>are being</w:t>
            </w:r>
            <w:r w:rsidRPr="005A5E6B">
              <w:rPr>
                <w:sz w:val="20"/>
                <w:szCs w:val="20"/>
              </w:rPr>
              <w:t xml:space="preserve"> considered by FSANZ under Proposal P293 – Nutrition, Health and Related Claims and </w:t>
            </w:r>
            <w:r w:rsidR="005B75CE" w:rsidRPr="005A5E6B">
              <w:rPr>
                <w:sz w:val="20"/>
                <w:szCs w:val="20"/>
              </w:rPr>
              <w:t xml:space="preserve">therefore </w:t>
            </w:r>
            <w:r w:rsidR="00FE25F5">
              <w:rPr>
                <w:sz w:val="20"/>
                <w:szCs w:val="20"/>
              </w:rPr>
              <w:t xml:space="preserve">are </w:t>
            </w:r>
            <w:r w:rsidR="005B75CE" w:rsidRPr="005A5E6B">
              <w:rPr>
                <w:sz w:val="20"/>
                <w:szCs w:val="20"/>
              </w:rPr>
              <w:t>not</w:t>
            </w:r>
            <w:r w:rsidRPr="005A5E6B">
              <w:rPr>
                <w:sz w:val="20"/>
                <w:szCs w:val="20"/>
              </w:rPr>
              <w:t xml:space="preserve"> considered under this Application.</w:t>
            </w:r>
          </w:p>
          <w:p w:rsidR="008A387C" w:rsidRPr="005A5E6B" w:rsidRDefault="008A387C" w:rsidP="00E457AE">
            <w:pPr>
              <w:pStyle w:val="FSTableText"/>
              <w:numPr>
                <w:ilvl w:val="0"/>
                <w:numId w:val="41"/>
              </w:numPr>
              <w:ind w:left="306" w:hanging="284"/>
            </w:pPr>
            <w:r w:rsidRPr="005A5E6B">
              <w:t>In accordance with Standard 2.7.1, the label on an alcoholic beverage co</w:t>
            </w:r>
            <w:r w:rsidR="00A570BC">
              <w:t>ntaining more than 1.15% alc/vol</w:t>
            </w:r>
            <w:r w:rsidRPr="005A5E6B">
              <w:t xml:space="preserve"> must include a statement of the alcohol content. FSANZ considers that consumers will continue to be able to identify and compare the alcohol content of wine from this current labelling requirement.</w:t>
            </w:r>
          </w:p>
          <w:p w:rsidR="00FC6B60" w:rsidRPr="005A5E6B" w:rsidRDefault="008A387C" w:rsidP="00E457AE">
            <w:pPr>
              <w:pStyle w:val="FSTableText"/>
              <w:numPr>
                <w:ilvl w:val="0"/>
                <w:numId w:val="41"/>
              </w:numPr>
              <w:ind w:left="306" w:hanging="284"/>
            </w:pPr>
            <w:r w:rsidRPr="005A5E6B">
              <w:t xml:space="preserve">FSANZ notes that the standard drink labelling requirement in Standard 2.7.1 applies to all alcoholic beverages (above 0.5% alc/vol) in both Australia and New Zealand and to imported products. Consideration of this matter is therefore outside the scope of this Application as </w:t>
            </w:r>
            <w:r w:rsidR="0049672E">
              <w:t>the Application</w:t>
            </w:r>
            <w:r w:rsidRPr="005A5E6B">
              <w:t xml:space="preserve"> relates only to the production of wine in Australia.</w:t>
            </w:r>
          </w:p>
          <w:p w:rsidR="00D25C36" w:rsidRPr="00A708B0" w:rsidRDefault="00727C82" w:rsidP="00E457AE">
            <w:pPr>
              <w:pStyle w:val="FSTableText"/>
              <w:numPr>
                <w:ilvl w:val="0"/>
                <w:numId w:val="41"/>
              </w:numPr>
              <w:ind w:left="306" w:hanging="284"/>
            </w:pPr>
            <w:r w:rsidRPr="005A5E6B">
              <w:t xml:space="preserve">The removal of current labelling exemptions is not relevant to this Application. </w:t>
            </w:r>
            <w:r w:rsidR="00DE163A" w:rsidRPr="005A5E6B">
              <w:t>FSANZ acknowledges that ingredient</w:t>
            </w:r>
            <w:r w:rsidR="00DD039F" w:rsidRPr="005A5E6B">
              <w:t xml:space="preserve">s </w:t>
            </w:r>
            <w:r w:rsidR="00DE163A" w:rsidRPr="005A5E6B">
              <w:t xml:space="preserve">and nutritional information disclosure on alcohol products were considered under the independent Review of Food Labelling Law and Policy. </w:t>
            </w:r>
            <w:r w:rsidRPr="005A5E6B">
              <w:t>The</w:t>
            </w:r>
            <w:r w:rsidR="00DE163A" w:rsidRPr="005A5E6B">
              <w:t xml:space="preserve"> Final Report, </w:t>
            </w:r>
            <w:r w:rsidR="00DE163A" w:rsidRPr="005A5E6B">
              <w:rPr>
                <w:i/>
                <w:iCs/>
              </w:rPr>
              <w:t>Labelling Logic - Review of Food Labelling Law and Policy (2011)</w:t>
            </w:r>
            <w:r w:rsidR="00DE163A" w:rsidRPr="005A5E6B">
              <w:rPr>
                <w:iCs/>
              </w:rPr>
              <w:t xml:space="preserve"> was released</w:t>
            </w:r>
            <w:r w:rsidRPr="005A5E6B">
              <w:rPr>
                <w:iCs/>
              </w:rPr>
              <w:t xml:space="preserve"> in January 2011</w:t>
            </w:r>
            <w:r w:rsidR="00DE163A" w:rsidRPr="005A5E6B">
              <w:rPr>
                <w:iCs/>
              </w:rPr>
              <w:t>.</w:t>
            </w:r>
            <w:r w:rsidR="00DD039F" w:rsidRPr="005A5E6B">
              <w:rPr>
                <w:iCs/>
              </w:rPr>
              <w:t xml:space="preserve"> </w:t>
            </w:r>
            <w:r w:rsidR="00DE163A" w:rsidRPr="005A5E6B">
              <w:rPr>
                <w:iCs/>
              </w:rPr>
              <w:t xml:space="preserve">The Final Report contains a number of recommendations, including recommendations relating to the labelling of alcohol products. </w:t>
            </w:r>
            <w:r w:rsidR="00F9533C">
              <w:rPr>
                <w:iCs/>
              </w:rPr>
              <w:t xml:space="preserve">A whole-of-government response to the recommendations </w:t>
            </w:r>
            <w:r w:rsidR="005E0C89">
              <w:rPr>
                <w:iCs/>
              </w:rPr>
              <w:t xml:space="preserve">is expected to </w:t>
            </w:r>
            <w:r w:rsidR="00F9533C">
              <w:rPr>
                <w:iCs/>
              </w:rPr>
              <w:t xml:space="preserve">be considered by the </w:t>
            </w:r>
            <w:r w:rsidR="00F9533C">
              <w:rPr>
                <w:szCs w:val="22"/>
              </w:rPr>
              <w:t xml:space="preserve">Australia </w:t>
            </w:r>
            <w:r w:rsidR="005E0C89">
              <w:rPr>
                <w:szCs w:val="22"/>
              </w:rPr>
              <w:t xml:space="preserve">and </w:t>
            </w:r>
            <w:r w:rsidR="00F9533C">
              <w:rPr>
                <w:szCs w:val="22"/>
              </w:rPr>
              <w:t xml:space="preserve">New Zealand Food Regulation </w:t>
            </w:r>
            <w:r w:rsidR="00DE163A" w:rsidRPr="005A5E6B">
              <w:rPr>
                <w:szCs w:val="22"/>
              </w:rPr>
              <w:t xml:space="preserve">Ministerial Council </w:t>
            </w:r>
            <w:r w:rsidR="00F9533C">
              <w:rPr>
                <w:szCs w:val="22"/>
              </w:rPr>
              <w:t>at its meeting in</w:t>
            </w:r>
            <w:r w:rsidR="00DE163A" w:rsidRPr="005A5E6B">
              <w:rPr>
                <w:szCs w:val="22"/>
              </w:rPr>
              <w:t xml:space="preserve"> December 2011.</w:t>
            </w:r>
          </w:p>
          <w:p w:rsidR="00A708B0" w:rsidRDefault="00A708B0" w:rsidP="00A708B0">
            <w:pPr>
              <w:pStyle w:val="FSTableText"/>
              <w:rPr>
                <w:szCs w:val="22"/>
              </w:rPr>
            </w:pPr>
          </w:p>
          <w:p w:rsidR="00A708B0" w:rsidRDefault="00A708B0" w:rsidP="00A708B0">
            <w:pPr>
              <w:pStyle w:val="FSTableText"/>
              <w:rPr>
                <w:szCs w:val="22"/>
              </w:rPr>
            </w:pPr>
          </w:p>
          <w:p w:rsidR="00A708B0" w:rsidRDefault="00A708B0" w:rsidP="00A708B0">
            <w:pPr>
              <w:pStyle w:val="FSTableText"/>
              <w:rPr>
                <w:szCs w:val="22"/>
              </w:rPr>
            </w:pPr>
          </w:p>
          <w:p w:rsidR="00A708B0" w:rsidRDefault="00A708B0" w:rsidP="00A708B0">
            <w:pPr>
              <w:pStyle w:val="FSTableText"/>
              <w:rPr>
                <w:szCs w:val="22"/>
              </w:rPr>
            </w:pPr>
          </w:p>
          <w:p w:rsidR="00A708B0" w:rsidRPr="005A5E6B" w:rsidRDefault="00A708B0" w:rsidP="00A708B0">
            <w:pPr>
              <w:pStyle w:val="FSTableText"/>
            </w:pPr>
          </w:p>
          <w:p w:rsidR="008A387C" w:rsidRPr="005A5E6B" w:rsidRDefault="00D25C36" w:rsidP="00E457AE">
            <w:pPr>
              <w:pStyle w:val="FSTableText"/>
              <w:numPr>
                <w:ilvl w:val="0"/>
                <w:numId w:val="41"/>
              </w:numPr>
              <w:ind w:left="306" w:hanging="284"/>
            </w:pPr>
            <w:r w:rsidRPr="005A5E6B">
              <w:lastRenderedPageBreak/>
              <w:t xml:space="preserve"> FSANZ’s responsibility is to </w:t>
            </w:r>
            <w:r w:rsidR="00F9533C">
              <w:t>assess</w:t>
            </w:r>
            <w:r w:rsidR="00F9533C" w:rsidRPr="005A5E6B">
              <w:t xml:space="preserve"> </w:t>
            </w:r>
            <w:r w:rsidRPr="005A5E6B">
              <w:t>the merits of the purpose and justification of the Application. An indirect outcome of the Application, if it is successful, is that more lower</w:t>
            </w:r>
            <w:r w:rsidR="00DD039F" w:rsidRPr="005A5E6B">
              <w:t xml:space="preserve"> </w:t>
            </w:r>
            <w:r w:rsidRPr="005A5E6B">
              <w:t>alcohol wines may be produced and marketed in Australia, but that was not the main purpose of the Application. FSANZ does not have a role to actively support or ‘champion’ any particular outcome after its decision on an Application is made. That role can be taken by other stakeholders as deemed by them to be appropriate.</w:t>
            </w:r>
            <w:r w:rsidR="008A387C" w:rsidRPr="005A5E6B">
              <w:t xml:space="preserve"> </w:t>
            </w:r>
          </w:p>
          <w:p w:rsidR="008A387C" w:rsidRDefault="008A387C" w:rsidP="00E457AE">
            <w:pPr>
              <w:pStyle w:val="FSTableText"/>
              <w:rPr>
                <w:color w:val="FF0000"/>
              </w:rPr>
            </w:pPr>
          </w:p>
        </w:tc>
      </w:tr>
    </w:tbl>
    <w:p w:rsidR="00394B82" w:rsidRDefault="00394B82"/>
    <w:p w:rsidR="003C4969" w:rsidRDefault="003C4969">
      <w:pPr>
        <w:rPr>
          <w:color w:val="FF0000"/>
        </w:rPr>
      </w:pPr>
    </w:p>
    <w:sectPr w:rsidR="003C4969" w:rsidSect="00AD3B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0F6" w:rsidRDefault="000D20F6">
      <w:r>
        <w:separator/>
      </w:r>
    </w:p>
  </w:endnote>
  <w:endnote w:type="continuationSeparator" w:id="0">
    <w:p w:rsidR="000D20F6" w:rsidRDefault="000D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F6" w:rsidRDefault="000D20F6"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0F6" w:rsidRDefault="000D2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F6" w:rsidRDefault="000D20F6"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22E">
      <w:rPr>
        <w:rStyle w:val="PageNumber"/>
        <w:noProof/>
      </w:rPr>
      <w:t>i</w:t>
    </w:r>
    <w:r>
      <w:rPr>
        <w:rStyle w:val="PageNumber"/>
      </w:rPr>
      <w:fldChar w:fldCharType="end"/>
    </w:r>
  </w:p>
  <w:p w:rsidR="000D20F6" w:rsidRDefault="000D20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0F6" w:rsidRDefault="000D20F6">
      <w:r>
        <w:separator/>
      </w:r>
    </w:p>
  </w:footnote>
  <w:footnote w:type="continuationSeparator" w:id="0">
    <w:p w:rsidR="000D20F6" w:rsidRDefault="000D20F6">
      <w:r>
        <w:continuationSeparator/>
      </w:r>
    </w:p>
  </w:footnote>
  <w:footnote w:id="1">
    <w:p w:rsidR="000D20F6" w:rsidRPr="002264CC" w:rsidRDefault="000D20F6" w:rsidP="00CC6AE0">
      <w:pPr>
        <w:rPr>
          <w:sz w:val="20"/>
          <w:szCs w:val="20"/>
        </w:rPr>
      </w:pPr>
      <w:r>
        <w:rPr>
          <w:rStyle w:val="FootnoteReference"/>
        </w:rPr>
        <w:footnoteRef/>
      </w:r>
      <w:r>
        <w:t xml:space="preserve"> </w:t>
      </w:r>
      <w:r w:rsidRPr="002264CC">
        <w:rPr>
          <w:sz w:val="20"/>
          <w:szCs w:val="20"/>
        </w:rPr>
        <w:t>The alcohol/volume (alc/vol) measurement is used interchangeably with vol/vol (or v/v) or vol throughout this report to express the minimum alcohol content, though the alc/vol measurement will be used unless reporting from specific references.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F6" w:rsidRDefault="000D20F6">
    <w:pPr>
      <w:pStyle w:val="Header"/>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F6" w:rsidRDefault="000D20F6">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687346"/>
    <w:multiLevelType w:val="hybridMultilevel"/>
    <w:tmpl w:val="4006A6A0"/>
    <w:lvl w:ilvl="0" w:tplc="F7E2334A">
      <w:start w:val="1"/>
      <w:numFmt w:val="bullet"/>
      <w:pStyle w:val="Box1"/>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9">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73467F"/>
    <w:multiLevelType w:val="hybridMultilevel"/>
    <w:tmpl w:val="8D243A2E"/>
    <w:lvl w:ilvl="0" w:tplc="3A842EA8">
      <w:start w:val="1"/>
      <w:numFmt w:val="bullet"/>
      <w:pStyle w:val="FSDas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816A14"/>
    <w:multiLevelType w:val="hybridMultilevel"/>
    <w:tmpl w:val="84AAE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3A759F3"/>
    <w:multiLevelType w:val="hybridMultilevel"/>
    <w:tmpl w:val="ED3E0CCA"/>
    <w:lvl w:ilvl="0" w:tplc="BA6A2488">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1F1333"/>
    <w:multiLevelType w:val="hybridMultilevel"/>
    <w:tmpl w:val="6D5A8B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2327BD"/>
    <w:multiLevelType w:val="hybridMultilevel"/>
    <w:tmpl w:val="59BE2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EB0CC8"/>
    <w:multiLevelType w:val="hybridMultilevel"/>
    <w:tmpl w:val="0BE0D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94050C"/>
    <w:multiLevelType w:val="hybridMultilevel"/>
    <w:tmpl w:val="B1DA9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21">
    <w:nsid w:val="43DC1942"/>
    <w:multiLevelType w:val="hybridMultilevel"/>
    <w:tmpl w:val="642C88AA"/>
    <w:lvl w:ilvl="0" w:tplc="757A50B4">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C2125"/>
    <w:multiLevelType w:val="hybridMultilevel"/>
    <w:tmpl w:val="92402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E53DA8"/>
    <w:multiLevelType w:val="hybridMultilevel"/>
    <w:tmpl w:val="11F2BCE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910F9D"/>
    <w:multiLevelType w:val="hybridMultilevel"/>
    <w:tmpl w:val="6F8E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99182C"/>
    <w:multiLevelType w:val="hybridMultilevel"/>
    <w:tmpl w:val="C876E342"/>
    <w:lvl w:ilvl="0" w:tplc="40464C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7873F07"/>
    <w:multiLevelType w:val="hybridMultilevel"/>
    <w:tmpl w:val="B32AD63A"/>
    <w:lvl w:ilvl="0" w:tplc="B982683E">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7C63AEA"/>
    <w:multiLevelType w:val="hybridMultilevel"/>
    <w:tmpl w:val="60C497A0"/>
    <w:lvl w:ilvl="0" w:tplc="4FDAB3F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E8E55DE"/>
    <w:multiLevelType w:val="hybridMultilevel"/>
    <w:tmpl w:val="DDA6AAC2"/>
    <w:lvl w:ilvl="0" w:tplc="0CE4089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num w:numId="1">
    <w:abstractNumId w:val="33"/>
  </w:num>
  <w:num w:numId="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0"/>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27"/>
  </w:num>
  <w:num w:numId="14">
    <w:abstractNumId w:val="17"/>
  </w:num>
  <w:num w:numId="15">
    <w:abstractNumId w:val="26"/>
  </w:num>
  <w:num w:numId="16">
    <w:abstractNumId w:val="7"/>
  </w:num>
  <w:num w:numId="17">
    <w:abstractNumId w:val="3"/>
  </w:num>
  <w:num w:numId="18">
    <w:abstractNumId w:val="0"/>
  </w:num>
  <w:num w:numId="19">
    <w:abstractNumId w:val="20"/>
  </w:num>
  <w:num w:numId="20">
    <w:abstractNumId w:val="6"/>
  </w:num>
  <w:num w:numId="21">
    <w:abstractNumId w:val="34"/>
  </w:num>
  <w:num w:numId="22">
    <w:abstractNumId w:val="25"/>
  </w:num>
  <w:num w:numId="23">
    <w:abstractNumId w:val="8"/>
  </w:num>
  <w:num w:numId="24">
    <w:abstractNumId w:val="10"/>
  </w:num>
  <w:num w:numId="25">
    <w:abstractNumId w:val="24"/>
  </w:num>
  <w:num w:numId="26">
    <w:abstractNumId w:val="24"/>
  </w:num>
  <w:num w:numId="27">
    <w:abstractNumId w:val="15"/>
  </w:num>
  <w:num w:numId="28">
    <w:abstractNumId w:val="21"/>
  </w:num>
  <w:num w:numId="29">
    <w:abstractNumId w:val="22"/>
  </w:num>
  <w:num w:numId="30">
    <w:abstractNumId w:val="12"/>
  </w:num>
  <w:num w:numId="31">
    <w:abstractNumId w:val="11"/>
  </w:num>
  <w:num w:numId="32">
    <w:abstractNumId w:val="2"/>
  </w:num>
  <w:num w:numId="33">
    <w:abstractNumId w:val="16"/>
  </w:num>
  <w:num w:numId="34">
    <w:abstractNumId w:val="23"/>
  </w:num>
  <w:num w:numId="35">
    <w:abstractNumId w:val="13"/>
  </w:num>
  <w:num w:numId="36">
    <w:abstractNumId w:val="31"/>
  </w:num>
  <w:num w:numId="37">
    <w:abstractNumId w:val="29"/>
  </w:num>
  <w:num w:numId="38">
    <w:abstractNumId w:val="32"/>
  </w:num>
  <w:num w:numId="39">
    <w:abstractNumId w:val="14"/>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10"/>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2"/>
    <w:rsid w:val="00000114"/>
    <w:rsid w:val="0000247B"/>
    <w:rsid w:val="000036E6"/>
    <w:rsid w:val="0000469B"/>
    <w:rsid w:val="00006837"/>
    <w:rsid w:val="0001143C"/>
    <w:rsid w:val="00011FC1"/>
    <w:rsid w:val="00014F51"/>
    <w:rsid w:val="00016B8E"/>
    <w:rsid w:val="00016E20"/>
    <w:rsid w:val="00022699"/>
    <w:rsid w:val="00023243"/>
    <w:rsid w:val="0002348C"/>
    <w:rsid w:val="00027B3D"/>
    <w:rsid w:val="00027BE3"/>
    <w:rsid w:val="00030C78"/>
    <w:rsid w:val="00033863"/>
    <w:rsid w:val="00037BB1"/>
    <w:rsid w:val="000457E9"/>
    <w:rsid w:val="00047BA5"/>
    <w:rsid w:val="00054983"/>
    <w:rsid w:val="00056779"/>
    <w:rsid w:val="00057360"/>
    <w:rsid w:val="00061107"/>
    <w:rsid w:val="00061455"/>
    <w:rsid w:val="00064B2D"/>
    <w:rsid w:val="00065F1F"/>
    <w:rsid w:val="00066B17"/>
    <w:rsid w:val="0007199F"/>
    <w:rsid w:val="000731A6"/>
    <w:rsid w:val="00076D33"/>
    <w:rsid w:val="0008320A"/>
    <w:rsid w:val="00084839"/>
    <w:rsid w:val="00092D80"/>
    <w:rsid w:val="0009346F"/>
    <w:rsid w:val="000940AE"/>
    <w:rsid w:val="000A27C9"/>
    <w:rsid w:val="000A3D8B"/>
    <w:rsid w:val="000B45D5"/>
    <w:rsid w:val="000B545F"/>
    <w:rsid w:val="000B5C66"/>
    <w:rsid w:val="000C0D71"/>
    <w:rsid w:val="000C2C72"/>
    <w:rsid w:val="000C579B"/>
    <w:rsid w:val="000C64DB"/>
    <w:rsid w:val="000D20F6"/>
    <w:rsid w:val="000D3DAE"/>
    <w:rsid w:val="000D6FD4"/>
    <w:rsid w:val="000D7C89"/>
    <w:rsid w:val="000E0AE4"/>
    <w:rsid w:val="000E19A9"/>
    <w:rsid w:val="000E1C86"/>
    <w:rsid w:val="000E2227"/>
    <w:rsid w:val="000E2B98"/>
    <w:rsid w:val="000E3628"/>
    <w:rsid w:val="000E3DBC"/>
    <w:rsid w:val="000E4F31"/>
    <w:rsid w:val="000E657F"/>
    <w:rsid w:val="000F1277"/>
    <w:rsid w:val="000F57A4"/>
    <w:rsid w:val="00100C11"/>
    <w:rsid w:val="0010481F"/>
    <w:rsid w:val="001057EE"/>
    <w:rsid w:val="00113239"/>
    <w:rsid w:val="00116557"/>
    <w:rsid w:val="001170D8"/>
    <w:rsid w:val="00120F63"/>
    <w:rsid w:val="001235F2"/>
    <w:rsid w:val="00125C5F"/>
    <w:rsid w:val="001277EA"/>
    <w:rsid w:val="00130DF4"/>
    <w:rsid w:val="00137C0E"/>
    <w:rsid w:val="00140E19"/>
    <w:rsid w:val="00141B1F"/>
    <w:rsid w:val="00141CD9"/>
    <w:rsid w:val="00143A09"/>
    <w:rsid w:val="00143E7D"/>
    <w:rsid w:val="00150B17"/>
    <w:rsid w:val="00151222"/>
    <w:rsid w:val="00151C16"/>
    <w:rsid w:val="00153107"/>
    <w:rsid w:val="00161F9D"/>
    <w:rsid w:val="00162710"/>
    <w:rsid w:val="00164CC8"/>
    <w:rsid w:val="00166323"/>
    <w:rsid w:val="001710AB"/>
    <w:rsid w:val="001710D1"/>
    <w:rsid w:val="00181122"/>
    <w:rsid w:val="00182C4C"/>
    <w:rsid w:val="001860A1"/>
    <w:rsid w:val="0018751D"/>
    <w:rsid w:val="00187AD3"/>
    <w:rsid w:val="00187DC1"/>
    <w:rsid w:val="0019100C"/>
    <w:rsid w:val="001969C0"/>
    <w:rsid w:val="001A1A75"/>
    <w:rsid w:val="001A1E49"/>
    <w:rsid w:val="001A32EB"/>
    <w:rsid w:val="001A570F"/>
    <w:rsid w:val="001A6234"/>
    <w:rsid w:val="001A7E9A"/>
    <w:rsid w:val="001B1525"/>
    <w:rsid w:val="001B3FA4"/>
    <w:rsid w:val="001B447A"/>
    <w:rsid w:val="001B50D2"/>
    <w:rsid w:val="001B5CBA"/>
    <w:rsid w:val="001B69D6"/>
    <w:rsid w:val="001C0B01"/>
    <w:rsid w:val="001C141A"/>
    <w:rsid w:val="001C27A3"/>
    <w:rsid w:val="001C2FA1"/>
    <w:rsid w:val="001C6130"/>
    <w:rsid w:val="001C68A5"/>
    <w:rsid w:val="001C7C8D"/>
    <w:rsid w:val="001D369C"/>
    <w:rsid w:val="001D5D2E"/>
    <w:rsid w:val="001D7537"/>
    <w:rsid w:val="001D7C68"/>
    <w:rsid w:val="001E09FA"/>
    <w:rsid w:val="001E244C"/>
    <w:rsid w:val="001E7596"/>
    <w:rsid w:val="001F30E4"/>
    <w:rsid w:val="001F38EA"/>
    <w:rsid w:val="001F7165"/>
    <w:rsid w:val="001F7A9E"/>
    <w:rsid w:val="00200C3A"/>
    <w:rsid w:val="002125C4"/>
    <w:rsid w:val="002142A3"/>
    <w:rsid w:val="00214D02"/>
    <w:rsid w:val="00215229"/>
    <w:rsid w:val="00217E88"/>
    <w:rsid w:val="00221546"/>
    <w:rsid w:val="00221D07"/>
    <w:rsid w:val="0022506E"/>
    <w:rsid w:val="002251A4"/>
    <w:rsid w:val="00227843"/>
    <w:rsid w:val="00227E4A"/>
    <w:rsid w:val="00230E65"/>
    <w:rsid w:val="0023428C"/>
    <w:rsid w:val="00236C0F"/>
    <w:rsid w:val="002427C4"/>
    <w:rsid w:val="00244656"/>
    <w:rsid w:val="0025167A"/>
    <w:rsid w:val="00255603"/>
    <w:rsid w:val="002571BA"/>
    <w:rsid w:val="00262B16"/>
    <w:rsid w:val="00263AD3"/>
    <w:rsid w:val="0026565E"/>
    <w:rsid w:val="00273FDC"/>
    <w:rsid w:val="0027490A"/>
    <w:rsid w:val="00277BEE"/>
    <w:rsid w:val="002802B2"/>
    <w:rsid w:val="00280938"/>
    <w:rsid w:val="00282265"/>
    <w:rsid w:val="00285D5A"/>
    <w:rsid w:val="00286C3C"/>
    <w:rsid w:val="00286DBC"/>
    <w:rsid w:val="002870A7"/>
    <w:rsid w:val="00290C82"/>
    <w:rsid w:val="00295074"/>
    <w:rsid w:val="00295844"/>
    <w:rsid w:val="00296D66"/>
    <w:rsid w:val="00297880"/>
    <w:rsid w:val="002A0194"/>
    <w:rsid w:val="002A75BA"/>
    <w:rsid w:val="002A773E"/>
    <w:rsid w:val="002B035C"/>
    <w:rsid w:val="002B1832"/>
    <w:rsid w:val="002B4506"/>
    <w:rsid w:val="002B7756"/>
    <w:rsid w:val="002B79B5"/>
    <w:rsid w:val="002C1502"/>
    <w:rsid w:val="002C1D63"/>
    <w:rsid w:val="002D3BF3"/>
    <w:rsid w:val="002D43D3"/>
    <w:rsid w:val="002D4607"/>
    <w:rsid w:val="002D64D9"/>
    <w:rsid w:val="002E18A4"/>
    <w:rsid w:val="002E1ECA"/>
    <w:rsid w:val="002E241D"/>
    <w:rsid w:val="002E4F77"/>
    <w:rsid w:val="002E7F7F"/>
    <w:rsid w:val="002F07DF"/>
    <w:rsid w:val="002F0C99"/>
    <w:rsid w:val="002F1EAF"/>
    <w:rsid w:val="002F3B1D"/>
    <w:rsid w:val="002F485F"/>
    <w:rsid w:val="002F6488"/>
    <w:rsid w:val="002F6658"/>
    <w:rsid w:val="0030003B"/>
    <w:rsid w:val="00300B23"/>
    <w:rsid w:val="00301A73"/>
    <w:rsid w:val="00305A9E"/>
    <w:rsid w:val="003072FC"/>
    <w:rsid w:val="0030762D"/>
    <w:rsid w:val="00307B6A"/>
    <w:rsid w:val="00307F25"/>
    <w:rsid w:val="00311A8E"/>
    <w:rsid w:val="003129E5"/>
    <w:rsid w:val="00314C98"/>
    <w:rsid w:val="00320E6B"/>
    <w:rsid w:val="003213F9"/>
    <w:rsid w:val="00321C91"/>
    <w:rsid w:val="00322B92"/>
    <w:rsid w:val="00323DBF"/>
    <w:rsid w:val="0032463E"/>
    <w:rsid w:val="0033164D"/>
    <w:rsid w:val="00332481"/>
    <w:rsid w:val="0033273F"/>
    <w:rsid w:val="00332B12"/>
    <w:rsid w:val="00337DAC"/>
    <w:rsid w:val="0034110C"/>
    <w:rsid w:val="0034348D"/>
    <w:rsid w:val="00343524"/>
    <w:rsid w:val="00360220"/>
    <w:rsid w:val="00360564"/>
    <w:rsid w:val="003635A0"/>
    <w:rsid w:val="00363CF0"/>
    <w:rsid w:val="003640C5"/>
    <w:rsid w:val="003711AA"/>
    <w:rsid w:val="003714FC"/>
    <w:rsid w:val="00371B29"/>
    <w:rsid w:val="00372878"/>
    <w:rsid w:val="00377C99"/>
    <w:rsid w:val="00377E17"/>
    <w:rsid w:val="00382940"/>
    <w:rsid w:val="00386538"/>
    <w:rsid w:val="00391769"/>
    <w:rsid w:val="0039394B"/>
    <w:rsid w:val="00394B82"/>
    <w:rsid w:val="003950A2"/>
    <w:rsid w:val="003953E1"/>
    <w:rsid w:val="003956B3"/>
    <w:rsid w:val="0039593C"/>
    <w:rsid w:val="003966D2"/>
    <w:rsid w:val="00397CB3"/>
    <w:rsid w:val="003A178D"/>
    <w:rsid w:val="003A332F"/>
    <w:rsid w:val="003A4C85"/>
    <w:rsid w:val="003A68BE"/>
    <w:rsid w:val="003B4ABA"/>
    <w:rsid w:val="003B52E8"/>
    <w:rsid w:val="003B6D44"/>
    <w:rsid w:val="003C4969"/>
    <w:rsid w:val="003D008A"/>
    <w:rsid w:val="003D27C8"/>
    <w:rsid w:val="003D464A"/>
    <w:rsid w:val="003D54D8"/>
    <w:rsid w:val="003D5ACE"/>
    <w:rsid w:val="003D5CA3"/>
    <w:rsid w:val="003E1142"/>
    <w:rsid w:val="003E41D5"/>
    <w:rsid w:val="003E46BA"/>
    <w:rsid w:val="003E4B8D"/>
    <w:rsid w:val="003E4BA4"/>
    <w:rsid w:val="003F0E6B"/>
    <w:rsid w:val="003F29B4"/>
    <w:rsid w:val="003F4A90"/>
    <w:rsid w:val="003F5371"/>
    <w:rsid w:val="003F785F"/>
    <w:rsid w:val="00400CA7"/>
    <w:rsid w:val="00401C33"/>
    <w:rsid w:val="0040587D"/>
    <w:rsid w:val="004058C2"/>
    <w:rsid w:val="00405B1A"/>
    <w:rsid w:val="00405EA8"/>
    <w:rsid w:val="0040610E"/>
    <w:rsid w:val="0040684C"/>
    <w:rsid w:val="00406931"/>
    <w:rsid w:val="00411907"/>
    <w:rsid w:val="004138B4"/>
    <w:rsid w:val="00413AE5"/>
    <w:rsid w:val="00413BCD"/>
    <w:rsid w:val="0041427E"/>
    <w:rsid w:val="0041635C"/>
    <w:rsid w:val="0041724A"/>
    <w:rsid w:val="00417EE3"/>
    <w:rsid w:val="00420EAD"/>
    <w:rsid w:val="00420F2E"/>
    <w:rsid w:val="004242D6"/>
    <w:rsid w:val="00424B30"/>
    <w:rsid w:val="0042555E"/>
    <w:rsid w:val="0043471A"/>
    <w:rsid w:val="00435CB4"/>
    <w:rsid w:val="0043712F"/>
    <w:rsid w:val="004413DA"/>
    <w:rsid w:val="004416E9"/>
    <w:rsid w:val="00441733"/>
    <w:rsid w:val="0044325B"/>
    <w:rsid w:val="00443A53"/>
    <w:rsid w:val="004477B0"/>
    <w:rsid w:val="00451DB7"/>
    <w:rsid w:val="00452005"/>
    <w:rsid w:val="0045332A"/>
    <w:rsid w:val="00453C7F"/>
    <w:rsid w:val="00454E72"/>
    <w:rsid w:val="004618F0"/>
    <w:rsid w:val="00464643"/>
    <w:rsid w:val="004665A9"/>
    <w:rsid w:val="00466A72"/>
    <w:rsid w:val="00467C5D"/>
    <w:rsid w:val="00472CD9"/>
    <w:rsid w:val="00473E8C"/>
    <w:rsid w:val="00486793"/>
    <w:rsid w:val="00491D8B"/>
    <w:rsid w:val="004931B5"/>
    <w:rsid w:val="00493602"/>
    <w:rsid w:val="0049672E"/>
    <w:rsid w:val="004A2D64"/>
    <w:rsid w:val="004A367C"/>
    <w:rsid w:val="004A38F1"/>
    <w:rsid w:val="004A3B29"/>
    <w:rsid w:val="004A523C"/>
    <w:rsid w:val="004B00E0"/>
    <w:rsid w:val="004B0371"/>
    <w:rsid w:val="004B0F90"/>
    <w:rsid w:val="004B1225"/>
    <w:rsid w:val="004B618E"/>
    <w:rsid w:val="004B72F6"/>
    <w:rsid w:val="004C090C"/>
    <w:rsid w:val="004C0A15"/>
    <w:rsid w:val="004C1596"/>
    <w:rsid w:val="004C2875"/>
    <w:rsid w:val="004C3768"/>
    <w:rsid w:val="004C3DBB"/>
    <w:rsid w:val="004C41A7"/>
    <w:rsid w:val="004C56CF"/>
    <w:rsid w:val="004C579A"/>
    <w:rsid w:val="004C71B4"/>
    <w:rsid w:val="004D1A9D"/>
    <w:rsid w:val="004D28A8"/>
    <w:rsid w:val="004D3D1B"/>
    <w:rsid w:val="004D5669"/>
    <w:rsid w:val="004E0B08"/>
    <w:rsid w:val="004E1ABA"/>
    <w:rsid w:val="004E2648"/>
    <w:rsid w:val="004E2930"/>
    <w:rsid w:val="004E35DA"/>
    <w:rsid w:val="004E682D"/>
    <w:rsid w:val="004E7B91"/>
    <w:rsid w:val="004F242D"/>
    <w:rsid w:val="004F4117"/>
    <w:rsid w:val="004F4F98"/>
    <w:rsid w:val="004F79AC"/>
    <w:rsid w:val="00510551"/>
    <w:rsid w:val="00514F36"/>
    <w:rsid w:val="005165A2"/>
    <w:rsid w:val="005207D8"/>
    <w:rsid w:val="0052173F"/>
    <w:rsid w:val="00522B22"/>
    <w:rsid w:val="00523583"/>
    <w:rsid w:val="005256DD"/>
    <w:rsid w:val="0052762A"/>
    <w:rsid w:val="00527B30"/>
    <w:rsid w:val="00531249"/>
    <w:rsid w:val="005358DC"/>
    <w:rsid w:val="00535BF3"/>
    <w:rsid w:val="00535C3E"/>
    <w:rsid w:val="00536F97"/>
    <w:rsid w:val="0054363B"/>
    <w:rsid w:val="00550D36"/>
    <w:rsid w:val="0055247A"/>
    <w:rsid w:val="0055617A"/>
    <w:rsid w:val="00565021"/>
    <w:rsid w:val="00566EFD"/>
    <w:rsid w:val="00572425"/>
    <w:rsid w:val="0057242A"/>
    <w:rsid w:val="005736E9"/>
    <w:rsid w:val="00575440"/>
    <w:rsid w:val="005853B1"/>
    <w:rsid w:val="00586228"/>
    <w:rsid w:val="005864F8"/>
    <w:rsid w:val="005923A1"/>
    <w:rsid w:val="00597267"/>
    <w:rsid w:val="005A2226"/>
    <w:rsid w:val="005A4369"/>
    <w:rsid w:val="005A5E6B"/>
    <w:rsid w:val="005B1F4A"/>
    <w:rsid w:val="005B4E13"/>
    <w:rsid w:val="005B6AF4"/>
    <w:rsid w:val="005B75CE"/>
    <w:rsid w:val="005C0110"/>
    <w:rsid w:val="005C04CB"/>
    <w:rsid w:val="005C0C38"/>
    <w:rsid w:val="005C3D5C"/>
    <w:rsid w:val="005C770E"/>
    <w:rsid w:val="005D06D4"/>
    <w:rsid w:val="005D356B"/>
    <w:rsid w:val="005D4467"/>
    <w:rsid w:val="005D6484"/>
    <w:rsid w:val="005D72E1"/>
    <w:rsid w:val="005E0C89"/>
    <w:rsid w:val="005E5624"/>
    <w:rsid w:val="005F1FF6"/>
    <w:rsid w:val="005F400E"/>
    <w:rsid w:val="005F5AB8"/>
    <w:rsid w:val="005F7342"/>
    <w:rsid w:val="00604458"/>
    <w:rsid w:val="00610A3C"/>
    <w:rsid w:val="00614389"/>
    <w:rsid w:val="0062371F"/>
    <w:rsid w:val="006264B4"/>
    <w:rsid w:val="00627F48"/>
    <w:rsid w:val="006346B8"/>
    <w:rsid w:val="00635846"/>
    <w:rsid w:val="006427EF"/>
    <w:rsid w:val="00646BB5"/>
    <w:rsid w:val="00647ECE"/>
    <w:rsid w:val="006500E4"/>
    <w:rsid w:val="0065043F"/>
    <w:rsid w:val="006515F4"/>
    <w:rsid w:val="00653828"/>
    <w:rsid w:val="006560E7"/>
    <w:rsid w:val="006570BE"/>
    <w:rsid w:val="00660D36"/>
    <w:rsid w:val="006611A7"/>
    <w:rsid w:val="00663FCF"/>
    <w:rsid w:val="006652A2"/>
    <w:rsid w:val="00665C3E"/>
    <w:rsid w:val="006717F0"/>
    <w:rsid w:val="00671AB3"/>
    <w:rsid w:val="00671D18"/>
    <w:rsid w:val="006725B5"/>
    <w:rsid w:val="00676CA2"/>
    <w:rsid w:val="00681B2B"/>
    <w:rsid w:val="00684DDA"/>
    <w:rsid w:val="0068682A"/>
    <w:rsid w:val="00693016"/>
    <w:rsid w:val="0069702D"/>
    <w:rsid w:val="006A0527"/>
    <w:rsid w:val="006A2464"/>
    <w:rsid w:val="006A3847"/>
    <w:rsid w:val="006A48A7"/>
    <w:rsid w:val="006A655E"/>
    <w:rsid w:val="006A7266"/>
    <w:rsid w:val="006A7F46"/>
    <w:rsid w:val="006B1175"/>
    <w:rsid w:val="006B2198"/>
    <w:rsid w:val="006B60F0"/>
    <w:rsid w:val="006C0DED"/>
    <w:rsid w:val="006C47BE"/>
    <w:rsid w:val="006C5CF5"/>
    <w:rsid w:val="006D21BB"/>
    <w:rsid w:val="006D3312"/>
    <w:rsid w:val="006D606A"/>
    <w:rsid w:val="006D7450"/>
    <w:rsid w:val="006D7E15"/>
    <w:rsid w:val="006E29A5"/>
    <w:rsid w:val="006E7201"/>
    <w:rsid w:val="006F097B"/>
    <w:rsid w:val="006F3D92"/>
    <w:rsid w:val="006F4A82"/>
    <w:rsid w:val="006F55BF"/>
    <w:rsid w:val="00703164"/>
    <w:rsid w:val="00715703"/>
    <w:rsid w:val="0071684E"/>
    <w:rsid w:val="00724FA4"/>
    <w:rsid w:val="00726F84"/>
    <w:rsid w:val="00727C82"/>
    <w:rsid w:val="00730800"/>
    <w:rsid w:val="00730AAD"/>
    <w:rsid w:val="0073149C"/>
    <w:rsid w:val="00731B63"/>
    <w:rsid w:val="00732A0B"/>
    <w:rsid w:val="00741483"/>
    <w:rsid w:val="007419F2"/>
    <w:rsid w:val="007454AF"/>
    <w:rsid w:val="00745E6C"/>
    <w:rsid w:val="0075316A"/>
    <w:rsid w:val="0075563C"/>
    <w:rsid w:val="007602AA"/>
    <w:rsid w:val="007633F5"/>
    <w:rsid w:val="007635BF"/>
    <w:rsid w:val="00763B9A"/>
    <w:rsid w:val="007651B7"/>
    <w:rsid w:val="007652EF"/>
    <w:rsid w:val="0076689A"/>
    <w:rsid w:val="00771504"/>
    <w:rsid w:val="00772FE8"/>
    <w:rsid w:val="0077421F"/>
    <w:rsid w:val="007753C0"/>
    <w:rsid w:val="00777842"/>
    <w:rsid w:val="00777976"/>
    <w:rsid w:val="00780792"/>
    <w:rsid w:val="00784105"/>
    <w:rsid w:val="00787C16"/>
    <w:rsid w:val="00796914"/>
    <w:rsid w:val="007970A0"/>
    <w:rsid w:val="007A4300"/>
    <w:rsid w:val="007A44B4"/>
    <w:rsid w:val="007A4641"/>
    <w:rsid w:val="007A668A"/>
    <w:rsid w:val="007A6D38"/>
    <w:rsid w:val="007A73AD"/>
    <w:rsid w:val="007A7D3D"/>
    <w:rsid w:val="007B02EB"/>
    <w:rsid w:val="007B225D"/>
    <w:rsid w:val="007B52FC"/>
    <w:rsid w:val="007B55BE"/>
    <w:rsid w:val="007B591E"/>
    <w:rsid w:val="007B5AB7"/>
    <w:rsid w:val="007B75DB"/>
    <w:rsid w:val="007C00D4"/>
    <w:rsid w:val="007C1C64"/>
    <w:rsid w:val="007C35F6"/>
    <w:rsid w:val="007C5713"/>
    <w:rsid w:val="007D6FE5"/>
    <w:rsid w:val="007D718D"/>
    <w:rsid w:val="007E072D"/>
    <w:rsid w:val="007E3034"/>
    <w:rsid w:val="007E48BC"/>
    <w:rsid w:val="007E54E3"/>
    <w:rsid w:val="007E79F7"/>
    <w:rsid w:val="007F295D"/>
    <w:rsid w:val="007F3630"/>
    <w:rsid w:val="007F7E33"/>
    <w:rsid w:val="008005C8"/>
    <w:rsid w:val="0080243D"/>
    <w:rsid w:val="00802CAB"/>
    <w:rsid w:val="00803DEF"/>
    <w:rsid w:val="00804526"/>
    <w:rsid w:val="00806F7C"/>
    <w:rsid w:val="00807559"/>
    <w:rsid w:val="00807F82"/>
    <w:rsid w:val="0081088F"/>
    <w:rsid w:val="00812070"/>
    <w:rsid w:val="00813A55"/>
    <w:rsid w:val="00813E3D"/>
    <w:rsid w:val="0081757D"/>
    <w:rsid w:val="00821419"/>
    <w:rsid w:val="00822D89"/>
    <w:rsid w:val="00825AC0"/>
    <w:rsid w:val="008302AB"/>
    <w:rsid w:val="00834776"/>
    <w:rsid w:val="00834C3C"/>
    <w:rsid w:val="00837049"/>
    <w:rsid w:val="00837068"/>
    <w:rsid w:val="00837CAF"/>
    <w:rsid w:val="00840CD1"/>
    <w:rsid w:val="00843E4F"/>
    <w:rsid w:val="008450BC"/>
    <w:rsid w:val="00846990"/>
    <w:rsid w:val="00847B0F"/>
    <w:rsid w:val="0085140B"/>
    <w:rsid w:val="008515B4"/>
    <w:rsid w:val="00851DE2"/>
    <w:rsid w:val="00856BC5"/>
    <w:rsid w:val="008570ED"/>
    <w:rsid w:val="00857108"/>
    <w:rsid w:val="0086006F"/>
    <w:rsid w:val="008602C5"/>
    <w:rsid w:val="008667BC"/>
    <w:rsid w:val="00870214"/>
    <w:rsid w:val="00870F5F"/>
    <w:rsid w:val="00874F25"/>
    <w:rsid w:val="00883C65"/>
    <w:rsid w:val="00886C44"/>
    <w:rsid w:val="008907C9"/>
    <w:rsid w:val="00892EEF"/>
    <w:rsid w:val="00896B85"/>
    <w:rsid w:val="00896DDC"/>
    <w:rsid w:val="008A0FCB"/>
    <w:rsid w:val="008A2131"/>
    <w:rsid w:val="008A2F4E"/>
    <w:rsid w:val="008A387C"/>
    <w:rsid w:val="008A3A8E"/>
    <w:rsid w:val="008A3C70"/>
    <w:rsid w:val="008A5FBF"/>
    <w:rsid w:val="008A7BEC"/>
    <w:rsid w:val="008A7CD9"/>
    <w:rsid w:val="008B4DC9"/>
    <w:rsid w:val="008B6192"/>
    <w:rsid w:val="008C01C8"/>
    <w:rsid w:val="008C3A00"/>
    <w:rsid w:val="008C63EE"/>
    <w:rsid w:val="008D06C6"/>
    <w:rsid w:val="008D7285"/>
    <w:rsid w:val="008E23F3"/>
    <w:rsid w:val="008E438A"/>
    <w:rsid w:val="008E5F51"/>
    <w:rsid w:val="008E6250"/>
    <w:rsid w:val="008E6DB1"/>
    <w:rsid w:val="008E7C36"/>
    <w:rsid w:val="008F23CA"/>
    <w:rsid w:val="008F5EF7"/>
    <w:rsid w:val="0090282C"/>
    <w:rsid w:val="00905756"/>
    <w:rsid w:val="00905806"/>
    <w:rsid w:val="00912BCA"/>
    <w:rsid w:val="00917E86"/>
    <w:rsid w:val="00917EF8"/>
    <w:rsid w:val="00920249"/>
    <w:rsid w:val="009216D1"/>
    <w:rsid w:val="00926291"/>
    <w:rsid w:val="009307B4"/>
    <w:rsid w:val="009314DA"/>
    <w:rsid w:val="009335DB"/>
    <w:rsid w:val="009412B5"/>
    <w:rsid w:val="009447CA"/>
    <w:rsid w:val="009458C9"/>
    <w:rsid w:val="00950ED6"/>
    <w:rsid w:val="009630D9"/>
    <w:rsid w:val="0096465B"/>
    <w:rsid w:val="0096697B"/>
    <w:rsid w:val="0096770B"/>
    <w:rsid w:val="00972D06"/>
    <w:rsid w:val="00974F41"/>
    <w:rsid w:val="00977919"/>
    <w:rsid w:val="00981CF0"/>
    <w:rsid w:val="009825BB"/>
    <w:rsid w:val="00986C09"/>
    <w:rsid w:val="009874DC"/>
    <w:rsid w:val="00991BC0"/>
    <w:rsid w:val="00992E6D"/>
    <w:rsid w:val="0099406A"/>
    <w:rsid w:val="009948CC"/>
    <w:rsid w:val="009956CE"/>
    <w:rsid w:val="009A1673"/>
    <w:rsid w:val="009A2104"/>
    <w:rsid w:val="009A391C"/>
    <w:rsid w:val="009A3D8E"/>
    <w:rsid w:val="009A4863"/>
    <w:rsid w:val="009A5B74"/>
    <w:rsid w:val="009A5DA5"/>
    <w:rsid w:val="009A7F1F"/>
    <w:rsid w:val="009B7620"/>
    <w:rsid w:val="009C0E76"/>
    <w:rsid w:val="009C3CB6"/>
    <w:rsid w:val="009C621A"/>
    <w:rsid w:val="009D11DC"/>
    <w:rsid w:val="009D134E"/>
    <w:rsid w:val="009D1D06"/>
    <w:rsid w:val="009D25E4"/>
    <w:rsid w:val="009D3608"/>
    <w:rsid w:val="009D427A"/>
    <w:rsid w:val="009D6388"/>
    <w:rsid w:val="009E0A61"/>
    <w:rsid w:val="009E3010"/>
    <w:rsid w:val="009E3616"/>
    <w:rsid w:val="009E6DFD"/>
    <w:rsid w:val="009E744A"/>
    <w:rsid w:val="009F0EDB"/>
    <w:rsid w:val="009F2963"/>
    <w:rsid w:val="009F2FA9"/>
    <w:rsid w:val="009F37B6"/>
    <w:rsid w:val="009F6BC3"/>
    <w:rsid w:val="009F7065"/>
    <w:rsid w:val="00A002E4"/>
    <w:rsid w:val="00A00939"/>
    <w:rsid w:val="00A01816"/>
    <w:rsid w:val="00A01855"/>
    <w:rsid w:val="00A02EC7"/>
    <w:rsid w:val="00A10C35"/>
    <w:rsid w:val="00A12F94"/>
    <w:rsid w:val="00A15D6D"/>
    <w:rsid w:val="00A16A3B"/>
    <w:rsid w:val="00A16FB7"/>
    <w:rsid w:val="00A170F7"/>
    <w:rsid w:val="00A2637A"/>
    <w:rsid w:val="00A27BA1"/>
    <w:rsid w:val="00A27FEE"/>
    <w:rsid w:val="00A303C2"/>
    <w:rsid w:val="00A32451"/>
    <w:rsid w:val="00A32A9F"/>
    <w:rsid w:val="00A33F9E"/>
    <w:rsid w:val="00A46F1D"/>
    <w:rsid w:val="00A50EA8"/>
    <w:rsid w:val="00A50EDE"/>
    <w:rsid w:val="00A52214"/>
    <w:rsid w:val="00A5306F"/>
    <w:rsid w:val="00A56DC7"/>
    <w:rsid w:val="00A56E55"/>
    <w:rsid w:val="00A570BC"/>
    <w:rsid w:val="00A6195D"/>
    <w:rsid w:val="00A662BC"/>
    <w:rsid w:val="00A708B0"/>
    <w:rsid w:val="00A74FD1"/>
    <w:rsid w:val="00A7581E"/>
    <w:rsid w:val="00A84A58"/>
    <w:rsid w:val="00A856F9"/>
    <w:rsid w:val="00A85B59"/>
    <w:rsid w:val="00A86E03"/>
    <w:rsid w:val="00A916A0"/>
    <w:rsid w:val="00A91BBD"/>
    <w:rsid w:val="00A94E18"/>
    <w:rsid w:val="00A97B39"/>
    <w:rsid w:val="00AB455E"/>
    <w:rsid w:val="00AB6684"/>
    <w:rsid w:val="00AB6AD3"/>
    <w:rsid w:val="00AB7C29"/>
    <w:rsid w:val="00AC198F"/>
    <w:rsid w:val="00AC6893"/>
    <w:rsid w:val="00AC7E49"/>
    <w:rsid w:val="00AD137D"/>
    <w:rsid w:val="00AD1763"/>
    <w:rsid w:val="00AD1FB0"/>
    <w:rsid w:val="00AD25E4"/>
    <w:rsid w:val="00AD3A01"/>
    <w:rsid w:val="00AD3BD2"/>
    <w:rsid w:val="00AE3DD0"/>
    <w:rsid w:val="00AE3F15"/>
    <w:rsid w:val="00AE55D9"/>
    <w:rsid w:val="00AF06A9"/>
    <w:rsid w:val="00AF47FA"/>
    <w:rsid w:val="00AF4AC9"/>
    <w:rsid w:val="00B00E7F"/>
    <w:rsid w:val="00B06020"/>
    <w:rsid w:val="00B07B9D"/>
    <w:rsid w:val="00B143BE"/>
    <w:rsid w:val="00B15313"/>
    <w:rsid w:val="00B17775"/>
    <w:rsid w:val="00B2110D"/>
    <w:rsid w:val="00B21706"/>
    <w:rsid w:val="00B21DCC"/>
    <w:rsid w:val="00B2319D"/>
    <w:rsid w:val="00B23907"/>
    <w:rsid w:val="00B23D45"/>
    <w:rsid w:val="00B24394"/>
    <w:rsid w:val="00B26E3E"/>
    <w:rsid w:val="00B34076"/>
    <w:rsid w:val="00B34CF8"/>
    <w:rsid w:val="00B34FA8"/>
    <w:rsid w:val="00B3766A"/>
    <w:rsid w:val="00B41ECC"/>
    <w:rsid w:val="00B438AE"/>
    <w:rsid w:val="00B505C2"/>
    <w:rsid w:val="00B529F4"/>
    <w:rsid w:val="00B65AF4"/>
    <w:rsid w:val="00B661F5"/>
    <w:rsid w:val="00B66485"/>
    <w:rsid w:val="00B66818"/>
    <w:rsid w:val="00B67345"/>
    <w:rsid w:val="00B711AE"/>
    <w:rsid w:val="00B731D3"/>
    <w:rsid w:val="00B8016B"/>
    <w:rsid w:val="00B80C00"/>
    <w:rsid w:val="00B81582"/>
    <w:rsid w:val="00B82510"/>
    <w:rsid w:val="00B836A2"/>
    <w:rsid w:val="00B839A3"/>
    <w:rsid w:val="00B855A1"/>
    <w:rsid w:val="00B87A24"/>
    <w:rsid w:val="00B902BD"/>
    <w:rsid w:val="00B90BCA"/>
    <w:rsid w:val="00B91C13"/>
    <w:rsid w:val="00B92F9C"/>
    <w:rsid w:val="00B936E2"/>
    <w:rsid w:val="00B93798"/>
    <w:rsid w:val="00B94AAF"/>
    <w:rsid w:val="00B95AA0"/>
    <w:rsid w:val="00BA42F7"/>
    <w:rsid w:val="00BA7FAE"/>
    <w:rsid w:val="00BB0225"/>
    <w:rsid w:val="00BB0B50"/>
    <w:rsid w:val="00BB2296"/>
    <w:rsid w:val="00BC0B6E"/>
    <w:rsid w:val="00BC1205"/>
    <w:rsid w:val="00BC2A2A"/>
    <w:rsid w:val="00BC4CBC"/>
    <w:rsid w:val="00BC7365"/>
    <w:rsid w:val="00BD0800"/>
    <w:rsid w:val="00BD2A39"/>
    <w:rsid w:val="00BD2E80"/>
    <w:rsid w:val="00BD30FA"/>
    <w:rsid w:val="00BD356C"/>
    <w:rsid w:val="00BD420A"/>
    <w:rsid w:val="00BD58F1"/>
    <w:rsid w:val="00BD6D97"/>
    <w:rsid w:val="00BD7424"/>
    <w:rsid w:val="00BE1E0F"/>
    <w:rsid w:val="00BE3794"/>
    <w:rsid w:val="00BE60AC"/>
    <w:rsid w:val="00BE7D60"/>
    <w:rsid w:val="00BE7DEE"/>
    <w:rsid w:val="00BF2CD4"/>
    <w:rsid w:val="00BF5527"/>
    <w:rsid w:val="00BF792B"/>
    <w:rsid w:val="00BF7FF0"/>
    <w:rsid w:val="00C007EF"/>
    <w:rsid w:val="00C00C48"/>
    <w:rsid w:val="00C05382"/>
    <w:rsid w:val="00C12502"/>
    <w:rsid w:val="00C1333C"/>
    <w:rsid w:val="00C171E1"/>
    <w:rsid w:val="00C17354"/>
    <w:rsid w:val="00C20E9C"/>
    <w:rsid w:val="00C21890"/>
    <w:rsid w:val="00C27AEA"/>
    <w:rsid w:val="00C30C34"/>
    <w:rsid w:val="00C31D17"/>
    <w:rsid w:val="00C40845"/>
    <w:rsid w:val="00C41206"/>
    <w:rsid w:val="00C43169"/>
    <w:rsid w:val="00C450BB"/>
    <w:rsid w:val="00C45B20"/>
    <w:rsid w:val="00C45C55"/>
    <w:rsid w:val="00C46900"/>
    <w:rsid w:val="00C46B34"/>
    <w:rsid w:val="00C476D0"/>
    <w:rsid w:val="00C4770F"/>
    <w:rsid w:val="00C5307E"/>
    <w:rsid w:val="00C53172"/>
    <w:rsid w:val="00C56426"/>
    <w:rsid w:val="00C61457"/>
    <w:rsid w:val="00C6214E"/>
    <w:rsid w:val="00C62B60"/>
    <w:rsid w:val="00C6326B"/>
    <w:rsid w:val="00C64B78"/>
    <w:rsid w:val="00C64E66"/>
    <w:rsid w:val="00C66877"/>
    <w:rsid w:val="00C76866"/>
    <w:rsid w:val="00C77247"/>
    <w:rsid w:val="00C77BDF"/>
    <w:rsid w:val="00C82364"/>
    <w:rsid w:val="00C836E3"/>
    <w:rsid w:val="00C86577"/>
    <w:rsid w:val="00C92372"/>
    <w:rsid w:val="00C92E07"/>
    <w:rsid w:val="00C95102"/>
    <w:rsid w:val="00C957F4"/>
    <w:rsid w:val="00C95C0A"/>
    <w:rsid w:val="00C96868"/>
    <w:rsid w:val="00CA0416"/>
    <w:rsid w:val="00CB055F"/>
    <w:rsid w:val="00CB7AB3"/>
    <w:rsid w:val="00CC1643"/>
    <w:rsid w:val="00CC6AE0"/>
    <w:rsid w:val="00CC75E2"/>
    <w:rsid w:val="00CC79CD"/>
    <w:rsid w:val="00CD43AF"/>
    <w:rsid w:val="00CD46EB"/>
    <w:rsid w:val="00CD571B"/>
    <w:rsid w:val="00CD7EBF"/>
    <w:rsid w:val="00CE4812"/>
    <w:rsid w:val="00CE6BA7"/>
    <w:rsid w:val="00CF0BE6"/>
    <w:rsid w:val="00CF63A2"/>
    <w:rsid w:val="00D056F1"/>
    <w:rsid w:val="00D12445"/>
    <w:rsid w:val="00D1303D"/>
    <w:rsid w:val="00D1639E"/>
    <w:rsid w:val="00D16FA1"/>
    <w:rsid w:val="00D2183A"/>
    <w:rsid w:val="00D23AC3"/>
    <w:rsid w:val="00D23DB6"/>
    <w:rsid w:val="00D25C36"/>
    <w:rsid w:val="00D27EF1"/>
    <w:rsid w:val="00D31323"/>
    <w:rsid w:val="00D34FC2"/>
    <w:rsid w:val="00D460DF"/>
    <w:rsid w:val="00D51A95"/>
    <w:rsid w:val="00D55237"/>
    <w:rsid w:val="00D60568"/>
    <w:rsid w:val="00D605A0"/>
    <w:rsid w:val="00D63E52"/>
    <w:rsid w:val="00D6447C"/>
    <w:rsid w:val="00D67C03"/>
    <w:rsid w:val="00D70C7A"/>
    <w:rsid w:val="00D71875"/>
    <w:rsid w:val="00D750B9"/>
    <w:rsid w:val="00D76143"/>
    <w:rsid w:val="00D77236"/>
    <w:rsid w:val="00D774D3"/>
    <w:rsid w:val="00D77FC2"/>
    <w:rsid w:val="00D86DB9"/>
    <w:rsid w:val="00D91BF8"/>
    <w:rsid w:val="00D94346"/>
    <w:rsid w:val="00D979E6"/>
    <w:rsid w:val="00DA10A8"/>
    <w:rsid w:val="00DA31F0"/>
    <w:rsid w:val="00DA5985"/>
    <w:rsid w:val="00DA70C2"/>
    <w:rsid w:val="00DB1E08"/>
    <w:rsid w:val="00DB2973"/>
    <w:rsid w:val="00DC1BBB"/>
    <w:rsid w:val="00DC2129"/>
    <w:rsid w:val="00DC2552"/>
    <w:rsid w:val="00DC6570"/>
    <w:rsid w:val="00DC7F82"/>
    <w:rsid w:val="00DD039F"/>
    <w:rsid w:val="00DD3028"/>
    <w:rsid w:val="00DD5E4D"/>
    <w:rsid w:val="00DD63D8"/>
    <w:rsid w:val="00DD7A96"/>
    <w:rsid w:val="00DE0331"/>
    <w:rsid w:val="00DE163A"/>
    <w:rsid w:val="00DE42E4"/>
    <w:rsid w:val="00DE6D66"/>
    <w:rsid w:val="00DF0521"/>
    <w:rsid w:val="00DF17D1"/>
    <w:rsid w:val="00DF25C3"/>
    <w:rsid w:val="00DF48B0"/>
    <w:rsid w:val="00DF762B"/>
    <w:rsid w:val="00E03B3E"/>
    <w:rsid w:val="00E04062"/>
    <w:rsid w:val="00E06E39"/>
    <w:rsid w:val="00E06F69"/>
    <w:rsid w:val="00E114E7"/>
    <w:rsid w:val="00E11EF8"/>
    <w:rsid w:val="00E146CA"/>
    <w:rsid w:val="00E2003B"/>
    <w:rsid w:val="00E23CF7"/>
    <w:rsid w:val="00E248B5"/>
    <w:rsid w:val="00E2736B"/>
    <w:rsid w:val="00E319B1"/>
    <w:rsid w:val="00E34397"/>
    <w:rsid w:val="00E362A8"/>
    <w:rsid w:val="00E40C98"/>
    <w:rsid w:val="00E432C5"/>
    <w:rsid w:val="00E44E41"/>
    <w:rsid w:val="00E457AE"/>
    <w:rsid w:val="00E46568"/>
    <w:rsid w:val="00E50C84"/>
    <w:rsid w:val="00E57E83"/>
    <w:rsid w:val="00E63642"/>
    <w:rsid w:val="00E71865"/>
    <w:rsid w:val="00E74587"/>
    <w:rsid w:val="00E777EC"/>
    <w:rsid w:val="00E924B1"/>
    <w:rsid w:val="00E93823"/>
    <w:rsid w:val="00E93E4A"/>
    <w:rsid w:val="00E9465D"/>
    <w:rsid w:val="00E95A20"/>
    <w:rsid w:val="00EA2D0E"/>
    <w:rsid w:val="00EA57EE"/>
    <w:rsid w:val="00EA6A6E"/>
    <w:rsid w:val="00EA6A82"/>
    <w:rsid w:val="00EA788B"/>
    <w:rsid w:val="00EA7F2F"/>
    <w:rsid w:val="00EB3C6B"/>
    <w:rsid w:val="00EB48DF"/>
    <w:rsid w:val="00EB6777"/>
    <w:rsid w:val="00EC00DE"/>
    <w:rsid w:val="00EC0A0F"/>
    <w:rsid w:val="00EC0AA4"/>
    <w:rsid w:val="00EC30E1"/>
    <w:rsid w:val="00EC3689"/>
    <w:rsid w:val="00EC657D"/>
    <w:rsid w:val="00ED0401"/>
    <w:rsid w:val="00ED15E4"/>
    <w:rsid w:val="00ED172A"/>
    <w:rsid w:val="00ED2A28"/>
    <w:rsid w:val="00ED3F19"/>
    <w:rsid w:val="00ED4701"/>
    <w:rsid w:val="00EE0A8B"/>
    <w:rsid w:val="00EE4059"/>
    <w:rsid w:val="00EE56D6"/>
    <w:rsid w:val="00EE656E"/>
    <w:rsid w:val="00EF1F49"/>
    <w:rsid w:val="00EF3D51"/>
    <w:rsid w:val="00EF4771"/>
    <w:rsid w:val="00EF55EB"/>
    <w:rsid w:val="00EF770C"/>
    <w:rsid w:val="00F001F1"/>
    <w:rsid w:val="00F03125"/>
    <w:rsid w:val="00F04442"/>
    <w:rsid w:val="00F05621"/>
    <w:rsid w:val="00F12658"/>
    <w:rsid w:val="00F12C0A"/>
    <w:rsid w:val="00F12ECD"/>
    <w:rsid w:val="00F13077"/>
    <w:rsid w:val="00F14BEC"/>
    <w:rsid w:val="00F20349"/>
    <w:rsid w:val="00F225C5"/>
    <w:rsid w:val="00F326DA"/>
    <w:rsid w:val="00F33A38"/>
    <w:rsid w:val="00F35580"/>
    <w:rsid w:val="00F36F0D"/>
    <w:rsid w:val="00F3715D"/>
    <w:rsid w:val="00F41E5B"/>
    <w:rsid w:val="00F41F4D"/>
    <w:rsid w:val="00F420C8"/>
    <w:rsid w:val="00F42A4C"/>
    <w:rsid w:val="00F439BA"/>
    <w:rsid w:val="00F43A99"/>
    <w:rsid w:val="00F44930"/>
    <w:rsid w:val="00F56EC7"/>
    <w:rsid w:val="00F57393"/>
    <w:rsid w:val="00F60028"/>
    <w:rsid w:val="00F602C5"/>
    <w:rsid w:val="00F61F50"/>
    <w:rsid w:val="00F637BF"/>
    <w:rsid w:val="00F67033"/>
    <w:rsid w:val="00F67630"/>
    <w:rsid w:val="00F67E25"/>
    <w:rsid w:val="00F74532"/>
    <w:rsid w:val="00F75F6B"/>
    <w:rsid w:val="00F76E70"/>
    <w:rsid w:val="00F77544"/>
    <w:rsid w:val="00F776AD"/>
    <w:rsid w:val="00F81A06"/>
    <w:rsid w:val="00F81C08"/>
    <w:rsid w:val="00F82055"/>
    <w:rsid w:val="00F82E54"/>
    <w:rsid w:val="00F850F5"/>
    <w:rsid w:val="00F906F4"/>
    <w:rsid w:val="00F94A5D"/>
    <w:rsid w:val="00F9533C"/>
    <w:rsid w:val="00F95A0C"/>
    <w:rsid w:val="00FA1F9D"/>
    <w:rsid w:val="00FA2A8C"/>
    <w:rsid w:val="00FA2E9B"/>
    <w:rsid w:val="00FA3110"/>
    <w:rsid w:val="00FA43A4"/>
    <w:rsid w:val="00FA73F4"/>
    <w:rsid w:val="00FB1292"/>
    <w:rsid w:val="00FB134F"/>
    <w:rsid w:val="00FB494E"/>
    <w:rsid w:val="00FB623A"/>
    <w:rsid w:val="00FB6E7A"/>
    <w:rsid w:val="00FB7512"/>
    <w:rsid w:val="00FC1615"/>
    <w:rsid w:val="00FC19E2"/>
    <w:rsid w:val="00FC1E15"/>
    <w:rsid w:val="00FC33BA"/>
    <w:rsid w:val="00FC6B60"/>
    <w:rsid w:val="00FC71B6"/>
    <w:rsid w:val="00FD0395"/>
    <w:rsid w:val="00FD1E89"/>
    <w:rsid w:val="00FD2022"/>
    <w:rsid w:val="00FD61B4"/>
    <w:rsid w:val="00FD6606"/>
    <w:rsid w:val="00FD6D13"/>
    <w:rsid w:val="00FD7179"/>
    <w:rsid w:val="00FD7547"/>
    <w:rsid w:val="00FD7B68"/>
    <w:rsid w:val="00FE022E"/>
    <w:rsid w:val="00FE25F5"/>
    <w:rsid w:val="00FE368E"/>
    <w:rsid w:val="00FE3FD7"/>
    <w:rsid w:val="00FE63AE"/>
    <w:rsid w:val="00FE7915"/>
    <w:rsid w:val="00FF3A60"/>
    <w:rsid w:val="00FF4885"/>
    <w:rsid w:val="00FF51BF"/>
    <w:rsid w:val="00FF5F5C"/>
    <w:rsid w:val="00FF6F64"/>
    <w:rsid w:val="00FF7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semiHidden="1" w:unhideWhenUsed="1"/>
    <w:lsdException w:name="Title" w:qFormat="1"/>
    <w:lsdException w:name="Subtitle" w:uiPriority="11"/>
    <w:lsdException w:name="Hyperlink" w:uiPriority="99"/>
    <w:lsdException w:name="Strong" w:uiPriority="22"/>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06931"/>
    <w:pPr>
      <w:widowControl w:val="0"/>
    </w:pPr>
    <w:rPr>
      <w:rFonts w:ascii="Arial" w:hAnsi="Arial"/>
      <w:sz w:val="22"/>
      <w:szCs w:val="24"/>
      <w:lang w:val="en-GB" w:eastAsia="en-US" w:bidi="en-US"/>
    </w:rPr>
  </w:style>
  <w:style w:type="paragraph" w:styleId="Heading1">
    <w:name w:val="heading 1"/>
    <w:aliases w:val="FS Heading 1"/>
    <w:basedOn w:val="Normal"/>
    <w:next w:val="Normal"/>
    <w:link w:val="Heading1Char"/>
    <w:uiPriority w:val="9"/>
    <w:qFormat/>
    <w:rsid w:val="003E46BA"/>
    <w:pPr>
      <w:keepNext/>
      <w:ind w:left="851" w:hanging="851"/>
      <w:outlineLvl w:val="0"/>
    </w:pPr>
    <w:rPr>
      <w:rFonts w:ascii="Tahoma" w:hAnsi="Tahoma" w:cs="Tahoma"/>
      <w:b/>
      <w:bCs/>
      <w:kern w:val="32"/>
      <w:sz w:val="28"/>
      <w:szCs w:val="32"/>
      <w:u w:val="single"/>
    </w:rPr>
  </w:style>
  <w:style w:type="paragraph" w:styleId="Heading2">
    <w:name w:val="heading 2"/>
    <w:aliases w:val="FS Heading 2"/>
    <w:basedOn w:val="Normal"/>
    <w:next w:val="Normal"/>
    <w:link w:val="Heading2Char"/>
    <w:uiPriority w:val="9"/>
    <w:unhideWhenUsed/>
    <w:qFormat/>
    <w:rsid w:val="003E46BA"/>
    <w:pPr>
      <w:keepNext/>
      <w:ind w:left="851" w:hanging="851"/>
      <w:outlineLvl w:val="1"/>
    </w:pPr>
    <w:rPr>
      <w:rFonts w:ascii="Arial Bold" w:hAnsi="Arial Bold" w:cs="Arial Unicode MS"/>
      <w:b/>
      <w:bCs/>
      <w:iCs/>
      <w:sz w:val="28"/>
      <w:szCs w:val="28"/>
    </w:rPr>
  </w:style>
  <w:style w:type="paragraph" w:styleId="Heading3">
    <w:name w:val="heading 3"/>
    <w:aliases w:val="FS Heading 3"/>
    <w:basedOn w:val="Normal"/>
    <w:next w:val="Normal"/>
    <w:link w:val="Heading3Char"/>
    <w:uiPriority w:val="9"/>
    <w:unhideWhenUsed/>
    <w:qFormat/>
    <w:rsid w:val="00227E4A"/>
    <w:pPr>
      <w:keepNext/>
      <w:ind w:left="851" w:hanging="851"/>
      <w:outlineLvl w:val="2"/>
    </w:pPr>
    <w:rPr>
      <w:rFonts w:ascii="Arial Bold" w:hAnsi="Arial Bold" w:cs="Arial Unicode MS"/>
      <w:b/>
      <w:bCs/>
      <w:szCs w:val="26"/>
    </w:rPr>
  </w:style>
  <w:style w:type="paragraph" w:styleId="Heading4">
    <w:name w:val="heading 4"/>
    <w:aliases w:val="FS Heading 4"/>
    <w:basedOn w:val="Normal"/>
    <w:next w:val="Normal"/>
    <w:link w:val="Heading4Char"/>
    <w:uiPriority w:val="9"/>
    <w:unhideWhenUsed/>
    <w:qFormat/>
    <w:rsid w:val="00227E4A"/>
    <w:pPr>
      <w:keepNext/>
      <w:ind w:left="851" w:hanging="851"/>
      <w:outlineLvl w:val="3"/>
    </w:pPr>
    <w:rPr>
      <w:bCs/>
      <w:i/>
      <w:szCs w:val="28"/>
    </w:rPr>
  </w:style>
  <w:style w:type="paragraph" w:styleId="Heading5">
    <w:name w:val="heading 5"/>
    <w:aliases w:val="FS Heading 5"/>
    <w:basedOn w:val="Normal"/>
    <w:next w:val="Normal"/>
    <w:link w:val="Heading5Char"/>
    <w:uiPriority w:val="9"/>
    <w:unhideWhenUsed/>
    <w:qFormat/>
    <w:rsid w:val="00227E4A"/>
    <w:pPr>
      <w:ind w:left="851" w:hanging="851"/>
      <w:outlineLvl w:val="4"/>
    </w:pPr>
    <w:rPr>
      <w:bCs/>
      <w:iCs/>
      <w:szCs w:val="26"/>
      <w:u w:val="single"/>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
    <w:basedOn w:val="DefaultParagraphFont"/>
    <w:link w:val="Heading1"/>
    <w:uiPriority w:val="9"/>
    <w:rsid w:val="003E46BA"/>
    <w:rPr>
      <w:rFonts w:ascii="Tahoma" w:hAnsi="Tahoma" w:cs="Tahoma"/>
      <w:b/>
      <w:bCs/>
      <w:kern w:val="32"/>
      <w:sz w:val="28"/>
      <w:szCs w:val="32"/>
      <w:u w:val="single"/>
      <w:lang w:val="en-US" w:eastAsia="en-US" w:bidi="en-US"/>
    </w:rPr>
  </w:style>
  <w:style w:type="character" w:customStyle="1" w:styleId="Heading2Char">
    <w:name w:val="Heading 2 Char"/>
    <w:aliases w:val="FS Heading 2 Char"/>
    <w:basedOn w:val="DefaultParagraphFont"/>
    <w:link w:val="Heading2"/>
    <w:uiPriority w:val="9"/>
    <w:rsid w:val="003E46BA"/>
    <w:rPr>
      <w:rFonts w:ascii="Arial Bold" w:hAnsi="Arial Bold" w:cs="Arial Unicode MS"/>
      <w:b/>
      <w:bCs/>
      <w:iCs/>
      <w:sz w:val="28"/>
      <w:szCs w:val="28"/>
      <w:lang w:val="en-US" w:eastAsia="en-US" w:bidi="en-US"/>
    </w:rPr>
  </w:style>
  <w:style w:type="character" w:customStyle="1" w:styleId="Heading3Char">
    <w:name w:val="Heading 3 Char"/>
    <w:aliases w:val="FS Heading 3 Char"/>
    <w:basedOn w:val="DefaultParagraphFont"/>
    <w:link w:val="Heading3"/>
    <w:uiPriority w:val="9"/>
    <w:rsid w:val="00227E4A"/>
    <w:rPr>
      <w:rFonts w:ascii="Arial Bold" w:hAnsi="Arial Bold" w:cs="Arial Unicode MS"/>
      <w:b/>
      <w:bCs/>
      <w:sz w:val="22"/>
      <w:szCs w:val="26"/>
      <w:lang w:val="en-US" w:eastAsia="en-US" w:bidi="en-US"/>
    </w:rPr>
  </w:style>
  <w:style w:type="character" w:customStyle="1" w:styleId="Heading4Char">
    <w:name w:val="Heading 4 Char"/>
    <w:aliases w:val="FS Heading 4 Char"/>
    <w:basedOn w:val="DefaultParagraphFont"/>
    <w:link w:val="Heading4"/>
    <w:uiPriority w:val="9"/>
    <w:rsid w:val="00227E4A"/>
    <w:rPr>
      <w:rFonts w:ascii="Arial" w:hAnsi="Arial"/>
      <w:bCs/>
      <w:i/>
      <w:sz w:val="22"/>
      <w:szCs w:val="28"/>
      <w:lang w:val="en-US" w:eastAsia="en-US" w:bidi="en-US"/>
    </w:rPr>
  </w:style>
  <w:style w:type="character" w:customStyle="1" w:styleId="Heading5Char">
    <w:name w:val="Heading 5 Char"/>
    <w:aliases w:val="FS Heading 5 Char"/>
    <w:basedOn w:val="DefaultParagraphFont"/>
    <w:link w:val="Heading5"/>
    <w:uiPriority w:val="9"/>
    <w:rsid w:val="00227E4A"/>
    <w:rPr>
      <w:rFonts w:ascii="Arial" w:hAnsi="Arial"/>
      <w:bCs/>
      <w:iCs/>
      <w:sz w:val="22"/>
      <w:szCs w:val="26"/>
      <w:u w:val="single"/>
      <w:lang w:val="en-US" w:eastAsia="en-US" w:bidi="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FC19E2"/>
    <w:rPr>
      <w:color w:val="auto"/>
      <w:u w:val="single"/>
    </w:rPr>
  </w:style>
  <w:style w:type="paragraph" w:styleId="Header">
    <w:name w:val="header"/>
    <w:basedOn w:val="Normal"/>
    <w:link w:val="HeaderChar"/>
    <w:rsid w:val="00E777EC"/>
  </w:style>
  <w:style w:type="paragraph" w:customStyle="1" w:styleId="FSTitle">
    <w:name w:val="FS Title"/>
    <w:basedOn w:val="Normal"/>
    <w:qFormat/>
    <w:rsid w:val="00DB2973"/>
    <w:rPr>
      <w:rFonts w:ascii="Tahoma" w:hAnsi="Tahoma" w:cs="Tahoma"/>
      <w:b/>
      <w:bCs/>
      <w:sz w:val="36"/>
    </w:rPr>
  </w:style>
  <w:style w:type="paragraph" w:customStyle="1" w:styleId="FSDash">
    <w:name w:val="FS Dash"/>
    <w:basedOn w:val="Normal"/>
    <w:qFormat/>
    <w:rsid w:val="007602AA"/>
    <w:pPr>
      <w:numPr>
        <w:numId w:val="31"/>
      </w:numPr>
      <w:ind w:left="1134" w:hanging="567"/>
    </w:pPr>
  </w:style>
  <w:style w:type="paragraph" w:styleId="TOC1">
    <w:name w:val="toc 1"/>
    <w:basedOn w:val="Normal"/>
    <w:next w:val="Normal"/>
    <w:autoRedefine/>
    <w:uiPriority w:val="39"/>
    <w:rsid w:val="00F42A4C"/>
    <w:rPr>
      <w:b/>
      <w:bCs/>
      <w:caps/>
    </w:rPr>
  </w:style>
  <w:style w:type="paragraph" w:styleId="TOC2">
    <w:name w:val="toc 2"/>
    <w:basedOn w:val="Normal"/>
    <w:next w:val="Normal"/>
    <w:autoRedefine/>
    <w:uiPriority w:val="39"/>
    <w:rsid w:val="00FC19E2"/>
    <w:pPr>
      <w:ind w:left="240"/>
    </w:pPr>
    <w:rPr>
      <w:smallCaps/>
    </w:rPr>
  </w:style>
  <w:style w:type="paragraph" w:styleId="Footer">
    <w:name w:val="footer"/>
    <w:basedOn w:val="Normal"/>
    <w:rsid w:val="00FC19E2"/>
    <w:pPr>
      <w:tabs>
        <w:tab w:val="center" w:pos="4153"/>
        <w:tab w:val="right" w:pos="8306"/>
      </w:tabs>
    </w:p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FC19E2"/>
    <w:pPr>
      <w:ind w:left="480"/>
    </w:pPr>
    <w:rPr>
      <w:i/>
      <w:iCs/>
    </w:rPr>
  </w:style>
  <w:style w:type="paragraph" w:styleId="TOC4">
    <w:name w:val="toc 4"/>
    <w:basedOn w:val="Normal"/>
    <w:next w:val="Normal"/>
    <w:autoRedefine/>
    <w:semiHidden/>
    <w:rsid w:val="00FC19E2"/>
    <w:pPr>
      <w:ind w:left="720"/>
    </w:pPr>
    <w:rPr>
      <w:szCs w:val="21"/>
    </w:rPr>
  </w:style>
  <w:style w:type="paragraph" w:styleId="TOC5">
    <w:name w:val="toc 5"/>
    <w:basedOn w:val="Normal"/>
    <w:next w:val="Normal"/>
    <w:autoRedefine/>
    <w:semiHidden/>
    <w:rsid w:val="00FC19E2"/>
    <w:pPr>
      <w:ind w:left="960"/>
    </w:pPr>
    <w:rPr>
      <w:szCs w:val="21"/>
    </w:rPr>
  </w:style>
  <w:style w:type="character" w:styleId="FollowedHyperlink">
    <w:name w:val="FollowedHyperlink"/>
    <w:basedOn w:val="DefaultParagraphFont"/>
    <w:rsid w:val="00FC19E2"/>
    <w:rPr>
      <w:color w:val="800080"/>
      <w:u w:val="single"/>
    </w:rPr>
  </w:style>
  <w:style w:type="paragraph" w:styleId="TOC6">
    <w:name w:val="toc 6"/>
    <w:basedOn w:val="Normal"/>
    <w:next w:val="Normal"/>
    <w:autoRedefine/>
    <w:semiHidden/>
    <w:rsid w:val="00FC19E2"/>
    <w:pPr>
      <w:ind w:left="1200"/>
    </w:pPr>
    <w:rPr>
      <w:szCs w:val="21"/>
    </w:rPr>
  </w:style>
  <w:style w:type="paragraph" w:customStyle="1" w:styleId="142Tableheading2">
    <w:name w:val="1.4.2 Table heading2"/>
    <w:basedOn w:val="Normal"/>
    <w:rsid w:val="00406931"/>
    <w:pPr>
      <w:keepNext/>
      <w:jc w:val="center"/>
    </w:pPr>
    <w:rPr>
      <w:iCs/>
      <w:smallCaps/>
      <w:sz w:val="18"/>
      <w:szCs w:val="20"/>
    </w:rPr>
  </w:style>
  <w:style w:type="paragraph" w:customStyle="1" w:styleId="Box1">
    <w:name w:val="Box 1"/>
    <w:basedOn w:val="Normal"/>
    <w:rsid w:val="00FC19E2"/>
    <w:pPr>
      <w:numPr>
        <w:numId w:val="16"/>
      </w:numPr>
      <w:tabs>
        <w:tab w:val="clear" w:pos="360"/>
        <w:tab w:val="num" w:pos="120"/>
      </w:tabs>
    </w:pPr>
    <w:rPr>
      <w:sz w:val="16"/>
    </w:rPr>
  </w:style>
  <w:style w:type="paragraph" w:customStyle="1" w:styleId="Box2">
    <w:name w:val="Box 2"/>
    <w:basedOn w:val="Normal"/>
    <w:rsid w:val="00FC19E2"/>
    <w:pPr>
      <w:tabs>
        <w:tab w:val="left" w:pos="4608"/>
        <w:tab w:val="left" w:pos="9180"/>
        <w:tab w:val="left" w:pos="9216"/>
      </w:tabs>
      <w:jc w:val="center"/>
    </w:pPr>
    <w:rPr>
      <w:b/>
      <w:bCs/>
      <w:i/>
      <w:iCs/>
      <w:color w:val="000000"/>
      <w:sz w:val="16"/>
    </w:rPr>
  </w:style>
  <w:style w:type="paragraph" w:customStyle="1" w:styleId="Box3">
    <w:name w:val="Box 3"/>
    <w:basedOn w:val="Normal"/>
    <w:rsid w:val="00FC19E2"/>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sid w:val="00406931"/>
    <w:rPr>
      <w:b/>
      <w:bCs/>
      <w:iCs w:val="0"/>
    </w:rPr>
  </w:style>
  <w:style w:type="paragraph" w:customStyle="1" w:styleId="142tabletext1">
    <w:name w:val="1.4.2 table text1"/>
    <w:basedOn w:val="Normal"/>
    <w:rsid w:val="00406931"/>
    <w:pPr>
      <w:ind w:left="142" w:hanging="142"/>
    </w:pPr>
    <w:rPr>
      <w:smallCaps/>
      <w:sz w:val="18"/>
      <w:szCs w:val="20"/>
    </w:rPr>
  </w:style>
  <w:style w:type="paragraph" w:customStyle="1" w:styleId="142tabletext2">
    <w:name w:val="1.4.2 table text2"/>
    <w:basedOn w:val="142tabletext1"/>
    <w:rsid w:val="00FC19E2"/>
    <w:pPr>
      <w:jc w:val="right"/>
    </w:pPr>
  </w:style>
  <w:style w:type="paragraph" w:customStyle="1" w:styleId="Clause">
    <w:name w:val="Clause"/>
    <w:basedOn w:val="Normal"/>
    <w:next w:val="Normal"/>
    <w:link w:val="ClauseChar"/>
    <w:qFormat/>
    <w:rsid w:val="00406931"/>
    <w:pPr>
      <w:tabs>
        <w:tab w:val="left" w:pos="851"/>
      </w:tabs>
    </w:pPr>
    <w:rPr>
      <w:sz w:val="20"/>
      <w:szCs w:val="20"/>
    </w:rPr>
  </w:style>
  <w:style w:type="paragraph" w:customStyle="1" w:styleId="Clauseheading">
    <w:name w:val="Clause heading"/>
    <w:basedOn w:val="Normal"/>
    <w:next w:val="Normal"/>
    <w:rsid w:val="00406931"/>
    <w:pPr>
      <w:tabs>
        <w:tab w:val="left" w:pos="851"/>
      </w:tabs>
    </w:pPr>
    <w:rPr>
      <w:b/>
      <w:sz w:val="20"/>
      <w:szCs w:val="20"/>
    </w:rPr>
  </w:style>
  <w:style w:type="paragraph" w:customStyle="1" w:styleId="ClauseList">
    <w:name w:val="Clause List"/>
    <w:basedOn w:val="Clause"/>
    <w:next w:val="Normal"/>
    <w:rsid w:val="00FC19E2"/>
  </w:style>
  <w:style w:type="paragraph" w:customStyle="1" w:styleId="Definition">
    <w:name w:val="Definition"/>
    <w:basedOn w:val="Normal"/>
    <w:next w:val="Normal"/>
    <w:rsid w:val="00406931"/>
    <w:pPr>
      <w:ind w:left="1701" w:hanging="851"/>
    </w:pPr>
    <w:rPr>
      <w:sz w:val="20"/>
      <w:szCs w:val="20"/>
    </w:rPr>
  </w:style>
  <w:style w:type="paragraph" w:customStyle="1" w:styleId="DivisionHeading">
    <w:name w:val="Division Heading"/>
    <w:basedOn w:val="Normal"/>
    <w:next w:val="Normal"/>
    <w:rsid w:val="00FC19E2"/>
    <w:pPr>
      <w:tabs>
        <w:tab w:val="left" w:pos="851"/>
      </w:tabs>
      <w:jc w:val="center"/>
    </w:pPr>
    <w:rPr>
      <w:b/>
      <w:sz w:val="28"/>
      <w:szCs w:val="20"/>
    </w:rPr>
  </w:style>
  <w:style w:type="paragraph" w:customStyle="1" w:styleId="EditorialNoteLine1">
    <w:name w:val="Editorial Note Line 1"/>
    <w:basedOn w:val="Normal"/>
    <w:next w:val="Normal"/>
    <w:rsid w:val="00406931"/>
    <w:pPr>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C19E2"/>
    <w:rPr>
      <w:b w:val="0"/>
    </w:rPr>
  </w:style>
  <w:style w:type="paragraph" w:customStyle="1" w:styleId="Footnote">
    <w:name w:val="Footnote"/>
    <w:basedOn w:val="Normal"/>
    <w:rsid w:val="00FC19E2"/>
    <w:pPr>
      <w:tabs>
        <w:tab w:val="left" w:pos="851"/>
      </w:tabs>
    </w:pPr>
    <w:rPr>
      <w:sz w:val="20"/>
      <w:szCs w:val="20"/>
    </w:rPr>
  </w:style>
  <w:style w:type="paragraph" w:customStyle="1" w:styleId="MiscellaneousHeading">
    <w:name w:val="Miscellaneous Heading"/>
    <w:basedOn w:val="Normal"/>
    <w:next w:val="Normal"/>
    <w:rsid w:val="00FC19E2"/>
    <w:rPr>
      <w:b/>
      <w:szCs w:val="20"/>
    </w:rPr>
  </w:style>
  <w:style w:type="paragraph" w:customStyle="1" w:styleId="Paragraph">
    <w:name w:val="Paragraph"/>
    <w:basedOn w:val="Clause"/>
    <w:next w:val="Normal"/>
    <w:rsid w:val="00FC19E2"/>
    <w:pPr>
      <w:tabs>
        <w:tab w:val="clear" w:pos="851"/>
      </w:tabs>
      <w:ind w:left="1702" w:hanging="851"/>
    </w:pPr>
  </w:style>
  <w:style w:type="paragraph" w:customStyle="1" w:styleId="ScheduleHeading">
    <w:name w:val="Schedule Heading"/>
    <w:basedOn w:val="Normal"/>
    <w:next w:val="Normal"/>
    <w:rsid w:val="00406931"/>
    <w:pPr>
      <w:tabs>
        <w:tab w:val="left" w:pos="851"/>
      </w:tabs>
      <w:jc w:val="center"/>
    </w:pPr>
    <w:rPr>
      <w:b/>
      <w:caps/>
      <w:sz w:val="20"/>
      <w:szCs w:val="20"/>
    </w:rPr>
  </w:style>
  <w:style w:type="paragraph" w:customStyle="1" w:styleId="Standardtitle">
    <w:name w:val="Standard title"/>
    <w:basedOn w:val="Normal"/>
    <w:rsid w:val="00FC19E2"/>
    <w:pPr>
      <w:tabs>
        <w:tab w:val="left" w:pos="851"/>
      </w:tabs>
      <w:jc w:val="center"/>
    </w:pPr>
    <w:rPr>
      <w:b/>
      <w:i/>
      <w:iCs/>
      <w:caps/>
      <w:sz w:val="28"/>
      <w:szCs w:val="20"/>
    </w:rPr>
  </w:style>
  <w:style w:type="paragraph" w:customStyle="1" w:styleId="Subclause">
    <w:name w:val="Subclause"/>
    <w:basedOn w:val="Clause"/>
    <w:link w:val="SubclauseChar"/>
    <w:rsid w:val="00FC19E2"/>
    <w:pPr>
      <w:ind w:hanging="11"/>
    </w:pPr>
  </w:style>
  <w:style w:type="paragraph" w:customStyle="1" w:styleId="Subparagraph">
    <w:name w:val="Subparagraph"/>
    <w:basedOn w:val="Paragraph"/>
    <w:next w:val="Normal"/>
    <w:rsid w:val="00FC19E2"/>
    <w:pPr>
      <w:ind w:left="2553"/>
    </w:pPr>
  </w:style>
  <w:style w:type="paragraph" w:customStyle="1" w:styleId="Table1">
    <w:name w:val="Table 1"/>
    <w:basedOn w:val="Normal"/>
    <w:rsid w:val="00406931"/>
    <w:pPr>
      <w:spacing w:after="120"/>
      <w:jc w:val="center"/>
    </w:pPr>
    <w:rPr>
      <w:b/>
      <w:bCs/>
      <w:sz w:val="18"/>
      <w:szCs w:val="20"/>
    </w:rPr>
  </w:style>
  <w:style w:type="paragraph" w:customStyle="1" w:styleId="Table2">
    <w:name w:val="Table 2"/>
    <w:basedOn w:val="Normal"/>
    <w:rsid w:val="00406931"/>
    <w:pPr>
      <w:ind w:left="142" w:hanging="142"/>
    </w:pPr>
    <w:rPr>
      <w:bCs/>
      <w:sz w:val="18"/>
      <w:szCs w:val="20"/>
    </w:rPr>
  </w:style>
  <w:style w:type="paragraph" w:customStyle="1" w:styleId="TableHeading">
    <w:name w:val="Table Heading"/>
    <w:basedOn w:val="Normal"/>
    <w:next w:val="Normal"/>
    <w:rsid w:val="00406931"/>
    <w:pPr>
      <w:tabs>
        <w:tab w:val="left" w:pos="851"/>
      </w:tabs>
      <w:jc w:val="center"/>
    </w:pPr>
    <w:rPr>
      <w:b/>
      <w:sz w:val="20"/>
      <w:szCs w:val="20"/>
    </w:rPr>
  </w:style>
  <w:style w:type="paragraph" w:customStyle="1" w:styleId="TitleBorder">
    <w:name w:val="TitleBorder"/>
    <w:basedOn w:val="Normal"/>
    <w:rsid w:val="00FC19E2"/>
    <w:pPr>
      <w:pBdr>
        <w:bottom w:val="double" w:sz="6" w:space="0" w:color="auto"/>
      </w:pBdr>
      <w:tabs>
        <w:tab w:val="left" w:pos="851"/>
      </w:tabs>
    </w:pPr>
    <w:rPr>
      <w:b/>
      <w:szCs w:val="20"/>
    </w:rPr>
  </w:style>
  <w:style w:type="paragraph" w:styleId="TOC7">
    <w:name w:val="toc 7"/>
    <w:basedOn w:val="Normal"/>
    <w:next w:val="Normal"/>
    <w:autoRedefine/>
    <w:semiHidden/>
    <w:rsid w:val="00FC19E2"/>
    <w:pPr>
      <w:ind w:left="1440"/>
    </w:pPr>
    <w:rPr>
      <w:szCs w:val="21"/>
    </w:rPr>
  </w:style>
  <w:style w:type="paragraph" w:styleId="TOC8">
    <w:name w:val="toc 8"/>
    <w:basedOn w:val="Normal"/>
    <w:next w:val="Normal"/>
    <w:autoRedefine/>
    <w:semiHidden/>
    <w:rsid w:val="00FC19E2"/>
    <w:pPr>
      <w:ind w:left="1680"/>
    </w:pPr>
    <w:rPr>
      <w:szCs w:val="21"/>
    </w:rPr>
  </w:style>
  <w:style w:type="paragraph" w:styleId="TOC9">
    <w:name w:val="toc 9"/>
    <w:basedOn w:val="Normal"/>
    <w:next w:val="Normal"/>
    <w:autoRedefine/>
    <w:semiHidden/>
    <w:rsid w:val="00FC19E2"/>
    <w:pPr>
      <w:ind w:left="1920"/>
    </w:pPr>
    <w:rPr>
      <w:szCs w:val="21"/>
    </w:rPr>
  </w:style>
  <w:style w:type="paragraph" w:styleId="FootnoteText">
    <w:name w:val="footnote text"/>
    <w:basedOn w:val="Normal"/>
    <w:semiHidden/>
    <w:rsid w:val="00FC19E2"/>
    <w:rPr>
      <w:sz w:val="20"/>
      <w:szCs w:val="20"/>
    </w:rPr>
  </w:style>
  <w:style w:type="character" w:styleId="FootnoteReference">
    <w:name w:val="footnote reference"/>
    <w:basedOn w:val="DefaultParagraphFont"/>
    <w:semiHidden/>
    <w:rsid w:val="00FC19E2"/>
    <w:rPr>
      <w:vertAlign w:val="superscript"/>
    </w:rPr>
  </w:style>
  <w:style w:type="paragraph" w:customStyle="1" w:styleId="heading">
    <w:name w:val="heading"/>
    <w:basedOn w:val="Normal"/>
    <w:rsid w:val="00FC19E2"/>
    <w:pPr>
      <w:tabs>
        <w:tab w:val="left" w:pos="840"/>
      </w:tabs>
      <w:ind w:left="851" w:hanging="851"/>
    </w:pPr>
    <w:rPr>
      <w:b/>
      <w:caps/>
      <w:szCs w:val="20"/>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7602AA"/>
    <w:pPr>
      <w:pBdr>
        <w:top w:val="single" w:sz="4" w:space="1" w:color="auto"/>
        <w:left w:val="single" w:sz="4" w:space="4" w:color="auto"/>
        <w:bottom w:val="single" w:sz="4" w:space="1" w:color="auto"/>
        <w:right w:val="single" w:sz="4" w:space="4" w:color="auto"/>
      </w:pBdr>
    </w:pPr>
    <w:rPr>
      <w:rFonts w:ascii="Arial Bold" w:hAnsi="Arial Bold"/>
      <w:b/>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rPr>
      <w:rFonts w:cs="Times New Roman"/>
    </w:rPr>
  </w:style>
  <w:style w:type="paragraph" w:customStyle="1" w:styleId="FSBullet">
    <w:name w:val="FS Bullet"/>
    <w:basedOn w:val="Normal"/>
    <w:next w:val="Normal"/>
    <w:link w:val="FSBulletChar"/>
    <w:qFormat/>
    <w:rsid w:val="00E2003B"/>
    <w:pPr>
      <w:numPr>
        <w:numId w:val="32"/>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7B52FC"/>
    <w:rPr>
      <w:sz w:val="16"/>
      <w:szCs w:val="16"/>
    </w:rPr>
  </w:style>
  <w:style w:type="paragraph" w:styleId="CommentText">
    <w:name w:val="annotation text"/>
    <w:basedOn w:val="Normal"/>
    <w:link w:val="CommentTextChar"/>
    <w:rsid w:val="007B52FC"/>
    <w:rPr>
      <w:sz w:val="20"/>
      <w:szCs w:val="20"/>
    </w:rPr>
  </w:style>
  <w:style w:type="character" w:customStyle="1" w:styleId="CommentTextChar">
    <w:name w:val="Comment Text Char"/>
    <w:basedOn w:val="DefaultParagraphFont"/>
    <w:link w:val="CommentText"/>
    <w:rsid w:val="007B52FC"/>
    <w:rPr>
      <w:rFonts w:ascii="Arial" w:hAnsi="Arial"/>
      <w:lang w:val="en-GB" w:eastAsia="en-US" w:bidi="en-US"/>
    </w:rPr>
  </w:style>
  <w:style w:type="paragraph" w:styleId="CommentSubject">
    <w:name w:val="annotation subject"/>
    <w:basedOn w:val="CommentText"/>
    <w:next w:val="CommentText"/>
    <w:link w:val="CommentSubjectChar"/>
    <w:rsid w:val="007B52FC"/>
    <w:rPr>
      <w:b/>
      <w:bCs/>
    </w:rPr>
  </w:style>
  <w:style w:type="character" w:customStyle="1" w:styleId="CommentSubjectChar">
    <w:name w:val="Comment Subject Char"/>
    <w:basedOn w:val="CommentTextChar"/>
    <w:link w:val="CommentSubject"/>
    <w:rsid w:val="007B52FC"/>
    <w:rPr>
      <w:rFonts w:ascii="Arial" w:hAnsi="Arial"/>
      <w:b/>
      <w:bCs/>
      <w:lang w:val="en-GB" w:eastAsia="en-US" w:bidi="en-US"/>
    </w:rPr>
  </w:style>
  <w:style w:type="paragraph" w:styleId="NormalWeb">
    <w:name w:val="Normal (Web)"/>
    <w:basedOn w:val="Normal"/>
    <w:uiPriority w:val="99"/>
    <w:unhideWhenUsed/>
    <w:rsid w:val="0069702D"/>
    <w:pPr>
      <w:widowControl/>
      <w:spacing w:before="100" w:beforeAutospacing="1" w:after="100" w:afterAutospacing="1"/>
    </w:pPr>
    <w:rPr>
      <w:rFonts w:ascii="Times New Roman" w:hAnsi="Times New Roman"/>
      <w:sz w:val="24"/>
      <w:lang w:val="en-AU" w:eastAsia="en-AU" w:bidi="ar-SA"/>
    </w:rPr>
  </w:style>
  <w:style w:type="character" w:customStyle="1" w:styleId="HeaderChar">
    <w:name w:val="Header Char"/>
    <w:basedOn w:val="DefaultParagraphFont"/>
    <w:link w:val="Header"/>
    <w:rsid w:val="009216D1"/>
    <w:rPr>
      <w:rFonts w:ascii="Arial" w:hAnsi="Arial"/>
      <w:sz w:val="22"/>
      <w:szCs w:val="24"/>
      <w:lang w:val="en-GB" w:eastAsia="en-US" w:bidi="en-US"/>
    </w:rPr>
  </w:style>
  <w:style w:type="paragraph" w:styleId="ListParagraph">
    <w:name w:val="List Paragraph"/>
    <w:basedOn w:val="Normal"/>
    <w:uiPriority w:val="34"/>
    <w:rsid w:val="009216D1"/>
    <w:pPr>
      <w:ind w:left="720"/>
    </w:pPr>
  </w:style>
  <w:style w:type="character" w:customStyle="1" w:styleId="ClauseChar">
    <w:name w:val="Clause Char"/>
    <w:basedOn w:val="DefaultParagraphFont"/>
    <w:link w:val="Clause"/>
    <w:rsid w:val="001E7596"/>
    <w:rPr>
      <w:rFonts w:ascii="Arial" w:hAnsi="Arial"/>
      <w:lang w:val="en-GB" w:eastAsia="en-US" w:bidi="en-US"/>
    </w:rPr>
  </w:style>
  <w:style w:type="paragraph" w:styleId="Title">
    <w:name w:val="Title"/>
    <w:basedOn w:val="Normal"/>
    <w:link w:val="TitleChar"/>
    <w:qFormat/>
    <w:rsid w:val="00EA2D0E"/>
    <w:pPr>
      <w:tabs>
        <w:tab w:val="left" w:pos="851"/>
      </w:tabs>
      <w:jc w:val="center"/>
    </w:pPr>
    <w:rPr>
      <w:b/>
      <w:bCs/>
      <w:sz w:val="20"/>
      <w:lang w:val="en-AU" w:bidi="ar-SA"/>
    </w:rPr>
  </w:style>
  <w:style w:type="character" w:customStyle="1" w:styleId="TitleChar">
    <w:name w:val="Title Char"/>
    <w:basedOn w:val="DefaultParagraphFont"/>
    <w:link w:val="Title"/>
    <w:rsid w:val="00EA2D0E"/>
    <w:rPr>
      <w:rFonts w:ascii="Arial" w:hAnsi="Arial"/>
      <w:b/>
      <w:bCs/>
      <w:szCs w:val="24"/>
      <w:lang w:eastAsia="en-US"/>
    </w:rPr>
  </w:style>
  <w:style w:type="character" w:customStyle="1" w:styleId="SubclauseChar">
    <w:name w:val="Subclause Char"/>
    <w:basedOn w:val="ClauseChar"/>
    <w:link w:val="Subclause"/>
    <w:rsid w:val="00EA2D0E"/>
    <w:rPr>
      <w:rFonts w:ascii="Arial" w:hAnsi="Arial"/>
      <w:lang w:val="en-GB"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semiHidden="1" w:unhideWhenUsed="1"/>
    <w:lsdException w:name="Title" w:qFormat="1"/>
    <w:lsdException w:name="Subtitle" w:uiPriority="11"/>
    <w:lsdException w:name="Hyperlink" w:uiPriority="99"/>
    <w:lsdException w:name="Strong" w:uiPriority="22"/>
    <w:lsdException w:name="Emphasis" w:uiPriority="20"/>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06931"/>
    <w:pPr>
      <w:widowControl w:val="0"/>
    </w:pPr>
    <w:rPr>
      <w:rFonts w:ascii="Arial" w:hAnsi="Arial"/>
      <w:sz w:val="22"/>
      <w:szCs w:val="24"/>
      <w:lang w:val="en-GB" w:eastAsia="en-US" w:bidi="en-US"/>
    </w:rPr>
  </w:style>
  <w:style w:type="paragraph" w:styleId="Heading1">
    <w:name w:val="heading 1"/>
    <w:aliases w:val="FS Heading 1"/>
    <w:basedOn w:val="Normal"/>
    <w:next w:val="Normal"/>
    <w:link w:val="Heading1Char"/>
    <w:uiPriority w:val="9"/>
    <w:qFormat/>
    <w:rsid w:val="003E46BA"/>
    <w:pPr>
      <w:keepNext/>
      <w:ind w:left="851" w:hanging="851"/>
      <w:outlineLvl w:val="0"/>
    </w:pPr>
    <w:rPr>
      <w:rFonts w:ascii="Tahoma" w:hAnsi="Tahoma" w:cs="Tahoma"/>
      <w:b/>
      <w:bCs/>
      <w:kern w:val="32"/>
      <w:sz w:val="28"/>
      <w:szCs w:val="32"/>
      <w:u w:val="single"/>
    </w:rPr>
  </w:style>
  <w:style w:type="paragraph" w:styleId="Heading2">
    <w:name w:val="heading 2"/>
    <w:aliases w:val="FS Heading 2"/>
    <w:basedOn w:val="Normal"/>
    <w:next w:val="Normal"/>
    <w:link w:val="Heading2Char"/>
    <w:uiPriority w:val="9"/>
    <w:unhideWhenUsed/>
    <w:qFormat/>
    <w:rsid w:val="003E46BA"/>
    <w:pPr>
      <w:keepNext/>
      <w:ind w:left="851" w:hanging="851"/>
      <w:outlineLvl w:val="1"/>
    </w:pPr>
    <w:rPr>
      <w:rFonts w:ascii="Arial Bold" w:hAnsi="Arial Bold" w:cs="Arial Unicode MS"/>
      <w:b/>
      <w:bCs/>
      <w:iCs/>
      <w:sz w:val="28"/>
      <w:szCs w:val="28"/>
    </w:rPr>
  </w:style>
  <w:style w:type="paragraph" w:styleId="Heading3">
    <w:name w:val="heading 3"/>
    <w:aliases w:val="FS Heading 3"/>
    <w:basedOn w:val="Normal"/>
    <w:next w:val="Normal"/>
    <w:link w:val="Heading3Char"/>
    <w:uiPriority w:val="9"/>
    <w:unhideWhenUsed/>
    <w:qFormat/>
    <w:rsid w:val="00227E4A"/>
    <w:pPr>
      <w:keepNext/>
      <w:ind w:left="851" w:hanging="851"/>
      <w:outlineLvl w:val="2"/>
    </w:pPr>
    <w:rPr>
      <w:rFonts w:ascii="Arial Bold" w:hAnsi="Arial Bold" w:cs="Arial Unicode MS"/>
      <w:b/>
      <w:bCs/>
      <w:szCs w:val="26"/>
    </w:rPr>
  </w:style>
  <w:style w:type="paragraph" w:styleId="Heading4">
    <w:name w:val="heading 4"/>
    <w:aliases w:val="FS Heading 4"/>
    <w:basedOn w:val="Normal"/>
    <w:next w:val="Normal"/>
    <w:link w:val="Heading4Char"/>
    <w:uiPriority w:val="9"/>
    <w:unhideWhenUsed/>
    <w:qFormat/>
    <w:rsid w:val="00227E4A"/>
    <w:pPr>
      <w:keepNext/>
      <w:ind w:left="851" w:hanging="851"/>
      <w:outlineLvl w:val="3"/>
    </w:pPr>
    <w:rPr>
      <w:bCs/>
      <w:i/>
      <w:szCs w:val="28"/>
    </w:rPr>
  </w:style>
  <w:style w:type="paragraph" w:styleId="Heading5">
    <w:name w:val="heading 5"/>
    <w:aliases w:val="FS Heading 5"/>
    <w:basedOn w:val="Normal"/>
    <w:next w:val="Normal"/>
    <w:link w:val="Heading5Char"/>
    <w:uiPriority w:val="9"/>
    <w:unhideWhenUsed/>
    <w:qFormat/>
    <w:rsid w:val="00227E4A"/>
    <w:pPr>
      <w:ind w:left="851" w:hanging="851"/>
      <w:outlineLvl w:val="4"/>
    </w:pPr>
    <w:rPr>
      <w:bCs/>
      <w:iCs/>
      <w:szCs w:val="26"/>
      <w:u w:val="single"/>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
    <w:basedOn w:val="DefaultParagraphFont"/>
    <w:link w:val="Heading1"/>
    <w:uiPriority w:val="9"/>
    <w:rsid w:val="003E46BA"/>
    <w:rPr>
      <w:rFonts w:ascii="Tahoma" w:hAnsi="Tahoma" w:cs="Tahoma"/>
      <w:b/>
      <w:bCs/>
      <w:kern w:val="32"/>
      <w:sz w:val="28"/>
      <w:szCs w:val="32"/>
      <w:u w:val="single"/>
      <w:lang w:val="en-US" w:eastAsia="en-US" w:bidi="en-US"/>
    </w:rPr>
  </w:style>
  <w:style w:type="character" w:customStyle="1" w:styleId="Heading2Char">
    <w:name w:val="Heading 2 Char"/>
    <w:aliases w:val="FS Heading 2 Char"/>
    <w:basedOn w:val="DefaultParagraphFont"/>
    <w:link w:val="Heading2"/>
    <w:uiPriority w:val="9"/>
    <w:rsid w:val="003E46BA"/>
    <w:rPr>
      <w:rFonts w:ascii="Arial Bold" w:hAnsi="Arial Bold" w:cs="Arial Unicode MS"/>
      <w:b/>
      <w:bCs/>
      <w:iCs/>
      <w:sz w:val="28"/>
      <w:szCs w:val="28"/>
      <w:lang w:val="en-US" w:eastAsia="en-US" w:bidi="en-US"/>
    </w:rPr>
  </w:style>
  <w:style w:type="character" w:customStyle="1" w:styleId="Heading3Char">
    <w:name w:val="Heading 3 Char"/>
    <w:aliases w:val="FS Heading 3 Char"/>
    <w:basedOn w:val="DefaultParagraphFont"/>
    <w:link w:val="Heading3"/>
    <w:uiPriority w:val="9"/>
    <w:rsid w:val="00227E4A"/>
    <w:rPr>
      <w:rFonts w:ascii="Arial Bold" w:hAnsi="Arial Bold" w:cs="Arial Unicode MS"/>
      <w:b/>
      <w:bCs/>
      <w:sz w:val="22"/>
      <w:szCs w:val="26"/>
      <w:lang w:val="en-US" w:eastAsia="en-US" w:bidi="en-US"/>
    </w:rPr>
  </w:style>
  <w:style w:type="character" w:customStyle="1" w:styleId="Heading4Char">
    <w:name w:val="Heading 4 Char"/>
    <w:aliases w:val="FS Heading 4 Char"/>
    <w:basedOn w:val="DefaultParagraphFont"/>
    <w:link w:val="Heading4"/>
    <w:uiPriority w:val="9"/>
    <w:rsid w:val="00227E4A"/>
    <w:rPr>
      <w:rFonts w:ascii="Arial" w:hAnsi="Arial"/>
      <w:bCs/>
      <w:i/>
      <w:sz w:val="22"/>
      <w:szCs w:val="28"/>
      <w:lang w:val="en-US" w:eastAsia="en-US" w:bidi="en-US"/>
    </w:rPr>
  </w:style>
  <w:style w:type="character" w:customStyle="1" w:styleId="Heading5Char">
    <w:name w:val="Heading 5 Char"/>
    <w:aliases w:val="FS Heading 5 Char"/>
    <w:basedOn w:val="DefaultParagraphFont"/>
    <w:link w:val="Heading5"/>
    <w:uiPriority w:val="9"/>
    <w:rsid w:val="00227E4A"/>
    <w:rPr>
      <w:rFonts w:ascii="Arial" w:hAnsi="Arial"/>
      <w:bCs/>
      <w:iCs/>
      <w:sz w:val="22"/>
      <w:szCs w:val="26"/>
      <w:u w:val="single"/>
      <w:lang w:val="en-US" w:eastAsia="en-US" w:bidi="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FC19E2"/>
    <w:rPr>
      <w:color w:val="auto"/>
      <w:u w:val="single"/>
    </w:rPr>
  </w:style>
  <w:style w:type="paragraph" w:styleId="Header">
    <w:name w:val="header"/>
    <w:basedOn w:val="Normal"/>
    <w:link w:val="HeaderChar"/>
    <w:rsid w:val="00E777EC"/>
  </w:style>
  <w:style w:type="paragraph" w:customStyle="1" w:styleId="FSTitle">
    <w:name w:val="FS Title"/>
    <w:basedOn w:val="Normal"/>
    <w:qFormat/>
    <w:rsid w:val="00DB2973"/>
    <w:rPr>
      <w:rFonts w:ascii="Tahoma" w:hAnsi="Tahoma" w:cs="Tahoma"/>
      <w:b/>
      <w:bCs/>
      <w:sz w:val="36"/>
    </w:rPr>
  </w:style>
  <w:style w:type="paragraph" w:customStyle="1" w:styleId="FSDash">
    <w:name w:val="FS Dash"/>
    <w:basedOn w:val="Normal"/>
    <w:qFormat/>
    <w:rsid w:val="007602AA"/>
    <w:pPr>
      <w:numPr>
        <w:numId w:val="31"/>
      </w:numPr>
      <w:ind w:left="1134" w:hanging="567"/>
    </w:pPr>
  </w:style>
  <w:style w:type="paragraph" w:styleId="TOC1">
    <w:name w:val="toc 1"/>
    <w:basedOn w:val="Normal"/>
    <w:next w:val="Normal"/>
    <w:autoRedefine/>
    <w:uiPriority w:val="39"/>
    <w:rsid w:val="00F42A4C"/>
    <w:rPr>
      <w:b/>
      <w:bCs/>
      <w:caps/>
    </w:rPr>
  </w:style>
  <w:style w:type="paragraph" w:styleId="TOC2">
    <w:name w:val="toc 2"/>
    <w:basedOn w:val="Normal"/>
    <w:next w:val="Normal"/>
    <w:autoRedefine/>
    <w:uiPriority w:val="39"/>
    <w:rsid w:val="00FC19E2"/>
    <w:pPr>
      <w:ind w:left="240"/>
    </w:pPr>
    <w:rPr>
      <w:smallCaps/>
    </w:rPr>
  </w:style>
  <w:style w:type="paragraph" w:styleId="Footer">
    <w:name w:val="footer"/>
    <w:basedOn w:val="Normal"/>
    <w:rsid w:val="00FC19E2"/>
    <w:pPr>
      <w:tabs>
        <w:tab w:val="center" w:pos="4153"/>
        <w:tab w:val="right" w:pos="8306"/>
      </w:tabs>
    </w:p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FC19E2"/>
    <w:pPr>
      <w:ind w:left="480"/>
    </w:pPr>
    <w:rPr>
      <w:i/>
      <w:iCs/>
    </w:rPr>
  </w:style>
  <w:style w:type="paragraph" w:styleId="TOC4">
    <w:name w:val="toc 4"/>
    <w:basedOn w:val="Normal"/>
    <w:next w:val="Normal"/>
    <w:autoRedefine/>
    <w:semiHidden/>
    <w:rsid w:val="00FC19E2"/>
    <w:pPr>
      <w:ind w:left="720"/>
    </w:pPr>
    <w:rPr>
      <w:szCs w:val="21"/>
    </w:rPr>
  </w:style>
  <w:style w:type="paragraph" w:styleId="TOC5">
    <w:name w:val="toc 5"/>
    <w:basedOn w:val="Normal"/>
    <w:next w:val="Normal"/>
    <w:autoRedefine/>
    <w:semiHidden/>
    <w:rsid w:val="00FC19E2"/>
    <w:pPr>
      <w:ind w:left="960"/>
    </w:pPr>
    <w:rPr>
      <w:szCs w:val="21"/>
    </w:rPr>
  </w:style>
  <w:style w:type="character" w:styleId="FollowedHyperlink">
    <w:name w:val="FollowedHyperlink"/>
    <w:basedOn w:val="DefaultParagraphFont"/>
    <w:rsid w:val="00FC19E2"/>
    <w:rPr>
      <w:color w:val="800080"/>
      <w:u w:val="single"/>
    </w:rPr>
  </w:style>
  <w:style w:type="paragraph" w:styleId="TOC6">
    <w:name w:val="toc 6"/>
    <w:basedOn w:val="Normal"/>
    <w:next w:val="Normal"/>
    <w:autoRedefine/>
    <w:semiHidden/>
    <w:rsid w:val="00FC19E2"/>
    <w:pPr>
      <w:ind w:left="1200"/>
    </w:pPr>
    <w:rPr>
      <w:szCs w:val="21"/>
    </w:rPr>
  </w:style>
  <w:style w:type="paragraph" w:customStyle="1" w:styleId="142Tableheading2">
    <w:name w:val="1.4.2 Table heading2"/>
    <w:basedOn w:val="Normal"/>
    <w:rsid w:val="00406931"/>
    <w:pPr>
      <w:keepNext/>
      <w:jc w:val="center"/>
    </w:pPr>
    <w:rPr>
      <w:iCs/>
      <w:smallCaps/>
      <w:sz w:val="18"/>
      <w:szCs w:val="20"/>
    </w:rPr>
  </w:style>
  <w:style w:type="paragraph" w:customStyle="1" w:styleId="Box1">
    <w:name w:val="Box 1"/>
    <w:basedOn w:val="Normal"/>
    <w:rsid w:val="00FC19E2"/>
    <w:pPr>
      <w:numPr>
        <w:numId w:val="16"/>
      </w:numPr>
      <w:tabs>
        <w:tab w:val="clear" w:pos="360"/>
        <w:tab w:val="num" w:pos="120"/>
      </w:tabs>
    </w:pPr>
    <w:rPr>
      <w:sz w:val="16"/>
    </w:rPr>
  </w:style>
  <w:style w:type="paragraph" w:customStyle="1" w:styleId="Box2">
    <w:name w:val="Box 2"/>
    <w:basedOn w:val="Normal"/>
    <w:rsid w:val="00FC19E2"/>
    <w:pPr>
      <w:tabs>
        <w:tab w:val="left" w:pos="4608"/>
        <w:tab w:val="left" w:pos="9180"/>
        <w:tab w:val="left" w:pos="9216"/>
      </w:tabs>
      <w:jc w:val="center"/>
    </w:pPr>
    <w:rPr>
      <w:b/>
      <w:bCs/>
      <w:i/>
      <w:iCs/>
      <w:color w:val="000000"/>
      <w:sz w:val="16"/>
    </w:rPr>
  </w:style>
  <w:style w:type="paragraph" w:customStyle="1" w:styleId="Box3">
    <w:name w:val="Box 3"/>
    <w:basedOn w:val="Normal"/>
    <w:rsid w:val="00FC19E2"/>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sid w:val="00406931"/>
    <w:rPr>
      <w:b/>
      <w:bCs/>
      <w:iCs w:val="0"/>
    </w:rPr>
  </w:style>
  <w:style w:type="paragraph" w:customStyle="1" w:styleId="142tabletext1">
    <w:name w:val="1.4.2 table text1"/>
    <w:basedOn w:val="Normal"/>
    <w:rsid w:val="00406931"/>
    <w:pPr>
      <w:ind w:left="142" w:hanging="142"/>
    </w:pPr>
    <w:rPr>
      <w:smallCaps/>
      <w:sz w:val="18"/>
      <w:szCs w:val="20"/>
    </w:rPr>
  </w:style>
  <w:style w:type="paragraph" w:customStyle="1" w:styleId="142tabletext2">
    <w:name w:val="1.4.2 table text2"/>
    <w:basedOn w:val="142tabletext1"/>
    <w:rsid w:val="00FC19E2"/>
    <w:pPr>
      <w:jc w:val="right"/>
    </w:pPr>
  </w:style>
  <w:style w:type="paragraph" w:customStyle="1" w:styleId="Clause">
    <w:name w:val="Clause"/>
    <w:basedOn w:val="Normal"/>
    <w:next w:val="Normal"/>
    <w:link w:val="ClauseChar"/>
    <w:qFormat/>
    <w:rsid w:val="00406931"/>
    <w:pPr>
      <w:tabs>
        <w:tab w:val="left" w:pos="851"/>
      </w:tabs>
    </w:pPr>
    <w:rPr>
      <w:sz w:val="20"/>
      <w:szCs w:val="20"/>
    </w:rPr>
  </w:style>
  <w:style w:type="paragraph" w:customStyle="1" w:styleId="Clauseheading">
    <w:name w:val="Clause heading"/>
    <w:basedOn w:val="Normal"/>
    <w:next w:val="Normal"/>
    <w:rsid w:val="00406931"/>
    <w:pPr>
      <w:tabs>
        <w:tab w:val="left" w:pos="851"/>
      </w:tabs>
    </w:pPr>
    <w:rPr>
      <w:b/>
      <w:sz w:val="20"/>
      <w:szCs w:val="20"/>
    </w:rPr>
  </w:style>
  <w:style w:type="paragraph" w:customStyle="1" w:styleId="ClauseList">
    <w:name w:val="Clause List"/>
    <w:basedOn w:val="Clause"/>
    <w:next w:val="Normal"/>
    <w:rsid w:val="00FC19E2"/>
  </w:style>
  <w:style w:type="paragraph" w:customStyle="1" w:styleId="Definition">
    <w:name w:val="Definition"/>
    <w:basedOn w:val="Normal"/>
    <w:next w:val="Normal"/>
    <w:rsid w:val="00406931"/>
    <w:pPr>
      <w:ind w:left="1701" w:hanging="851"/>
    </w:pPr>
    <w:rPr>
      <w:sz w:val="20"/>
      <w:szCs w:val="20"/>
    </w:rPr>
  </w:style>
  <w:style w:type="paragraph" w:customStyle="1" w:styleId="DivisionHeading">
    <w:name w:val="Division Heading"/>
    <w:basedOn w:val="Normal"/>
    <w:next w:val="Normal"/>
    <w:rsid w:val="00FC19E2"/>
    <w:pPr>
      <w:tabs>
        <w:tab w:val="left" w:pos="851"/>
      </w:tabs>
      <w:jc w:val="center"/>
    </w:pPr>
    <w:rPr>
      <w:b/>
      <w:sz w:val="28"/>
      <w:szCs w:val="20"/>
    </w:rPr>
  </w:style>
  <w:style w:type="paragraph" w:customStyle="1" w:styleId="EditorialNoteLine1">
    <w:name w:val="Editorial Note Line 1"/>
    <w:basedOn w:val="Normal"/>
    <w:next w:val="Normal"/>
    <w:rsid w:val="00406931"/>
    <w:pPr>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C19E2"/>
    <w:rPr>
      <w:b w:val="0"/>
    </w:rPr>
  </w:style>
  <w:style w:type="paragraph" w:customStyle="1" w:styleId="Footnote">
    <w:name w:val="Footnote"/>
    <w:basedOn w:val="Normal"/>
    <w:rsid w:val="00FC19E2"/>
    <w:pPr>
      <w:tabs>
        <w:tab w:val="left" w:pos="851"/>
      </w:tabs>
    </w:pPr>
    <w:rPr>
      <w:sz w:val="20"/>
      <w:szCs w:val="20"/>
    </w:rPr>
  </w:style>
  <w:style w:type="paragraph" w:customStyle="1" w:styleId="MiscellaneousHeading">
    <w:name w:val="Miscellaneous Heading"/>
    <w:basedOn w:val="Normal"/>
    <w:next w:val="Normal"/>
    <w:rsid w:val="00FC19E2"/>
    <w:rPr>
      <w:b/>
      <w:szCs w:val="20"/>
    </w:rPr>
  </w:style>
  <w:style w:type="paragraph" w:customStyle="1" w:styleId="Paragraph">
    <w:name w:val="Paragraph"/>
    <w:basedOn w:val="Clause"/>
    <w:next w:val="Normal"/>
    <w:rsid w:val="00FC19E2"/>
    <w:pPr>
      <w:tabs>
        <w:tab w:val="clear" w:pos="851"/>
      </w:tabs>
      <w:ind w:left="1702" w:hanging="851"/>
    </w:pPr>
  </w:style>
  <w:style w:type="paragraph" w:customStyle="1" w:styleId="ScheduleHeading">
    <w:name w:val="Schedule Heading"/>
    <w:basedOn w:val="Normal"/>
    <w:next w:val="Normal"/>
    <w:rsid w:val="00406931"/>
    <w:pPr>
      <w:tabs>
        <w:tab w:val="left" w:pos="851"/>
      </w:tabs>
      <w:jc w:val="center"/>
    </w:pPr>
    <w:rPr>
      <w:b/>
      <w:caps/>
      <w:sz w:val="20"/>
      <w:szCs w:val="20"/>
    </w:rPr>
  </w:style>
  <w:style w:type="paragraph" w:customStyle="1" w:styleId="Standardtitle">
    <w:name w:val="Standard title"/>
    <w:basedOn w:val="Normal"/>
    <w:rsid w:val="00FC19E2"/>
    <w:pPr>
      <w:tabs>
        <w:tab w:val="left" w:pos="851"/>
      </w:tabs>
      <w:jc w:val="center"/>
    </w:pPr>
    <w:rPr>
      <w:b/>
      <w:i/>
      <w:iCs/>
      <w:caps/>
      <w:sz w:val="28"/>
      <w:szCs w:val="20"/>
    </w:rPr>
  </w:style>
  <w:style w:type="paragraph" w:customStyle="1" w:styleId="Subclause">
    <w:name w:val="Subclause"/>
    <w:basedOn w:val="Clause"/>
    <w:link w:val="SubclauseChar"/>
    <w:rsid w:val="00FC19E2"/>
    <w:pPr>
      <w:ind w:hanging="11"/>
    </w:pPr>
  </w:style>
  <w:style w:type="paragraph" w:customStyle="1" w:styleId="Subparagraph">
    <w:name w:val="Subparagraph"/>
    <w:basedOn w:val="Paragraph"/>
    <w:next w:val="Normal"/>
    <w:rsid w:val="00FC19E2"/>
    <w:pPr>
      <w:ind w:left="2553"/>
    </w:pPr>
  </w:style>
  <w:style w:type="paragraph" w:customStyle="1" w:styleId="Table1">
    <w:name w:val="Table 1"/>
    <w:basedOn w:val="Normal"/>
    <w:rsid w:val="00406931"/>
    <w:pPr>
      <w:spacing w:after="120"/>
      <w:jc w:val="center"/>
    </w:pPr>
    <w:rPr>
      <w:b/>
      <w:bCs/>
      <w:sz w:val="18"/>
      <w:szCs w:val="20"/>
    </w:rPr>
  </w:style>
  <w:style w:type="paragraph" w:customStyle="1" w:styleId="Table2">
    <w:name w:val="Table 2"/>
    <w:basedOn w:val="Normal"/>
    <w:rsid w:val="00406931"/>
    <w:pPr>
      <w:ind w:left="142" w:hanging="142"/>
    </w:pPr>
    <w:rPr>
      <w:bCs/>
      <w:sz w:val="18"/>
      <w:szCs w:val="20"/>
    </w:rPr>
  </w:style>
  <w:style w:type="paragraph" w:customStyle="1" w:styleId="TableHeading">
    <w:name w:val="Table Heading"/>
    <w:basedOn w:val="Normal"/>
    <w:next w:val="Normal"/>
    <w:rsid w:val="00406931"/>
    <w:pPr>
      <w:tabs>
        <w:tab w:val="left" w:pos="851"/>
      </w:tabs>
      <w:jc w:val="center"/>
    </w:pPr>
    <w:rPr>
      <w:b/>
      <w:sz w:val="20"/>
      <w:szCs w:val="20"/>
    </w:rPr>
  </w:style>
  <w:style w:type="paragraph" w:customStyle="1" w:styleId="TitleBorder">
    <w:name w:val="TitleBorder"/>
    <w:basedOn w:val="Normal"/>
    <w:rsid w:val="00FC19E2"/>
    <w:pPr>
      <w:pBdr>
        <w:bottom w:val="double" w:sz="6" w:space="0" w:color="auto"/>
      </w:pBdr>
      <w:tabs>
        <w:tab w:val="left" w:pos="851"/>
      </w:tabs>
    </w:pPr>
    <w:rPr>
      <w:b/>
      <w:szCs w:val="20"/>
    </w:rPr>
  </w:style>
  <w:style w:type="paragraph" w:styleId="TOC7">
    <w:name w:val="toc 7"/>
    <w:basedOn w:val="Normal"/>
    <w:next w:val="Normal"/>
    <w:autoRedefine/>
    <w:semiHidden/>
    <w:rsid w:val="00FC19E2"/>
    <w:pPr>
      <w:ind w:left="1440"/>
    </w:pPr>
    <w:rPr>
      <w:szCs w:val="21"/>
    </w:rPr>
  </w:style>
  <w:style w:type="paragraph" w:styleId="TOC8">
    <w:name w:val="toc 8"/>
    <w:basedOn w:val="Normal"/>
    <w:next w:val="Normal"/>
    <w:autoRedefine/>
    <w:semiHidden/>
    <w:rsid w:val="00FC19E2"/>
    <w:pPr>
      <w:ind w:left="1680"/>
    </w:pPr>
    <w:rPr>
      <w:szCs w:val="21"/>
    </w:rPr>
  </w:style>
  <w:style w:type="paragraph" w:styleId="TOC9">
    <w:name w:val="toc 9"/>
    <w:basedOn w:val="Normal"/>
    <w:next w:val="Normal"/>
    <w:autoRedefine/>
    <w:semiHidden/>
    <w:rsid w:val="00FC19E2"/>
    <w:pPr>
      <w:ind w:left="1920"/>
    </w:pPr>
    <w:rPr>
      <w:szCs w:val="21"/>
    </w:rPr>
  </w:style>
  <w:style w:type="paragraph" w:styleId="FootnoteText">
    <w:name w:val="footnote text"/>
    <w:basedOn w:val="Normal"/>
    <w:semiHidden/>
    <w:rsid w:val="00FC19E2"/>
    <w:rPr>
      <w:sz w:val="20"/>
      <w:szCs w:val="20"/>
    </w:rPr>
  </w:style>
  <w:style w:type="character" w:styleId="FootnoteReference">
    <w:name w:val="footnote reference"/>
    <w:basedOn w:val="DefaultParagraphFont"/>
    <w:semiHidden/>
    <w:rsid w:val="00FC19E2"/>
    <w:rPr>
      <w:vertAlign w:val="superscript"/>
    </w:rPr>
  </w:style>
  <w:style w:type="paragraph" w:customStyle="1" w:styleId="heading">
    <w:name w:val="heading"/>
    <w:basedOn w:val="Normal"/>
    <w:rsid w:val="00FC19E2"/>
    <w:pPr>
      <w:tabs>
        <w:tab w:val="left" w:pos="840"/>
      </w:tabs>
      <w:ind w:left="851" w:hanging="851"/>
    </w:pPr>
    <w:rPr>
      <w:b/>
      <w:caps/>
      <w:szCs w:val="20"/>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7602AA"/>
    <w:pPr>
      <w:pBdr>
        <w:top w:val="single" w:sz="4" w:space="1" w:color="auto"/>
        <w:left w:val="single" w:sz="4" w:space="4" w:color="auto"/>
        <w:bottom w:val="single" w:sz="4" w:space="1" w:color="auto"/>
        <w:right w:val="single" w:sz="4" w:space="4" w:color="auto"/>
      </w:pBdr>
    </w:pPr>
    <w:rPr>
      <w:rFonts w:ascii="Arial Bold" w:hAnsi="Arial Bold"/>
      <w:b/>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rPr>
      <w:rFonts w:cs="Times New Roman"/>
    </w:rPr>
  </w:style>
  <w:style w:type="paragraph" w:customStyle="1" w:styleId="FSBullet">
    <w:name w:val="FS Bullet"/>
    <w:basedOn w:val="Normal"/>
    <w:next w:val="Normal"/>
    <w:link w:val="FSBulletChar"/>
    <w:qFormat/>
    <w:rsid w:val="00E2003B"/>
    <w:pPr>
      <w:numPr>
        <w:numId w:val="32"/>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rsid w:val="00E777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rsid w:val="007B52FC"/>
    <w:rPr>
      <w:sz w:val="16"/>
      <w:szCs w:val="16"/>
    </w:rPr>
  </w:style>
  <w:style w:type="paragraph" w:styleId="CommentText">
    <w:name w:val="annotation text"/>
    <w:basedOn w:val="Normal"/>
    <w:link w:val="CommentTextChar"/>
    <w:rsid w:val="007B52FC"/>
    <w:rPr>
      <w:sz w:val="20"/>
      <w:szCs w:val="20"/>
    </w:rPr>
  </w:style>
  <w:style w:type="character" w:customStyle="1" w:styleId="CommentTextChar">
    <w:name w:val="Comment Text Char"/>
    <w:basedOn w:val="DefaultParagraphFont"/>
    <w:link w:val="CommentText"/>
    <w:rsid w:val="007B52FC"/>
    <w:rPr>
      <w:rFonts w:ascii="Arial" w:hAnsi="Arial"/>
      <w:lang w:val="en-GB" w:eastAsia="en-US" w:bidi="en-US"/>
    </w:rPr>
  </w:style>
  <w:style w:type="paragraph" w:styleId="CommentSubject">
    <w:name w:val="annotation subject"/>
    <w:basedOn w:val="CommentText"/>
    <w:next w:val="CommentText"/>
    <w:link w:val="CommentSubjectChar"/>
    <w:rsid w:val="007B52FC"/>
    <w:rPr>
      <w:b/>
      <w:bCs/>
    </w:rPr>
  </w:style>
  <w:style w:type="character" w:customStyle="1" w:styleId="CommentSubjectChar">
    <w:name w:val="Comment Subject Char"/>
    <w:basedOn w:val="CommentTextChar"/>
    <w:link w:val="CommentSubject"/>
    <w:rsid w:val="007B52FC"/>
    <w:rPr>
      <w:rFonts w:ascii="Arial" w:hAnsi="Arial"/>
      <w:b/>
      <w:bCs/>
      <w:lang w:val="en-GB" w:eastAsia="en-US" w:bidi="en-US"/>
    </w:rPr>
  </w:style>
  <w:style w:type="paragraph" w:styleId="NormalWeb">
    <w:name w:val="Normal (Web)"/>
    <w:basedOn w:val="Normal"/>
    <w:uiPriority w:val="99"/>
    <w:unhideWhenUsed/>
    <w:rsid w:val="0069702D"/>
    <w:pPr>
      <w:widowControl/>
      <w:spacing w:before="100" w:beforeAutospacing="1" w:after="100" w:afterAutospacing="1"/>
    </w:pPr>
    <w:rPr>
      <w:rFonts w:ascii="Times New Roman" w:hAnsi="Times New Roman"/>
      <w:sz w:val="24"/>
      <w:lang w:val="en-AU" w:eastAsia="en-AU" w:bidi="ar-SA"/>
    </w:rPr>
  </w:style>
  <w:style w:type="character" w:customStyle="1" w:styleId="HeaderChar">
    <w:name w:val="Header Char"/>
    <w:basedOn w:val="DefaultParagraphFont"/>
    <w:link w:val="Header"/>
    <w:rsid w:val="009216D1"/>
    <w:rPr>
      <w:rFonts w:ascii="Arial" w:hAnsi="Arial"/>
      <w:sz w:val="22"/>
      <w:szCs w:val="24"/>
      <w:lang w:val="en-GB" w:eastAsia="en-US" w:bidi="en-US"/>
    </w:rPr>
  </w:style>
  <w:style w:type="paragraph" w:styleId="ListParagraph">
    <w:name w:val="List Paragraph"/>
    <w:basedOn w:val="Normal"/>
    <w:uiPriority w:val="34"/>
    <w:rsid w:val="009216D1"/>
    <w:pPr>
      <w:ind w:left="720"/>
    </w:pPr>
  </w:style>
  <w:style w:type="character" w:customStyle="1" w:styleId="ClauseChar">
    <w:name w:val="Clause Char"/>
    <w:basedOn w:val="DefaultParagraphFont"/>
    <w:link w:val="Clause"/>
    <w:rsid w:val="001E7596"/>
    <w:rPr>
      <w:rFonts w:ascii="Arial" w:hAnsi="Arial"/>
      <w:lang w:val="en-GB" w:eastAsia="en-US" w:bidi="en-US"/>
    </w:rPr>
  </w:style>
  <w:style w:type="paragraph" w:styleId="Title">
    <w:name w:val="Title"/>
    <w:basedOn w:val="Normal"/>
    <w:link w:val="TitleChar"/>
    <w:qFormat/>
    <w:rsid w:val="00EA2D0E"/>
    <w:pPr>
      <w:tabs>
        <w:tab w:val="left" w:pos="851"/>
      </w:tabs>
      <w:jc w:val="center"/>
    </w:pPr>
    <w:rPr>
      <w:b/>
      <w:bCs/>
      <w:sz w:val="20"/>
      <w:lang w:val="en-AU" w:bidi="ar-SA"/>
    </w:rPr>
  </w:style>
  <w:style w:type="character" w:customStyle="1" w:styleId="TitleChar">
    <w:name w:val="Title Char"/>
    <w:basedOn w:val="DefaultParagraphFont"/>
    <w:link w:val="Title"/>
    <w:rsid w:val="00EA2D0E"/>
    <w:rPr>
      <w:rFonts w:ascii="Arial" w:hAnsi="Arial"/>
      <w:b/>
      <w:bCs/>
      <w:szCs w:val="24"/>
      <w:lang w:eastAsia="en-US"/>
    </w:rPr>
  </w:style>
  <w:style w:type="character" w:customStyle="1" w:styleId="SubclauseChar">
    <w:name w:val="Subclause Char"/>
    <w:basedOn w:val="ClauseChar"/>
    <w:link w:val="Subclause"/>
    <w:rsid w:val="00EA2D0E"/>
    <w:rPr>
      <w:rFonts w:ascii="Arial" w:hAnsi="Arial"/>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4400">
      <w:bodyDiv w:val="1"/>
      <w:marLeft w:val="0"/>
      <w:marRight w:val="0"/>
      <w:marTop w:val="0"/>
      <w:marBottom w:val="0"/>
      <w:divBdr>
        <w:top w:val="none" w:sz="0" w:space="0" w:color="auto"/>
        <w:left w:val="none" w:sz="0" w:space="0" w:color="auto"/>
        <w:bottom w:val="none" w:sz="0" w:space="0" w:color="auto"/>
        <w:right w:val="none" w:sz="0" w:space="0" w:color="auto"/>
      </w:divBdr>
    </w:div>
    <w:div w:id="739912926">
      <w:bodyDiv w:val="1"/>
      <w:marLeft w:val="0"/>
      <w:marRight w:val="0"/>
      <w:marTop w:val="0"/>
      <w:marBottom w:val="0"/>
      <w:divBdr>
        <w:top w:val="none" w:sz="0" w:space="0" w:color="auto"/>
        <w:left w:val="none" w:sz="0" w:space="0" w:color="auto"/>
        <w:bottom w:val="none" w:sz="0" w:space="0" w:color="auto"/>
        <w:right w:val="none" w:sz="0" w:space="0" w:color="auto"/>
      </w:divBdr>
    </w:div>
    <w:div w:id="832070366">
      <w:bodyDiv w:val="1"/>
      <w:marLeft w:val="0"/>
      <w:marRight w:val="0"/>
      <w:marTop w:val="0"/>
      <w:marBottom w:val="0"/>
      <w:divBdr>
        <w:top w:val="none" w:sz="0" w:space="0" w:color="auto"/>
        <w:left w:val="none" w:sz="0" w:space="0" w:color="auto"/>
        <w:bottom w:val="none" w:sz="0" w:space="0" w:color="auto"/>
        <w:right w:val="none" w:sz="0" w:space="0" w:color="auto"/>
      </w:divBdr>
      <w:divsChild>
        <w:div w:id="1594433556">
          <w:marLeft w:val="0"/>
          <w:marRight w:val="0"/>
          <w:marTop w:val="0"/>
          <w:marBottom w:val="0"/>
          <w:divBdr>
            <w:top w:val="none" w:sz="0" w:space="0" w:color="auto"/>
            <w:left w:val="none" w:sz="0" w:space="0" w:color="auto"/>
            <w:bottom w:val="none" w:sz="0" w:space="0" w:color="auto"/>
            <w:right w:val="none" w:sz="0" w:space="0" w:color="auto"/>
          </w:divBdr>
          <w:divsChild>
            <w:div w:id="1029180272">
              <w:marLeft w:val="0"/>
              <w:marRight w:val="0"/>
              <w:marTop w:val="0"/>
              <w:marBottom w:val="0"/>
              <w:divBdr>
                <w:top w:val="none" w:sz="0" w:space="0" w:color="auto"/>
                <w:left w:val="none" w:sz="0" w:space="0" w:color="auto"/>
                <w:bottom w:val="none" w:sz="0" w:space="0" w:color="auto"/>
                <w:right w:val="none" w:sz="0" w:space="0" w:color="auto"/>
              </w:divBdr>
              <w:divsChild>
                <w:div w:id="30419806">
                  <w:marLeft w:val="0"/>
                  <w:marRight w:val="0"/>
                  <w:marTop w:val="0"/>
                  <w:marBottom w:val="0"/>
                  <w:divBdr>
                    <w:top w:val="none" w:sz="0" w:space="0" w:color="auto"/>
                    <w:left w:val="none" w:sz="0" w:space="0" w:color="auto"/>
                    <w:bottom w:val="none" w:sz="0" w:space="0" w:color="auto"/>
                    <w:right w:val="none" w:sz="0" w:space="0" w:color="auto"/>
                  </w:divBdr>
                  <w:divsChild>
                    <w:div w:id="429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024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956">
          <w:marLeft w:val="0"/>
          <w:marRight w:val="0"/>
          <w:marTop w:val="0"/>
          <w:marBottom w:val="0"/>
          <w:divBdr>
            <w:top w:val="none" w:sz="0" w:space="0" w:color="auto"/>
            <w:left w:val="none" w:sz="0" w:space="0" w:color="auto"/>
            <w:bottom w:val="none" w:sz="0" w:space="0" w:color="auto"/>
            <w:right w:val="none" w:sz="0" w:space="0" w:color="auto"/>
          </w:divBdr>
          <w:divsChild>
            <w:div w:id="1144807896">
              <w:marLeft w:val="0"/>
              <w:marRight w:val="0"/>
              <w:marTop w:val="0"/>
              <w:marBottom w:val="0"/>
              <w:divBdr>
                <w:top w:val="none" w:sz="0" w:space="0" w:color="auto"/>
                <w:left w:val="none" w:sz="0" w:space="0" w:color="auto"/>
                <w:bottom w:val="none" w:sz="0" w:space="0" w:color="auto"/>
                <w:right w:val="none" w:sz="0" w:space="0" w:color="auto"/>
              </w:divBdr>
              <w:divsChild>
                <w:div w:id="1809396641">
                  <w:marLeft w:val="0"/>
                  <w:marRight w:val="0"/>
                  <w:marTop w:val="0"/>
                  <w:marBottom w:val="0"/>
                  <w:divBdr>
                    <w:top w:val="none" w:sz="0" w:space="0" w:color="auto"/>
                    <w:left w:val="none" w:sz="0" w:space="0" w:color="auto"/>
                    <w:bottom w:val="none" w:sz="0" w:space="0" w:color="auto"/>
                    <w:right w:val="none" w:sz="0" w:space="0" w:color="auto"/>
                  </w:divBdr>
                  <w:divsChild>
                    <w:div w:id="20671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2516">
      <w:bodyDiv w:val="1"/>
      <w:marLeft w:val="0"/>
      <w:marRight w:val="0"/>
      <w:marTop w:val="0"/>
      <w:marBottom w:val="0"/>
      <w:divBdr>
        <w:top w:val="none" w:sz="0" w:space="0" w:color="auto"/>
        <w:left w:val="none" w:sz="0" w:space="0" w:color="auto"/>
        <w:bottom w:val="none" w:sz="0" w:space="0" w:color="auto"/>
        <w:right w:val="none" w:sz="0" w:space="0" w:color="auto"/>
      </w:divBdr>
      <w:divsChild>
        <w:div w:id="1632858676">
          <w:marLeft w:val="0"/>
          <w:marRight w:val="0"/>
          <w:marTop w:val="0"/>
          <w:marBottom w:val="0"/>
          <w:divBdr>
            <w:top w:val="none" w:sz="0" w:space="0" w:color="auto"/>
            <w:left w:val="none" w:sz="0" w:space="0" w:color="auto"/>
            <w:bottom w:val="none" w:sz="0" w:space="0" w:color="auto"/>
            <w:right w:val="none" w:sz="0" w:space="0" w:color="auto"/>
          </w:divBdr>
          <w:divsChild>
            <w:div w:id="1914924289">
              <w:marLeft w:val="0"/>
              <w:marRight w:val="0"/>
              <w:marTop w:val="0"/>
              <w:marBottom w:val="0"/>
              <w:divBdr>
                <w:top w:val="none" w:sz="0" w:space="0" w:color="auto"/>
                <w:left w:val="none" w:sz="0" w:space="0" w:color="auto"/>
                <w:bottom w:val="none" w:sz="0" w:space="0" w:color="auto"/>
                <w:right w:val="none" w:sz="0" w:space="0" w:color="auto"/>
              </w:divBdr>
              <w:divsChild>
                <w:div w:id="1753505975">
                  <w:marLeft w:val="0"/>
                  <w:marRight w:val="0"/>
                  <w:marTop w:val="0"/>
                  <w:marBottom w:val="0"/>
                  <w:divBdr>
                    <w:top w:val="none" w:sz="0" w:space="0" w:color="auto"/>
                    <w:left w:val="none" w:sz="0" w:space="0" w:color="auto"/>
                    <w:bottom w:val="none" w:sz="0" w:space="0" w:color="auto"/>
                    <w:right w:val="none" w:sz="0" w:space="0" w:color="auto"/>
                  </w:divBdr>
                  <w:divsChild>
                    <w:div w:id="1046023145">
                      <w:marLeft w:val="0"/>
                      <w:marRight w:val="0"/>
                      <w:marTop w:val="0"/>
                      <w:marBottom w:val="0"/>
                      <w:divBdr>
                        <w:top w:val="none" w:sz="0" w:space="0" w:color="auto"/>
                        <w:left w:val="none" w:sz="0" w:space="0" w:color="auto"/>
                        <w:bottom w:val="none" w:sz="0" w:space="0" w:color="auto"/>
                        <w:right w:val="none" w:sz="0" w:space="0" w:color="auto"/>
                      </w:divBdr>
                      <w:divsChild>
                        <w:div w:id="20193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60228">
      <w:bodyDiv w:val="1"/>
      <w:marLeft w:val="0"/>
      <w:marRight w:val="0"/>
      <w:marTop w:val="0"/>
      <w:marBottom w:val="0"/>
      <w:divBdr>
        <w:top w:val="none" w:sz="0" w:space="0" w:color="auto"/>
        <w:left w:val="none" w:sz="0" w:space="0" w:color="auto"/>
        <w:bottom w:val="none" w:sz="0" w:space="0" w:color="auto"/>
        <w:right w:val="none" w:sz="0" w:space="0" w:color="auto"/>
      </w:divBdr>
      <w:divsChild>
        <w:div w:id="1461923279">
          <w:marLeft w:val="0"/>
          <w:marRight w:val="0"/>
          <w:marTop w:val="0"/>
          <w:marBottom w:val="0"/>
          <w:divBdr>
            <w:top w:val="none" w:sz="0" w:space="0" w:color="auto"/>
            <w:left w:val="none" w:sz="0" w:space="0" w:color="auto"/>
            <w:bottom w:val="none" w:sz="0" w:space="0" w:color="auto"/>
            <w:right w:val="none" w:sz="0" w:space="0" w:color="auto"/>
          </w:divBdr>
          <w:divsChild>
            <w:div w:id="527522941">
              <w:marLeft w:val="0"/>
              <w:marRight w:val="0"/>
              <w:marTop w:val="0"/>
              <w:marBottom w:val="0"/>
              <w:divBdr>
                <w:top w:val="none" w:sz="0" w:space="0" w:color="auto"/>
                <w:left w:val="none" w:sz="0" w:space="0" w:color="auto"/>
                <w:bottom w:val="none" w:sz="0" w:space="0" w:color="auto"/>
                <w:right w:val="none" w:sz="0" w:space="0" w:color="auto"/>
              </w:divBdr>
              <w:divsChild>
                <w:div w:id="790170939">
                  <w:marLeft w:val="0"/>
                  <w:marRight w:val="0"/>
                  <w:marTop w:val="0"/>
                  <w:marBottom w:val="0"/>
                  <w:divBdr>
                    <w:top w:val="none" w:sz="0" w:space="0" w:color="auto"/>
                    <w:left w:val="none" w:sz="0" w:space="0" w:color="auto"/>
                    <w:bottom w:val="none" w:sz="0" w:space="0" w:color="auto"/>
                    <w:right w:val="none" w:sz="0" w:space="0" w:color="auto"/>
                  </w:divBdr>
                  <w:divsChild>
                    <w:div w:id="1656490579">
                      <w:marLeft w:val="0"/>
                      <w:marRight w:val="0"/>
                      <w:marTop w:val="0"/>
                      <w:marBottom w:val="0"/>
                      <w:divBdr>
                        <w:top w:val="none" w:sz="0" w:space="0" w:color="auto"/>
                        <w:left w:val="none" w:sz="0" w:space="0" w:color="auto"/>
                        <w:bottom w:val="none" w:sz="0" w:space="0" w:color="auto"/>
                        <w:right w:val="none" w:sz="0" w:space="0" w:color="auto"/>
                      </w:divBdr>
                      <w:divsChild>
                        <w:div w:id="15490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aff.gov.au/__data/assets/pdf_file/0011/913754/wine-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6804-E650-4BEB-906B-BCA8142B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5857</Words>
  <Characters>34184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PLEASE REFER TO ANZFA’S GUIDE TO APPLICATIONS AND PROPOSALS FOR A MORE DETAILED EXPLANATION OF THE PROCESS ON HOW TO UNDERTAKE</vt:lpstr>
    </vt:vector>
  </TitlesOfParts>
  <Company>ANZFA</Company>
  <LinksUpToDate>false</LinksUpToDate>
  <CharactersWithSpaces>39962</CharactersWithSpaces>
  <SharedDoc>false</SharedDoc>
  <HLinks>
    <vt:vector size="192" baseType="variant">
      <vt:variant>
        <vt:i4>3407978</vt:i4>
      </vt:variant>
      <vt:variant>
        <vt:i4>180</vt:i4>
      </vt:variant>
      <vt:variant>
        <vt:i4>0</vt:i4>
      </vt:variant>
      <vt:variant>
        <vt:i4>5</vt:i4>
      </vt:variant>
      <vt:variant>
        <vt:lpwstr>../../../../Standards Management/WTO/WTO Procedures for staff/WTO Procedures for staff.doc</vt:lpwstr>
      </vt:variant>
      <vt:variant>
        <vt:lpwstr/>
      </vt:variant>
      <vt:variant>
        <vt:i4>1310776</vt:i4>
      </vt:variant>
      <vt:variant>
        <vt:i4>173</vt:i4>
      </vt:variant>
      <vt:variant>
        <vt:i4>0</vt:i4>
      </vt:variant>
      <vt:variant>
        <vt:i4>5</vt:i4>
      </vt:variant>
      <vt:variant>
        <vt:lpwstr/>
      </vt:variant>
      <vt:variant>
        <vt:lpwstr>_Toc175381460</vt:lpwstr>
      </vt:variant>
      <vt:variant>
        <vt:i4>1507384</vt:i4>
      </vt:variant>
      <vt:variant>
        <vt:i4>167</vt:i4>
      </vt:variant>
      <vt:variant>
        <vt:i4>0</vt:i4>
      </vt:variant>
      <vt:variant>
        <vt:i4>5</vt:i4>
      </vt:variant>
      <vt:variant>
        <vt:lpwstr/>
      </vt:variant>
      <vt:variant>
        <vt:lpwstr>_Toc175381459</vt:lpwstr>
      </vt:variant>
      <vt:variant>
        <vt:i4>1507384</vt:i4>
      </vt:variant>
      <vt:variant>
        <vt:i4>164</vt:i4>
      </vt:variant>
      <vt:variant>
        <vt:i4>0</vt:i4>
      </vt:variant>
      <vt:variant>
        <vt:i4>5</vt:i4>
      </vt:variant>
      <vt:variant>
        <vt:lpwstr/>
      </vt:variant>
      <vt:variant>
        <vt:lpwstr>_Toc175381458</vt:lpwstr>
      </vt:variant>
      <vt:variant>
        <vt:i4>1507384</vt:i4>
      </vt:variant>
      <vt:variant>
        <vt:i4>158</vt:i4>
      </vt:variant>
      <vt:variant>
        <vt:i4>0</vt:i4>
      </vt:variant>
      <vt:variant>
        <vt:i4>5</vt:i4>
      </vt:variant>
      <vt:variant>
        <vt:lpwstr/>
      </vt:variant>
      <vt:variant>
        <vt:lpwstr>_Toc175381457</vt:lpwstr>
      </vt:variant>
      <vt:variant>
        <vt:i4>1507384</vt:i4>
      </vt:variant>
      <vt:variant>
        <vt:i4>152</vt:i4>
      </vt:variant>
      <vt:variant>
        <vt:i4>0</vt:i4>
      </vt:variant>
      <vt:variant>
        <vt:i4>5</vt:i4>
      </vt:variant>
      <vt:variant>
        <vt:lpwstr/>
      </vt:variant>
      <vt:variant>
        <vt:lpwstr>_Toc175381456</vt:lpwstr>
      </vt:variant>
      <vt:variant>
        <vt:i4>1507384</vt:i4>
      </vt:variant>
      <vt:variant>
        <vt:i4>146</vt:i4>
      </vt:variant>
      <vt:variant>
        <vt:i4>0</vt:i4>
      </vt:variant>
      <vt:variant>
        <vt:i4>5</vt:i4>
      </vt:variant>
      <vt:variant>
        <vt:lpwstr/>
      </vt:variant>
      <vt:variant>
        <vt:lpwstr>_Toc175381455</vt:lpwstr>
      </vt:variant>
      <vt:variant>
        <vt:i4>1507384</vt:i4>
      </vt:variant>
      <vt:variant>
        <vt:i4>140</vt:i4>
      </vt:variant>
      <vt:variant>
        <vt:i4>0</vt:i4>
      </vt:variant>
      <vt:variant>
        <vt:i4>5</vt:i4>
      </vt:variant>
      <vt:variant>
        <vt:lpwstr/>
      </vt:variant>
      <vt:variant>
        <vt:lpwstr>_Toc175381454</vt:lpwstr>
      </vt:variant>
      <vt:variant>
        <vt:i4>1507384</vt:i4>
      </vt:variant>
      <vt:variant>
        <vt:i4>134</vt:i4>
      </vt:variant>
      <vt:variant>
        <vt:i4>0</vt:i4>
      </vt:variant>
      <vt:variant>
        <vt:i4>5</vt:i4>
      </vt:variant>
      <vt:variant>
        <vt:lpwstr/>
      </vt:variant>
      <vt:variant>
        <vt:lpwstr>_Toc175381453</vt:lpwstr>
      </vt:variant>
      <vt:variant>
        <vt:i4>1507384</vt:i4>
      </vt:variant>
      <vt:variant>
        <vt:i4>128</vt:i4>
      </vt:variant>
      <vt:variant>
        <vt:i4>0</vt:i4>
      </vt:variant>
      <vt:variant>
        <vt:i4>5</vt:i4>
      </vt:variant>
      <vt:variant>
        <vt:lpwstr/>
      </vt:variant>
      <vt:variant>
        <vt:lpwstr>_Toc175381452</vt:lpwstr>
      </vt:variant>
      <vt:variant>
        <vt:i4>1507384</vt:i4>
      </vt:variant>
      <vt:variant>
        <vt:i4>122</vt:i4>
      </vt:variant>
      <vt:variant>
        <vt:i4>0</vt:i4>
      </vt:variant>
      <vt:variant>
        <vt:i4>5</vt:i4>
      </vt:variant>
      <vt:variant>
        <vt:lpwstr/>
      </vt:variant>
      <vt:variant>
        <vt:lpwstr>_Toc175381451</vt:lpwstr>
      </vt:variant>
      <vt:variant>
        <vt:i4>1507384</vt:i4>
      </vt:variant>
      <vt:variant>
        <vt:i4>116</vt:i4>
      </vt:variant>
      <vt:variant>
        <vt:i4>0</vt:i4>
      </vt:variant>
      <vt:variant>
        <vt:i4>5</vt:i4>
      </vt:variant>
      <vt:variant>
        <vt:lpwstr/>
      </vt:variant>
      <vt:variant>
        <vt:lpwstr>_Toc175381450</vt:lpwstr>
      </vt:variant>
      <vt:variant>
        <vt:i4>1441848</vt:i4>
      </vt:variant>
      <vt:variant>
        <vt:i4>110</vt:i4>
      </vt:variant>
      <vt:variant>
        <vt:i4>0</vt:i4>
      </vt:variant>
      <vt:variant>
        <vt:i4>5</vt:i4>
      </vt:variant>
      <vt:variant>
        <vt:lpwstr/>
      </vt:variant>
      <vt:variant>
        <vt:lpwstr>_Toc175381449</vt:lpwstr>
      </vt:variant>
      <vt:variant>
        <vt:i4>1441848</vt:i4>
      </vt:variant>
      <vt:variant>
        <vt:i4>104</vt:i4>
      </vt:variant>
      <vt:variant>
        <vt:i4>0</vt:i4>
      </vt:variant>
      <vt:variant>
        <vt:i4>5</vt:i4>
      </vt:variant>
      <vt:variant>
        <vt:lpwstr/>
      </vt:variant>
      <vt:variant>
        <vt:lpwstr>_Toc175381448</vt:lpwstr>
      </vt:variant>
      <vt:variant>
        <vt:i4>1441848</vt:i4>
      </vt:variant>
      <vt:variant>
        <vt:i4>98</vt:i4>
      </vt:variant>
      <vt:variant>
        <vt:i4>0</vt:i4>
      </vt:variant>
      <vt:variant>
        <vt:i4>5</vt:i4>
      </vt:variant>
      <vt:variant>
        <vt:lpwstr/>
      </vt:variant>
      <vt:variant>
        <vt:lpwstr>_Toc175381447</vt:lpwstr>
      </vt:variant>
      <vt:variant>
        <vt:i4>1441848</vt:i4>
      </vt:variant>
      <vt:variant>
        <vt:i4>92</vt:i4>
      </vt:variant>
      <vt:variant>
        <vt:i4>0</vt:i4>
      </vt:variant>
      <vt:variant>
        <vt:i4>5</vt:i4>
      </vt:variant>
      <vt:variant>
        <vt:lpwstr/>
      </vt:variant>
      <vt:variant>
        <vt:lpwstr>_Toc175381446</vt:lpwstr>
      </vt:variant>
      <vt:variant>
        <vt:i4>1441848</vt:i4>
      </vt:variant>
      <vt:variant>
        <vt:i4>86</vt:i4>
      </vt:variant>
      <vt:variant>
        <vt:i4>0</vt:i4>
      </vt:variant>
      <vt:variant>
        <vt:i4>5</vt:i4>
      </vt:variant>
      <vt:variant>
        <vt:lpwstr/>
      </vt:variant>
      <vt:variant>
        <vt:lpwstr>_Toc175381445</vt:lpwstr>
      </vt:variant>
      <vt:variant>
        <vt:i4>1441848</vt:i4>
      </vt:variant>
      <vt:variant>
        <vt:i4>80</vt:i4>
      </vt:variant>
      <vt:variant>
        <vt:i4>0</vt:i4>
      </vt:variant>
      <vt:variant>
        <vt:i4>5</vt:i4>
      </vt:variant>
      <vt:variant>
        <vt:lpwstr/>
      </vt:variant>
      <vt:variant>
        <vt:lpwstr>_Toc175381444</vt:lpwstr>
      </vt:variant>
      <vt:variant>
        <vt:i4>1441848</vt:i4>
      </vt:variant>
      <vt:variant>
        <vt:i4>74</vt:i4>
      </vt:variant>
      <vt:variant>
        <vt:i4>0</vt:i4>
      </vt:variant>
      <vt:variant>
        <vt:i4>5</vt:i4>
      </vt:variant>
      <vt:variant>
        <vt:lpwstr/>
      </vt:variant>
      <vt:variant>
        <vt:lpwstr>_Toc175381443</vt:lpwstr>
      </vt:variant>
      <vt:variant>
        <vt:i4>1441848</vt:i4>
      </vt:variant>
      <vt:variant>
        <vt:i4>68</vt:i4>
      </vt:variant>
      <vt:variant>
        <vt:i4>0</vt:i4>
      </vt:variant>
      <vt:variant>
        <vt:i4>5</vt:i4>
      </vt:variant>
      <vt:variant>
        <vt:lpwstr/>
      </vt:variant>
      <vt:variant>
        <vt:lpwstr>_Toc175381442</vt:lpwstr>
      </vt:variant>
      <vt:variant>
        <vt:i4>1441848</vt:i4>
      </vt:variant>
      <vt:variant>
        <vt:i4>62</vt:i4>
      </vt:variant>
      <vt:variant>
        <vt:i4>0</vt:i4>
      </vt:variant>
      <vt:variant>
        <vt:i4>5</vt:i4>
      </vt:variant>
      <vt:variant>
        <vt:lpwstr/>
      </vt:variant>
      <vt:variant>
        <vt:lpwstr>_Toc175381441</vt:lpwstr>
      </vt:variant>
      <vt:variant>
        <vt:i4>1441848</vt:i4>
      </vt:variant>
      <vt:variant>
        <vt:i4>56</vt:i4>
      </vt:variant>
      <vt:variant>
        <vt:i4>0</vt:i4>
      </vt:variant>
      <vt:variant>
        <vt:i4>5</vt:i4>
      </vt:variant>
      <vt:variant>
        <vt:lpwstr/>
      </vt:variant>
      <vt:variant>
        <vt:lpwstr>_Toc175381440</vt:lpwstr>
      </vt:variant>
      <vt:variant>
        <vt:i4>1114168</vt:i4>
      </vt:variant>
      <vt:variant>
        <vt:i4>50</vt:i4>
      </vt:variant>
      <vt:variant>
        <vt:i4>0</vt:i4>
      </vt:variant>
      <vt:variant>
        <vt:i4>5</vt:i4>
      </vt:variant>
      <vt:variant>
        <vt:lpwstr/>
      </vt:variant>
      <vt:variant>
        <vt:lpwstr>_Toc175381439</vt:lpwstr>
      </vt:variant>
      <vt:variant>
        <vt:i4>1114168</vt:i4>
      </vt:variant>
      <vt:variant>
        <vt:i4>44</vt:i4>
      </vt:variant>
      <vt:variant>
        <vt:i4>0</vt:i4>
      </vt:variant>
      <vt:variant>
        <vt:i4>5</vt:i4>
      </vt:variant>
      <vt:variant>
        <vt:lpwstr/>
      </vt:variant>
      <vt:variant>
        <vt:lpwstr>_Toc175381438</vt:lpwstr>
      </vt:variant>
      <vt:variant>
        <vt:i4>1114168</vt:i4>
      </vt:variant>
      <vt:variant>
        <vt:i4>38</vt:i4>
      </vt:variant>
      <vt:variant>
        <vt:i4>0</vt:i4>
      </vt:variant>
      <vt:variant>
        <vt:i4>5</vt:i4>
      </vt:variant>
      <vt:variant>
        <vt:lpwstr/>
      </vt:variant>
      <vt:variant>
        <vt:lpwstr>_Toc175381437</vt:lpwstr>
      </vt:variant>
      <vt:variant>
        <vt:i4>1114168</vt:i4>
      </vt:variant>
      <vt:variant>
        <vt:i4>32</vt:i4>
      </vt:variant>
      <vt:variant>
        <vt:i4>0</vt:i4>
      </vt:variant>
      <vt:variant>
        <vt:i4>5</vt:i4>
      </vt:variant>
      <vt:variant>
        <vt:lpwstr/>
      </vt:variant>
      <vt:variant>
        <vt:lpwstr>_Toc175381436</vt:lpwstr>
      </vt:variant>
      <vt:variant>
        <vt:i4>1114168</vt:i4>
      </vt:variant>
      <vt:variant>
        <vt:i4>26</vt:i4>
      </vt:variant>
      <vt:variant>
        <vt:i4>0</vt:i4>
      </vt:variant>
      <vt:variant>
        <vt:i4>5</vt:i4>
      </vt:variant>
      <vt:variant>
        <vt:lpwstr/>
      </vt:variant>
      <vt:variant>
        <vt:lpwstr>_Toc175381435</vt:lpwstr>
      </vt:variant>
      <vt:variant>
        <vt:i4>1114168</vt:i4>
      </vt:variant>
      <vt:variant>
        <vt:i4>20</vt:i4>
      </vt:variant>
      <vt:variant>
        <vt:i4>0</vt:i4>
      </vt:variant>
      <vt:variant>
        <vt:i4>5</vt:i4>
      </vt:variant>
      <vt:variant>
        <vt:lpwstr/>
      </vt:variant>
      <vt:variant>
        <vt:lpwstr>_Toc175381434</vt:lpwstr>
      </vt:variant>
      <vt:variant>
        <vt:i4>1114168</vt:i4>
      </vt:variant>
      <vt:variant>
        <vt:i4>14</vt:i4>
      </vt:variant>
      <vt:variant>
        <vt:i4>0</vt:i4>
      </vt:variant>
      <vt:variant>
        <vt:i4>5</vt:i4>
      </vt:variant>
      <vt:variant>
        <vt:lpwstr/>
      </vt:variant>
      <vt:variant>
        <vt:lpwstr>_Toc175381433</vt:lpwstr>
      </vt:variant>
      <vt:variant>
        <vt:i4>1114168</vt:i4>
      </vt:variant>
      <vt:variant>
        <vt:i4>8</vt:i4>
      </vt:variant>
      <vt:variant>
        <vt:i4>0</vt:i4>
      </vt:variant>
      <vt:variant>
        <vt:i4>5</vt:i4>
      </vt:variant>
      <vt:variant>
        <vt:lpwstr/>
      </vt:variant>
      <vt:variant>
        <vt:lpwstr>_Toc175381432</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REFER TO ANZFA’S GUIDE TO APPLICATIONS AND PROPOSALS FOR A MORE DETAILED EXPLANATION OF THE PROCESS ON HOW TO UNDERTAKE</dc:title>
  <dc:creator>Administrator</dc:creator>
  <cp:lastModifiedBy>Humphries, Cathie</cp:lastModifiedBy>
  <cp:revision>6</cp:revision>
  <cp:lastPrinted>2011-08-04T02:45:00Z</cp:lastPrinted>
  <dcterms:created xsi:type="dcterms:W3CDTF">2011-08-03T02:16:00Z</dcterms:created>
  <dcterms:modified xsi:type="dcterms:W3CDTF">2011-10-06T01:10:00Z</dcterms:modified>
</cp:coreProperties>
</file>