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18" w:rsidRDefault="00A03FEA" w:rsidP="00A03FEA">
      <w:pPr>
        <w:jc w:val="center"/>
        <w:rPr>
          <w:rFonts w:ascii="Arial" w:hAnsi="Arial" w:cs="Arial"/>
          <w:b/>
        </w:rPr>
      </w:pPr>
      <w:r w:rsidRPr="00A03FEA">
        <w:rPr>
          <w:rFonts w:ascii="Arial" w:hAnsi="Arial" w:cs="Arial"/>
          <w:b/>
        </w:rPr>
        <w:t xml:space="preserve">EXPLANATORY STATEMENT </w:t>
      </w:r>
    </w:p>
    <w:p w:rsidR="00CD2118" w:rsidRPr="00CD2118" w:rsidRDefault="00CD2118" w:rsidP="00CD2118">
      <w:pPr>
        <w:pStyle w:val="ACMABodyText"/>
        <w:jc w:val="center"/>
      </w:pPr>
      <w:r w:rsidRPr="00CD2118">
        <w:rPr>
          <w:rFonts w:ascii="Arial" w:hAnsi="Arial" w:cs="Arial"/>
          <w:b/>
          <w:i/>
        </w:rPr>
        <w:t>Legislative Instruments Act 2003</w:t>
      </w:r>
      <w:r w:rsidRPr="00A03FEA">
        <w:rPr>
          <w:rFonts w:ascii="Arial" w:hAnsi="Arial" w:cs="Arial"/>
          <w:b/>
        </w:rPr>
        <w:t xml:space="preserve"> – </w:t>
      </w:r>
      <w:r>
        <w:rPr>
          <w:rFonts w:ascii="Arial" w:hAnsi="Arial" w:cs="Arial"/>
          <w:b/>
        </w:rPr>
        <w:t>Section 26</w:t>
      </w:r>
    </w:p>
    <w:p w:rsidR="00A94BD6" w:rsidRPr="0085536D" w:rsidRDefault="00A94BD6" w:rsidP="00DD4E4E">
      <w:pPr>
        <w:jc w:val="center"/>
        <w:rPr>
          <w:rFonts w:ascii="Arial" w:hAnsi="Arial" w:cs="Arial"/>
          <w:i/>
        </w:rPr>
      </w:pPr>
    </w:p>
    <w:p w:rsidR="00A03FEA" w:rsidRPr="0085536D" w:rsidRDefault="0094480F" w:rsidP="00A03FEA">
      <w:pPr>
        <w:rPr>
          <w:rFonts w:ascii="Arial" w:hAnsi="Arial" w:cs="Arial"/>
          <w:b/>
          <w:i/>
        </w:rPr>
      </w:pPr>
      <w:bookmarkStart w:id="0" w:name="OLE_LINK1"/>
      <w:bookmarkStart w:id="1" w:name="OLE_LINK2"/>
      <w:r w:rsidRPr="0085536D">
        <w:rPr>
          <w:rFonts w:ascii="Arial" w:hAnsi="Arial" w:cs="Arial"/>
          <w:b/>
          <w:i/>
        </w:rPr>
        <w:t>Native Title (Provision of Financial Assistance) Amendment Guidelines 2011 (No.1)</w:t>
      </w:r>
    </w:p>
    <w:p w:rsidR="00A03FEA" w:rsidRPr="0094480F" w:rsidRDefault="0094480F" w:rsidP="00A03FEA">
      <w:pPr>
        <w:pStyle w:val="ACMABodyText"/>
        <w:rPr>
          <w:rFonts w:ascii="Arial" w:hAnsi="Arial" w:cs="Arial"/>
        </w:rPr>
      </w:pPr>
      <w:r>
        <w:rPr>
          <w:rFonts w:ascii="Arial" w:hAnsi="Arial" w:cs="Arial"/>
        </w:rPr>
        <w:t>The</w:t>
      </w:r>
      <w:r w:rsidR="002F3849">
        <w:rPr>
          <w:rFonts w:ascii="Arial" w:hAnsi="Arial" w:cs="Arial"/>
        </w:rPr>
        <w:t xml:space="preserve"> Attorney-General has made the </w:t>
      </w:r>
      <w:r w:rsidR="002F3849" w:rsidRPr="0085536D">
        <w:rPr>
          <w:rFonts w:ascii="Arial" w:hAnsi="Arial" w:cs="Arial"/>
          <w:i/>
        </w:rPr>
        <w:t xml:space="preserve">Native Title (Provision of Financial Assistance) Amendment </w:t>
      </w:r>
      <w:r w:rsidRPr="0085536D">
        <w:rPr>
          <w:rFonts w:ascii="Arial" w:hAnsi="Arial" w:cs="Arial"/>
          <w:i/>
        </w:rPr>
        <w:t>Guidelines</w:t>
      </w:r>
      <w:r w:rsidR="002F3849" w:rsidRPr="0085536D">
        <w:rPr>
          <w:rFonts w:ascii="Arial" w:hAnsi="Arial" w:cs="Arial"/>
          <w:i/>
        </w:rPr>
        <w:t xml:space="preserve"> 2011 (No.1)</w:t>
      </w:r>
      <w:r w:rsidR="002F3849">
        <w:rPr>
          <w:rFonts w:ascii="Arial" w:hAnsi="Arial" w:cs="Arial"/>
        </w:rPr>
        <w:t xml:space="preserve"> (</w:t>
      </w:r>
      <w:r w:rsidR="002F3849" w:rsidRPr="0085536D">
        <w:rPr>
          <w:rFonts w:ascii="Arial" w:hAnsi="Arial" w:cs="Arial"/>
          <w:b/>
        </w:rPr>
        <w:t>these Guidelines</w:t>
      </w:r>
      <w:r w:rsidR="002F3849">
        <w:rPr>
          <w:rFonts w:ascii="Arial" w:hAnsi="Arial" w:cs="Arial"/>
        </w:rPr>
        <w:t>)</w:t>
      </w:r>
      <w:r>
        <w:rPr>
          <w:rFonts w:ascii="Arial" w:hAnsi="Arial" w:cs="Arial"/>
        </w:rPr>
        <w:t xml:space="preserve"> under subsection 213A (5) of the </w:t>
      </w:r>
      <w:r>
        <w:rPr>
          <w:rFonts w:ascii="Arial" w:hAnsi="Arial" w:cs="Arial"/>
          <w:i/>
        </w:rPr>
        <w:t>Native Title Act 199</w:t>
      </w:r>
      <w:r w:rsidR="0085536D">
        <w:rPr>
          <w:rFonts w:ascii="Arial" w:hAnsi="Arial" w:cs="Arial"/>
          <w:i/>
        </w:rPr>
        <w:t xml:space="preserve">3 </w:t>
      </w:r>
      <w:r w:rsidR="0085536D">
        <w:rPr>
          <w:rFonts w:ascii="Arial" w:hAnsi="Arial" w:cs="Arial"/>
        </w:rPr>
        <w:t>(</w:t>
      </w:r>
      <w:r w:rsidR="0085536D" w:rsidRPr="0085536D">
        <w:rPr>
          <w:rFonts w:ascii="Arial" w:hAnsi="Arial" w:cs="Arial"/>
        </w:rPr>
        <w:t>the</w:t>
      </w:r>
      <w:r w:rsidR="0085536D">
        <w:rPr>
          <w:rFonts w:ascii="Arial" w:hAnsi="Arial" w:cs="Arial"/>
        </w:rPr>
        <w:t xml:space="preserve"> Act)</w:t>
      </w:r>
      <w:r>
        <w:rPr>
          <w:rFonts w:ascii="Arial" w:hAnsi="Arial" w:cs="Arial"/>
        </w:rPr>
        <w:t>.</w:t>
      </w:r>
    </w:p>
    <w:p w:rsidR="004F1F0F" w:rsidRDefault="004F1F0F" w:rsidP="004F1F0F">
      <w:pPr>
        <w:spacing w:after="80"/>
        <w:rPr>
          <w:rFonts w:ascii="Arial" w:hAnsi="Arial" w:cs="Arial"/>
        </w:rPr>
      </w:pPr>
      <w:r>
        <w:rPr>
          <w:rFonts w:ascii="Arial" w:hAnsi="Arial" w:cs="Arial"/>
        </w:rPr>
        <w:t xml:space="preserve">The Act specifies no other conditions that need to be satisfied before the power to make the proposed Guidelines may be exercised. </w:t>
      </w:r>
    </w:p>
    <w:p w:rsidR="004F1F0F" w:rsidRDefault="004F1F0F" w:rsidP="004F1F0F">
      <w:pPr>
        <w:rPr>
          <w:rFonts w:ascii="Arial" w:hAnsi="Arial" w:cs="Arial"/>
        </w:rPr>
      </w:pPr>
      <w:r>
        <w:rPr>
          <w:rFonts w:ascii="Arial" w:hAnsi="Arial" w:cs="Arial"/>
        </w:rPr>
        <w:t xml:space="preserve">These Guidelines are a legislative instrument for the purposes of the </w:t>
      </w:r>
      <w:r>
        <w:rPr>
          <w:rFonts w:ascii="Arial" w:hAnsi="Arial" w:cs="Arial"/>
          <w:i/>
        </w:rPr>
        <w:t>Legislative Instruments Act 2003</w:t>
      </w:r>
      <w:r>
        <w:rPr>
          <w:rFonts w:ascii="Arial" w:hAnsi="Arial" w:cs="Arial"/>
        </w:rPr>
        <w:t xml:space="preserve">. </w:t>
      </w:r>
    </w:p>
    <w:p w:rsidR="004F1F0F" w:rsidRDefault="004F1F0F" w:rsidP="004F1F0F">
      <w:pPr>
        <w:rPr>
          <w:rFonts w:ascii="Arial" w:hAnsi="Arial" w:cs="Arial"/>
          <w:szCs w:val="20"/>
        </w:rPr>
      </w:pPr>
      <w:r>
        <w:rPr>
          <w:rFonts w:ascii="Arial" w:hAnsi="Arial" w:cs="Arial"/>
          <w:szCs w:val="20"/>
        </w:rPr>
        <w:t xml:space="preserve">These Guidelines commence on the day after their registration on the </w:t>
      </w:r>
      <w:r>
        <w:rPr>
          <w:rFonts w:ascii="Arial" w:hAnsi="Arial" w:cs="Arial"/>
        </w:rPr>
        <w:t>Federal Register of Legislative Instruments (</w:t>
      </w:r>
      <w:r w:rsidRPr="00092082">
        <w:rPr>
          <w:rFonts w:ascii="Arial" w:hAnsi="Arial" w:cs="Arial"/>
          <w:b/>
          <w:szCs w:val="20"/>
        </w:rPr>
        <w:t>FRLI</w:t>
      </w:r>
      <w:r>
        <w:rPr>
          <w:rFonts w:ascii="Arial" w:hAnsi="Arial" w:cs="Arial"/>
          <w:szCs w:val="20"/>
        </w:rPr>
        <w:t xml:space="preserve">) and they amend </w:t>
      </w:r>
      <w:r w:rsidRPr="002C5427">
        <w:rPr>
          <w:rFonts w:ascii="Arial" w:hAnsi="Arial" w:cs="Arial"/>
          <w:szCs w:val="20"/>
        </w:rPr>
        <w:t xml:space="preserve">the </w:t>
      </w:r>
      <w:r>
        <w:rPr>
          <w:rFonts w:ascii="Arial" w:hAnsi="Arial" w:cs="Arial"/>
          <w:i/>
          <w:szCs w:val="20"/>
        </w:rPr>
        <w:t xml:space="preserve">Guidelines </w:t>
      </w:r>
      <w:r w:rsidR="00A97719">
        <w:rPr>
          <w:rFonts w:ascii="Arial" w:hAnsi="Arial" w:cs="Arial"/>
          <w:i/>
          <w:szCs w:val="20"/>
        </w:rPr>
        <w:t>on</w:t>
      </w:r>
      <w:r>
        <w:rPr>
          <w:rFonts w:ascii="Arial" w:hAnsi="Arial" w:cs="Arial"/>
          <w:i/>
          <w:szCs w:val="20"/>
        </w:rPr>
        <w:t xml:space="preserve"> the Provision of Financial Assistance by the Attorney-General under the Native Title Act 1993</w:t>
      </w:r>
      <w:r>
        <w:rPr>
          <w:rFonts w:ascii="Arial" w:hAnsi="Arial" w:cs="Arial"/>
          <w:szCs w:val="20"/>
        </w:rPr>
        <w:t xml:space="preserve"> (</w:t>
      </w:r>
      <w:r w:rsidRPr="0085536D">
        <w:rPr>
          <w:rFonts w:ascii="Arial" w:hAnsi="Arial" w:cs="Arial"/>
          <w:b/>
          <w:szCs w:val="20"/>
        </w:rPr>
        <w:t>the</w:t>
      </w:r>
      <w:r>
        <w:rPr>
          <w:rFonts w:ascii="Arial" w:hAnsi="Arial" w:cs="Arial"/>
          <w:szCs w:val="20"/>
        </w:rPr>
        <w:t xml:space="preserve"> </w:t>
      </w:r>
      <w:r w:rsidRPr="00D34975">
        <w:rPr>
          <w:rFonts w:ascii="Arial" w:hAnsi="Arial" w:cs="Arial"/>
          <w:b/>
          <w:szCs w:val="20"/>
        </w:rPr>
        <w:t>previous Guidelines</w:t>
      </w:r>
      <w:r>
        <w:rPr>
          <w:rFonts w:ascii="Arial" w:hAnsi="Arial" w:cs="Arial"/>
          <w:szCs w:val="20"/>
        </w:rPr>
        <w:t>).</w:t>
      </w:r>
    </w:p>
    <w:p w:rsidR="00C743A7" w:rsidRPr="0075775A" w:rsidRDefault="00C743A7" w:rsidP="00A03FEA">
      <w:pPr>
        <w:spacing w:after="80"/>
        <w:rPr>
          <w:rFonts w:ascii="Arial" w:hAnsi="Arial" w:cs="Arial"/>
          <w:b/>
        </w:rPr>
      </w:pPr>
      <w:r w:rsidRPr="0075775A">
        <w:rPr>
          <w:rFonts w:ascii="Arial" w:hAnsi="Arial" w:cs="Arial"/>
          <w:b/>
        </w:rPr>
        <w:t>Likely impact and effect of the</w:t>
      </w:r>
      <w:r w:rsidR="002F3849">
        <w:rPr>
          <w:rFonts w:ascii="Arial" w:hAnsi="Arial" w:cs="Arial"/>
          <w:b/>
        </w:rPr>
        <w:t>se</w:t>
      </w:r>
      <w:r w:rsidRPr="0075775A">
        <w:rPr>
          <w:rFonts w:ascii="Arial" w:hAnsi="Arial" w:cs="Arial"/>
          <w:b/>
        </w:rPr>
        <w:t xml:space="preserve"> Guidelines</w:t>
      </w:r>
    </w:p>
    <w:p w:rsidR="00C743A7" w:rsidRDefault="004F1F0F" w:rsidP="00C743A7">
      <w:pPr>
        <w:pStyle w:val="ACMABodyText"/>
        <w:rPr>
          <w:rFonts w:ascii="Arial" w:hAnsi="Arial" w:cs="Arial"/>
        </w:rPr>
      </w:pPr>
      <w:r>
        <w:rPr>
          <w:rFonts w:ascii="Arial" w:hAnsi="Arial" w:cs="Arial"/>
        </w:rPr>
        <w:t xml:space="preserve">These Guidelines </w:t>
      </w:r>
      <w:r w:rsidR="00A97719">
        <w:rPr>
          <w:rFonts w:ascii="Arial" w:hAnsi="Arial" w:cs="Arial"/>
        </w:rPr>
        <w:t xml:space="preserve">on commencement </w:t>
      </w:r>
      <w:r w:rsidR="00CC5119">
        <w:rPr>
          <w:rFonts w:ascii="Arial" w:hAnsi="Arial" w:cs="Arial"/>
        </w:rPr>
        <w:t xml:space="preserve">will impose </w:t>
      </w:r>
      <w:r>
        <w:rPr>
          <w:rFonts w:ascii="Arial" w:hAnsi="Arial" w:cs="Arial"/>
        </w:rPr>
        <w:t>a flat hourly rate of $290</w:t>
      </w:r>
      <w:r w:rsidR="00E318FD">
        <w:rPr>
          <w:rFonts w:ascii="Arial" w:hAnsi="Arial" w:cs="Arial"/>
        </w:rPr>
        <w:t xml:space="preserve"> </w:t>
      </w:r>
      <w:r w:rsidR="00CC5119">
        <w:rPr>
          <w:rFonts w:ascii="Arial" w:hAnsi="Arial" w:cs="Arial"/>
        </w:rPr>
        <w:t xml:space="preserve">(GST inclusive) </w:t>
      </w:r>
      <w:r w:rsidR="00E318FD">
        <w:rPr>
          <w:rFonts w:ascii="Arial" w:hAnsi="Arial" w:cs="Arial"/>
        </w:rPr>
        <w:t xml:space="preserve">on a pro-rata basis </w:t>
      </w:r>
      <w:r>
        <w:rPr>
          <w:rFonts w:ascii="Arial" w:hAnsi="Arial" w:cs="Arial"/>
        </w:rPr>
        <w:t>to the nearest minute</w:t>
      </w:r>
      <w:r w:rsidR="00CC5119">
        <w:rPr>
          <w:rFonts w:ascii="Arial" w:hAnsi="Arial" w:cs="Arial"/>
        </w:rPr>
        <w:t>,</w:t>
      </w:r>
      <w:r>
        <w:rPr>
          <w:rFonts w:ascii="Arial" w:hAnsi="Arial" w:cs="Arial"/>
        </w:rPr>
        <w:t xml:space="preserve"> </w:t>
      </w:r>
      <w:r w:rsidR="00A97719">
        <w:rPr>
          <w:rFonts w:ascii="Arial" w:hAnsi="Arial" w:cs="Arial"/>
        </w:rPr>
        <w:t>for all professional costs under</w:t>
      </w:r>
      <w:r>
        <w:rPr>
          <w:rFonts w:ascii="Arial" w:hAnsi="Arial" w:cs="Arial"/>
        </w:rPr>
        <w:t xml:space="preserve"> any grants approved under section 213A</w:t>
      </w:r>
      <w:r w:rsidR="00A97719">
        <w:rPr>
          <w:rFonts w:ascii="Arial" w:hAnsi="Arial" w:cs="Arial"/>
        </w:rPr>
        <w:t xml:space="preserve"> of the Act</w:t>
      </w:r>
      <w:r w:rsidR="00CC5119">
        <w:rPr>
          <w:rFonts w:ascii="Arial" w:hAnsi="Arial" w:cs="Arial"/>
        </w:rPr>
        <w:t xml:space="preserve"> on or</w:t>
      </w:r>
      <w:r>
        <w:rPr>
          <w:rFonts w:ascii="Arial" w:hAnsi="Arial" w:cs="Arial"/>
        </w:rPr>
        <w:t xml:space="preserve"> after the commencement of these Guidelines.</w:t>
      </w:r>
      <w:r w:rsidR="00CC5119">
        <w:rPr>
          <w:rFonts w:ascii="Arial" w:hAnsi="Arial" w:cs="Arial"/>
        </w:rPr>
        <w:t xml:space="preserve">  The revised flat hourly rate replaces the rates specified in the </w:t>
      </w:r>
      <w:r w:rsidR="00CC5119" w:rsidRPr="00CC5119">
        <w:rPr>
          <w:rFonts w:ascii="Arial" w:hAnsi="Arial" w:cs="Arial"/>
          <w:i/>
        </w:rPr>
        <w:t>Federal Court Rules 2011</w:t>
      </w:r>
      <w:r w:rsidR="00CC5119">
        <w:rPr>
          <w:rFonts w:ascii="Arial" w:hAnsi="Arial" w:cs="Arial"/>
        </w:rPr>
        <w:t>.</w:t>
      </w:r>
    </w:p>
    <w:p w:rsidR="004F1F0F" w:rsidRPr="00C743A7" w:rsidRDefault="004F1F0F" w:rsidP="00C743A7">
      <w:pPr>
        <w:pStyle w:val="ACMABodyText"/>
        <w:rPr>
          <w:rFonts w:ascii="Arial" w:hAnsi="Arial" w:cs="Arial"/>
        </w:rPr>
      </w:pPr>
      <w:r>
        <w:rPr>
          <w:rFonts w:ascii="Arial" w:hAnsi="Arial" w:cs="Arial"/>
        </w:rPr>
        <w:t>The revised flat hourly rate should reduce administration by costing work on an hourly basis rather than across all items under the Federal Court Rules and recognises the correlation between Commonwealth</w:t>
      </w:r>
      <w:r w:rsidR="00A66A21">
        <w:rPr>
          <w:rFonts w:ascii="Arial" w:hAnsi="Arial" w:cs="Arial"/>
        </w:rPr>
        <w:t xml:space="preserve"> legal assistance and legal aid schemes.</w:t>
      </w:r>
    </w:p>
    <w:p w:rsidR="00D131D7" w:rsidRDefault="001350D0" w:rsidP="006C26D1">
      <w:pPr>
        <w:pStyle w:val="ACMABodyText"/>
        <w:rPr>
          <w:rFonts w:ascii="Arial" w:hAnsi="Arial" w:cs="Arial"/>
          <w:b/>
        </w:rPr>
      </w:pPr>
      <w:r>
        <w:rPr>
          <w:rFonts w:ascii="Arial" w:hAnsi="Arial" w:cs="Arial"/>
          <w:b/>
        </w:rPr>
        <w:t>Regulatory i</w:t>
      </w:r>
      <w:r w:rsidR="00D131D7">
        <w:rPr>
          <w:rFonts w:ascii="Arial" w:hAnsi="Arial" w:cs="Arial"/>
          <w:b/>
        </w:rPr>
        <w:t xml:space="preserve">mpact </w:t>
      </w:r>
    </w:p>
    <w:p w:rsidR="00D131D7" w:rsidRPr="00D131D7" w:rsidRDefault="00D131D7" w:rsidP="006C26D1">
      <w:pPr>
        <w:pStyle w:val="ACMABodyText"/>
        <w:rPr>
          <w:rFonts w:ascii="Arial" w:hAnsi="Arial" w:cs="Arial"/>
        </w:rPr>
      </w:pPr>
      <w:r w:rsidRPr="00D131D7">
        <w:rPr>
          <w:rFonts w:ascii="Arial" w:hAnsi="Arial" w:cs="Arial"/>
        </w:rPr>
        <w:t xml:space="preserve">The </w:t>
      </w:r>
      <w:r>
        <w:rPr>
          <w:rFonts w:ascii="Arial" w:hAnsi="Arial" w:cs="Arial"/>
        </w:rPr>
        <w:t>Office of Best Practice Regulation (</w:t>
      </w:r>
      <w:r w:rsidRPr="00391219">
        <w:rPr>
          <w:rFonts w:ascii="Arial" w:hAnsi="Arial" w:cs="Arial"/>
          <w:b/>
        </w:rPr>
        <w:t>OBPR</w:t>
      </w:r>
      <w:r>
        <w:rPr>
          <w:rFonts w:ascii="Arial" w:hAnsi="Arial" w:cs="Arial"/>
        </w:rPr>
        <w:t xml:space="preserve">) has considered the matter and formed the view that no regulatory impact analysis is required for the </w:t>
      </w:r>
      <w:proofErr w:type="gramStart"/>
      <w:r>
        <w:rPr>
          <w:rFonts w:ascii="Arial" w:hAnsi="Arial" w:cs="Arial"/>
        </w:rPr>
        <w:t>Guidelines.</w:t>
      </w:r>
      <w:proofErr w:type="gramEnd"/>
      <w:r>
        <w:rPr>
          <w:rFonts w:ascii="Arial" w:hAnsi="Arial" w:cs="Arial"/>
        </w:rPr>
        <w:t xml:space="preserve">  The OBPR reference </w:t>
      </w:r>
      <w:r w:rsidR="009D01EF">
        <w:rPr>
          <w:rFonts w:ascii="Arial" w:hAnsi="Arial" w:cs="Arial"/>
        </w:rPr>
        <w:t xml:space="preserve">number is ID </w:t>
      </w:r>
      <w:r w:rsidR="002F3849">
        <w:rPr>
          <w:rFonts w:ascii="Arial" w:hAnsi="Arial" w:cs="Arial"/>
        </w:rPr>
        <w:t>13018</w:t>
      </w:r>
      <w:r w:rsidRPr="00D131D7">
        <w:rPr>
          <w:rFonts w:ascii="Arial" w:hAnsi="Arial" w:cs="Arial"/>
        </w:rPr>
        <w:t>.</w:t>
      </w:r>
    </w:p>
    <w:p w:rsidR="006C26D1" w:rsidRPr="008F7DD2" w:rsidRDefault="007A094B" w:rsidP="006C26D1">
      <w:pPr>
        <w:pStyle w:val="ACMABodyText"/>
        <w:rPr>
          <w:rFonts w:ascii="Arial" w:hAnsi="Arial" w:cs="Arial"/>
          <w:b/>
        </w:rPr>
      </w:pPr>
      <w:r w:rsidRPr="007A094B">
        <w:rPr>
          <w:rFonts w:ascii="Arial" w:hAnsi="Arial" w:cs="Arial"/>
          <w:b/>
        </w:rPr>
        <w:t>Description of the provisions of the</w:t>
      </w:r>
      <w:r w:rsidR="00312BAC">
        <w:rPr>
          <w:rFonts w:ascii="Arial" w:hAnsi="Arial" w:cs="Arial"/>
          <w:b/>
        </w:rPr>
        <w:t>se</w:t>
      </w:r>
      <w:r w:rsidRPr="007A094B">
        <w:rPr>
          <w:rFonts w:ascii="Arial" w:hAnsi="Arial" w:cs="Arial"/>
          <w:b/>
        </w:rPr>
        <w:t xml:space="preserve"> Guidelines</w:t>
      </w:r>
    </w:p>
    <w:p w:rsidR="00D34975" w:rsidRPr="00D34975" w:rsidRDefault="00D34975" w:rsidP="00D34975">
      <w:pPr>
        <w:pStyle w:val="ACMABodyText"/>
        <w:rPr>
          <w:rFonts w:ascii="Arial" w:hAnsi="Arial" w:cs="Arial"/>
        </w:rPr>
      </w:pPr>
      <w:r w:rsidRPr="00D34975">
        <w:rPr>
          <w:rFonts w:ascii="Arial" w:hAnsi="Arial" w:cs="Arial"/>
        </w:rPr>
        <w:t xml:space="preserve">Further details about the </w:t>
      </w:r>
      <w:r w:rsidR="00D131D7">
        <w:rPr>
          <w:rFonts w:ascii="Arial" w:hAnsi="Arial" w:cs="Arial"/>
        </w:rPr>
        <w:t>particular clauses of the</w:t>
      </w:r>
      <w:r w:rsidR="00A97719">
        <w:rPr>
          <w:rFonts w:ascii="Arial" w:hAnsi="Arial" w:cs="Arial"/>
        </w:rPr>
        <w:t>se</w:t>
      </w:r>
      <w:r w:rsidR="00D131D7">
        <w:rPr>
          <w:rFonts w:ascii="Arial" w:hAnsi="Arial" w:cs="Arial"/>
        </w:rPr>
        <w:t xml:space="preserve"> </w:t>
      </w:r>
      <w:r w:rsidRPr="00D34975">
        <w:rPr>
          <w:rFonts w:ascii="Arial" w:hAnsi="Arial" w:cs="Arial"/>
        </w:rPr>
        <w:t>Guidelines are set out below.</w:t>
      </w:r>
    </w:p>
    <w:p w:rsidR="006C26D1" w:rsidRPr="002F3849" w:rsidRDefault="00D96DB0" w:rsidP="006C26D1">
      <w:pPr>
        <w:pStyle w:val="ACMABodyText"/>
        <w:rPr>
          <w:rFonts w:ascii="Arial" w:hAnsi="Arial" w:cs="Arial"/>
          <w:b/>
          <w:u w:val="single"/>
        </w:rPr>
      </w:pPr>
      <w:r w:rsidRPr="002F3849">
        <w:rPr>
          <w:rFonts w:ascii="Arial" w:hAnsi="Arial" w:cs="Arial"/>
          <w:b/>
          <w:u w:val="single"/>
        </w:rPr>
        <w:t xml:space="preserve">Clause 1 </w:t>
      </w:r>
      <w:r w:rsidR="00DD4E4E" w:rsidRPr="002F3849">
        <w:rPr>
          <w:rFonts w:ascii="Arial" w:hAnsi="Arial" w:cs="Arial"/>
          <w:b/>
          <w:u w:val="single"/>
        </w:rPr>
        <w:t>–</w:t>
      </w:r>
      <w:r w:rsidRPr="002F3849">
        <w:rPr>
          <w:rFonts w:ascii="Arial" w:hAnsi="Arial" w:cs="Arial"/>
          <w:b/>
          <w:u w:val="single"/>
        </w:rPr>
        <w:t xml:space="preserve"> </w:t>
      </w:r>
      <w:r w:rsidR="00A97719">
        <w:rPr>
          <w:rFonts w:ascii="Arial" w:hAnsi="Arial" w:cs="Arial"/>
          <w:b/>
          <w:u w:val="single"/>
        </w:rPr>
        <w:t>Name of Guidelines</w:t>
      </w:r>
      <w:r w:rsidR="006C26D1" w:rsidRPr="002F3849">
        <w:rPr>
          <w:rFonts w:ascii="Arial" w:hAnsi="Arial" w:cs="Arial"/>
          <w:b/>
          <w:u w:val="single"/>
        </w:rPr>
        <w:t xml:space="preserve"> </w:t>
      </w:r>
    </w:p>
    <w:bookmarkEnd w:id="0"/>
    <w:bookmarkEnd w:id="1"/>
    <w:p w:rsidR="00A03FEA" w:rsidRPr="00132FC4" w:rsidRDefault="00132FC4" w:rsidP="00A03FEA">
      <w:pPr>
        <w:pStyle w:val="ACMABodyText"/>
        <w:rPr>
          <w:rFonts w:ascii="Arial" w:hAnsi="Arial" w:cs="Arial"/>
        </w:rPr>
      </w:pPr>
      <w:proofErr w:type="gramStart"/>
      <w:r w:rsidRPr="00132FC4">
        <w:rPr>
          <w:rFonts w:ascii="Arial" w:hAnsi="Arial" w:cs="Arial"/>
        </w:rPr>
        <w:t>Sets out the name of the</w:t>
      </w:r>
      <w:r w:rsidR="00A97719">
        <w:rPr>
          <w:rFonts w:ascii="Arial" w:hAnsi="Arial" w:cs="Arial"/>
        </w:rPr>
        <w:t xml:space="preserve"> Instrument</w:t>
      </w:r>
      <w:r w:rsidR="00DD4E4E">
        <w:rPr>
          <w:rFonts w:ascii="Arial" w:hAnsi="Arial" w:cs="Arial"/>
        </w:rPr>
        <w:t>.</w:t>
      </w:r>
      <w:proofErr w:type="gramEnd"/>
    </w:p>
    <w:p w:rsidR="00132FC4" w:rsidRPr="002F3849" w:rsidRDefault="00132FC4" w:rsidP="00A03FEA">
      <w:pPr>
        <w:pStyle w:val="ACMABodyText"/>
        <w:rPr>
          <w:rFonts w:ascii="Arial" w:hAnsi="Arial" w:cs="Arial"/>
          <w:b/>
          <w:u w:val="single"/>
        </w:rPr>
      </w:pPr>
      <w:r w:rsidRPr="002F3849">
        <w:rPr>
          <w:rFonts w:ascii="Arial" w:hAnsi="Arial" w:cs="Arial"/>
          <w:b/>
          <w:u w:val="single"/>
        </w:rPr>
        <w:t>Clause 2 – Commencement</w:t>
      </w:r>
    </w:p>
    <w:p w:rsidR="00132FC4" w:rsidRDefault="00132FC4" w:rsidP="00A03FEA">
      <w:pPr>
        <w:pStyle w:val="ACMABodyText"/>
        <w:rPr>
          <w:rFonts w:ascii="Arial" w:hAnsi="Arial" w:cs="Arial"/>
        </w:rPr>
      </w:pPr>
      <w:proofErr w:type="gramStart"/>
      <w:r>
        <w:rPr>
          <w:rFonts w:ascii="Arial" w:hAnsi="Arial" w:cs="Arial"/>
        </w:rPr>
        <w:t>States that the</w:t>
      </w:r>
      <w:r w:rsidR="0085536D">
        <w:rPr>
          <w:rFonts w:ascii="Arial" w:hAnsi="Arial" w:cs="Arial"/>
        </w:rPr>
        <w:t>se</w:t>
      </w:r>
      <w:r>
        <w:rPr>
          <w:rFonts w:ascii="Arial" w:hAnsi="Arial" w:cs="Arial"/>
        </w:rPr>
        <w:t xml:space="preserve"> Guidelines commence on the day after they are registered on </w:t>
      </w:r>
      <w:r w:rsidR="00DD4E4E">
        <w:rPr>
          <w:rFonts w:ascii="Arial" w:hAnsi="Arial" w:cs="Arial"/>
        </w:rPr>
        <w:t xml:space="preserve">the </w:t>
      </w:r>
      <w:r>
        <w:rPr>
          <w:rFonts w:ascii="Arial" w:hAnsi="Arial" w:cs="Arial"/>
        </w:rPr>
        <w:t>F</w:t>
      </w:r>
      <w:r w:rsidR="00AE6825">
        <w:rPr>
          <w:rFonts w:ascii="Arial" w:hAnsi="Arial" w:cs="Arial"/>
        </w:rPr>
        <w:t>RLI</w:t>
      </w:r>
      <w:r w:rsidR="00DD4E4E">
        <w:rPr>
          <w:rFonts w:ascii="Arial" w:hAnsi="Arial" w:cs="Arial"/>
        </w:rPr>
        <w:t>.</w:t>
      </w:r>
      <w:proofErr w:type="gramEnd"/>
    </w:p>
    <w:p w:rsidR="00A66A21" w:rsidRDefault="00A66A21" w:rsidP="00A03FEA">
      <w:pPr>
        <w:pStyle w:val="ACMABodyText"/>
        <w:rPr>
          <w:rFonts w:ascii="Arial" w:hAnsi="Arial" w:cs="Arial"/>
          <w:b/>
          <w:u w:val="single"/>
        </w:rPr>
      </w:pPr>
    </w:p>
    <w:p w:rsidR="00CC5119" w:rsidRDefault="00CC5119" w:rsidP="00A03FEA">
      <w:pPr>
        <w:pStyle w:val="ACMABodyText"/>
        <w:rPr>
          <w:rFonts w:ascii="Arial" w:hAnsi="Arial" w:cs="Arial"/>
          <w:b/>
          <w:u w:val="single"/>
        </w:rPr>
      </w:pPr>
    </w:p>
    <w:p w:rsidR="00132FC4" w:rsidRPr="002F3849" w:rsidRDefault="00132FC4" w:rsidP="00A03FEA">
      <w:pPr>
        <w:pStyle w:val="ACMABodyText"/>
        <w:rPr>
          <w:rFonts w:ascii="Arial" w:hAnsi="Arial" w:cs="Arial"/>
          <w:b/>
          <w:i/>
          <w:u w:val="single"/>
        </w:rPr>
      </w:pPr>
      <w:r w:rsidRPr="002F3849">
        <w:rPr>
          <w:rFonts w:ascii="Arial" w:hAnsi="Arial" w:cs="Arial"/>
          <w:b/>
          <w:u w:val="single"/>
        </w:rPr>
        <w:lastRenderedPageBreak/>
        <w:t xml:space="preserve">Clause 3 – </w:t>
      </w:r>
      <w:r w:rsidR="002F3849" w:rsidRPr="002F3849">
        <w:rPr>
          <w:rFonts w:ascii="Arial" w:hAnsi="Arial" w:cs="Arial"/>
          <w:b/>
          <w:u w:val="single"/>
        </w:rPr>
        <w:t xml:space="preserve">Amendment of </w:t>
      </w:r>
      <w:r w:rsidR="002F3849" w:rsidRPr="0085536D">
        <w:rPr>
          <w:rFonts w:ascii="Arial" w:hAnsi="Arial" w:cs="Arial"/>
          <w:b/>
          <w:i/>
          <w:u w:val="single"/>
        </w:rPr>
        <w:t>Guidelines on the Provision of Financial Assistance by the Attorney-General under the Native Title Act 1993</w:t>
      </w:r>
    </w:p>
    <w:p w:rsidR="00D34975" w:rsidRDefault="00132FC4" w:rsidP="00A03FEA">
      <w:pPr>
        <w:pStyle w:val="ACMABodyText"/>
        <w:rPr>
          <w:rFonts w:ascii="Arial" w:hAnsi="Arial" w:cs="Arial"/>
        </w:rPr>
      </w:pPr>
      <w:r>
        <w:rPr>
          <w:rFonts w:ascii="Arial" w:hAnsi="Arial" w:cs="Arial"/>
        </w:rPr>
        <w:t xml:space="preserve">This clause </w:t>
      </w:r>
      <w:r w:rsidR="002F3849">
        <w:rPr>
          <w:rFonts w:ascii="Arial" w:hAnsi="Arial" w:cs="Arial"/>
        </w:rPr>
        <w:t xml:space="preserve">provides that </w:t>
      </w:r>
      <w:r w:rsidR="00CF3E10">
        <w:rPr>
          <w:rFonts w:ascii="Arial" w:hAnsi="Arial" w:cs="Arial"/>
        </w:rPr>
        <w:t>the</w:t>
      </w:r>
      <w:r w:rsidR="0085536D">
        <w:rPr>
          <w:rFonts w:ascii="Arial" w:hAnsi="Arial" w:cs="Arial"/>
        </w:rPr>
        <w:t xml:space="preserve"> previous Guidelines</w:t>
      </w:r>
      <w:r w:rsidR="002F3849">
        <w:rPr>
          <w:rFonts w:ascii="Arial" w:hAnsi="Arial" w:cs="Arial"/>
        </w:rPr>
        <w:t xml:space="preserve"> are amended as set out in Schedule 1</w:t>
      </w:r>
      <w:r w:rsidR="002F3849">
        <w:rPr>
          <w:rFonts w:ascii="Arial" w:hAnsi="Arial" w:cs="Arial"/>
          <w:i/>
        </w:rPr>
        <w:t>.</w:t>
      </w:r>
    </w:p>
    <w:p w:rsidR="002F3849" w:rsidRPr="002F3849" w:rsidRDefault="002F3849" w:rsidP="00A03FEA">
      <w:pPr>
        <w:pStyle w:val="ACMABodyText"/>
        <w:rPr>
          <w:rFonts w:ascii="Arial" w:hAnsi="Arial" w:cs="Arial"/>
          <w:b/>
          <w:u w:val="single"/>
        </w:rPr>
      </w:pPr>
      <w:r w:rsidRPr="002F3849">
        <w:rPr>
          <w:rFonts w:ascii="Arial" w:hAnsi="Arial" w:cs="Arial"/>
          <w:b/>
          <w:u w:val="single"/>
        </w:rPr>
        <w:t>Schedule 1 – Amendments</w:t>
      </w:r>
    </w:p>
    <w:p w:rsidR="002F3849" w:rsidRPr="009F3681" w:rsidRDefault="002F3849" w:rsidP="00A03FEA">
      <w:pPr>
        <w:pStyle w:val="ACMABodyText"/>
        <w:rPr>
          <w:rFonts w:ascii="Arial" w:hAnsi="Arial" w:cs="Arial"/>
          <w:b/>
        </w:rPr>
      </w:pPr>
      <w:r w:rsidRPr="009F3681">
        <w:rPr>
          <w:rFonts w:ascii="Arial" w:hAnsi="Arial" w:cs="Arial"/>
          <w:b/>
        </w:rPr>
        <w:t>Item [1]</w:t>
      </w:r>
      <w:r w:rsidR="00F408CC">
        <w:rPr>
          <w:rFonts w:ascii="Arial" w:hAnsi="Arial" w:cs="Arial"/>
          <w:b/>
        </w:rPr>
        <w:t xml:space="preserve"> Title</w:t>
      </w:r>
    </w:p>
    <w:p w:rsidR="002F3849" w:rsidRDefault="009F3681" w:rsidP="00A03FEA">
      <w:pPr>
        <w:pStyle w:val="ACMABodyText"/>
        <w:rPr>
          <w:rFonts w:ascii="Arial" w:hAnsi="Arial" w:cs="Arial"/>
        </w:rPr>
      </w:pPr>
      <w:r>
        <w:rPr>
          <w:rFonts w:ascii="Arial" w:hAnsi="Arial" w:cs="Arial"/>
        </w:rPr>
        <w:t xml:space="preserve">Item 1 </w:t>
      </w:r>
      <w:r w:rsidR="00A97719">
        <w:rPr>
          <w:rFonts w:ascii="Arial" w:hAnsi="Arial" w:cs="Arial"/>
        </w:rPr>
        <w:t>substitutes</w:t>
      </w:r>
      <w:r>
        <w:rPr>
          <w:rFonts w:ascii="Arial" w:hAnsi="Arial" w:cs="Arial"/>
        </w:rPr>
        <w:t xml:space="preserve"> the title of the previous Guidelines </w:t>
      </w:r>
      <w:r w:rsidR="00A97719">
        <w:rPr>
          <w:rFonts w:ascii="Arial" w:hAnsi="Arial" w:cs="Arial"/>
        </w:rPr>
        <w:t>with</w:t>
      </w:r>
      <w:r>
        <w:rPr>
          <w:rFonts w:ascii="Arial" w:hAnsi="Arial" w:cs="Arial"/>
        </w:rPr>
        <w:t xml:space="preserve"> ‘Native Title (Provision of Financia</w:t>
      </w:r>
      <w:r w:rsidR="00F408CC">
        <w:rPr>
          <w:rFonts w:ascii="Arial" w:hAnsi="Arial" w:cs="Arial"/>
        </w:rPr>
        <w:t>l Assistance) Guidelines 2006’ to conform</w:t>
      </w:r>
      <w:r w:rsidR="0085536D">
        <w:rPr>
          <w:rFonts w:ascii="Arial" w:hAnsi="Arial" w:cs="Arial"/>
        </w:rPr>
        <w:t xml:space="preserve"> </w:t>
      </w:r>
      <w:proofErr w:type="gramStart"/>
      <w:r w:rsidR="0085536D">
        <w:rPr>
          <w:rFonts w:ascii="Arial" w:hAnsi="Arial" w:cs="Arial"/>
        </w:rPr>
        <w:t>with</w:t>
      </w:r>
      <w:proofErr w:type="gramEnd"/>
      <w:r w:rsidR="0085536D">
        <w:rPr>
          <w:rFonts w:ascii="Arial" w:hAnsi="Arial" w:cs="Arial"/>
        </w:rPr>
        <w:t xml:space="preserve"> the</w:t>
      </w:r>
      <w:r>
        <w:rPr>
          <w:rFonts w:ascii="Arial" w:hAnsi="Arial" w:cs="Arial"/>
        </w:rPr>
        <w:t xml:space="preserve"> usual convention for titling</w:t>
      </w:r>
      <w:r w:rsidR="0085536D">
        <w:rPr>
          <w:rFonts w:ascii="Arial" w:hAnsi="Arial" w:cs="Arial"/>
        </w:rPr>
        <w:t xml:space="preserve"> of</w:t>
      </w:r>
      <w:r>
        <w:rPr>
          <w:rFonts w:ascii="Arial" w:hAnsi="Arial" w:cs="Arial"/>
        </w:rPr>
        <w:t xml:space="preserve"> legislative instruments.</w:t>
      </w:r>
    </w:p>
    <w:p w:rsidR="009F3681" w:rsidRPr="009F3681" w:rsidRDefault="009F3681" w:rsidP="00A03FEA">
      <w:pPr>
        <w:pStyle w:val="ACMABodyText"/>
        <w:rPr>
          <w:rFonts w:ascii="Arial" w:hAnsi="Arial" w:cs="Arial"/>
          <w:b/>
        </w:rPr>
      </w:pPr>
      <w:bookmarkStart w:id="2" w:name="OLE_LINK3"/>
      <w:bookmarkStart w:id="3" w:name="OLE_LINK4"/>
      <w:r w:rsidRPr="009F3681">
        <w:rPr>
          <w:rFonts w:ascii="Arial" w:hAnsi="Arial" w:cs="Arial"/>
          <w:b/>
        </w:rPr>
        <w:t>Item [2]</w:t>
      </w:r>
      <w:r w:rsidR="00F408CC">
        <w:rPr>
          <w:rFonts w:ascii="Arial" w:hAnsi="Arial" w:cs="Arial"/>
          <w:b/>
        </w:rPr>
        <w:t xml:space="preserve"> Item 54</w:t>
      </w:r>
    </w:p>
    <w:p w:rsidR="00312BAC" w:rsidRDefault="009F3681" w:rsidP="00A03FEA">
      <w:pPr>
        <w:pStyle w:val="ACMABodyText"/>
        <w:rPr>
          <w:rFonts w:ascii="Arial" w:hAnsi="Arial" w:cs="Arial"/>
        </w:rPr>
      </w:pPr>
      <w:r>
        <w:rPr>
          <w:rFonts w:ascii="Arial" w:hAnsi="Arial" w:cs="Arial"/>
        </w:rPr>
        <w:t xml:space="preserve">Item 2 amends paragraph 54 of the previous Guidelines to </w:t>
      </w:r>
      <w:r w:rsidR="00F408CC">
        <w:rPr>
          <w:rFonts w:ascii="Arial" w:hAnsi="Arial" w:cs="Arial"/>
        </w:rPr>
        <w:t xml:space="preserve">remove reference to the ‘scale of costs set out in Schedule 2 to the Federal Court Rules’.  The amendment </w:t>
      </w:r>
      <w:r>
        <w:rPr>
          <w:rFonts w:ascii="Arial" w:hAnsi="Arial" w:cs="Arial"/>
        </w:rPr>
        <w:t>provide</w:t>
      </w:r>
      <w:r w:rsidR="00F408CC">
        <w:rPr>
          <w:rFonts w:ascii="Arial" w:hAnsi="Arial" w:cs="Arial"/>
        </w:rPr>
        <w:t>s</w:t>
      </w:r>
      <w:r>
        <w:rPr>
          <w:rFonts w:ascii="Arial" w:hAnsi="Arial" w:cs="Arial"/>
        </w:rPr>
        <w:t xml:space="preserve"> that</w:t>
      </w:r>
      <w:r w:rsidR="00312BAC">
        <w:rPr>
          <w:rFonts w:ascii="Arial" w:hAnsi="Arial" w:cs="Arial"/>
        </w:rPr>
        <w:t xml:space="preserve"> t</w:t>
      </w:r>
      <w:r>
        <w:rPr>
          <w:rFonts w:ascii="Arial" w:hAnsi="Arial" w:cs="Arial"/>
        </w:rPr>
        <w:t xml:space="preserve">he provision of assistance </w:t>
      </w:r>
      <w:bookmarkEnd w:id="2"/>
      <w:bookmarkEnd w:id="3"/>
      <w:r w:rsidR="00BA4A16">
        <w:rPr>
          <w:rFonts w:ascii="Arial" w:hAnsi="Arial" w:cs="Arial"/>
        </w:rPr>
        <w:t>for</w:t>
      </w:r>
      <w:r>
        <w:rPr>
          <w:rFonts w:ascii="Arial" w:hAnsi="Arial" w:cs="Arial"/>
        </w:rPr>
        <w:t xml:space="preserve"> solicitor’s fees may only be authorised</w:t>
      </w:r>
      <w:r w:rsidR="00312BAC">
        <w:rPr>
          <w:rFonts w:ascii="Arial" w:hAnsi="Arial" w:cs="Arial"/>
        </w:rPr>
        <w:t xml:space="preserve"> for reasonable costs which are to be determined as follow</w:t>
      </w:r>
      <w:r w:rsidR="0085536D">
        <w:rPr>
          <w:rFonts w:ascii="Arial" w:hAnsi="Arial" w:cs="Arial"/>
        </w:rPr>
        <w:t>s</w:t>
      </w:r>
      <w:r w:rsidR="00312BAC">
        <w:rPr>
          <w:rFonts w:ascii="Arial" w:hAnsi="Arial" w:cs="Arial"/>
        </w:rPr>
        <w:t>:</w:t>
      </w:r>
    </w:p>
    <w:p w:rsidR="009F3681" w:rsidRDefault="00312BAC" w:rsidP="00312BAC">
      <w:pPr>
        <w:pStyle w:val="ACMABodyText"/>
        <w:numPr>
          <w:ilvl w:val="0"/>
          <w:numId w:val="13"/>
        </w:numPr>
        <w:rPr>
          <w:rFonts w:ascii="Arial" w:hAnsi="Arial" w:cs="Arial"/>
        </w:rPr>
      </w:pPr>
      <w:r>
        <w:rPr>
          <w:rFonts w:ascii="Arial" w:hAnsi="Arial" w:cs="Arial"/>
        </w:rPr>
        <w:t xml:space="preserve">By reference to the </w:t>
      </w:r>
      <w:r w:rsidR="00F408CC">
        <w:rPr>
          <w:rFonts w:ascii="Arial" w:hAnsi="Arial" w:cs="Arial"/>
        </w:rPr>
        <w:t xml:space="preserve">document titled </w:t>
      </w:r>
      <w:r>
        <w:rPr>
          <w:rFonts w:ascii="Arial" w:hAnsi="Arial" w:cs="Arial"/>
        </w:rPr>
        <w:t>‘Assessment of Costs in Native Title Matter</w:t>
      </w:r>
      <w:r w:rsidR="00F408CC">
        <w:rPr>
          <w:rFonts w:ascii="Arial" w:hAnsi="Arial" w:cs="Arial"/>
        </w:rPr>
        <w:t>s</w:t>
      </w:r>
      <w:r w:rsidR="007B22B3">
        <w:rPr>
          <w:rFonts w:ascii="Arial" w:hAnsi="Arial" w:cs="Arial"/>
        </w:rPr>
        <w:t>’</w:t>
      </w:r>
      <w:r>
        <w:rPr>
          <w:rFonts w:ascii="Arial" w:hAnsi="Arial" w:cs="Arial"/>
        </w:rPr>
        <w:t xml:space="preserve"> published by the Department in September 2011 at the hourly rate of $290 (including GST) for a solicitor, worked out on a </w:t>
      </w:r>
      <w:r w:rsidR="00BA4A16">
        <w:rPr>
          <w:rFonts w:ascii="Arial" w:hAnsi="Arial" w:cs="Arial"/>
        </w:rPr>
        <w:br/>
      </w:r>
      <w:r>
        <w:rPr>
          <w:rFonts w:ascii="Arial" w:hAnsi="Arial" w:cs="Arial"/>
        </w:rPr>
        <w:t>pro-</w:t>
      </w:r>
      <w:r w:rsidR="00BA4A16">
        <w:rPr>
          <w:rFonts w:ascii="Arial" w:hAnsi="Arial" w:cs="Arial"/>
        </w:rPr>
        <w:t>r</w:t>
      </w:r>
      <w:r>
        <w:rPr>
          <w:rFonts w:ascii="Arial" w:hAnsi="Arial" w:cs="Arial"/>
        </w:rPr>
        <w:t>ata basis to the nearest minute;</w:t>
      </w:r>
    </w:p>
    <w:p w:rsidR="00312BAC" w:rsidRDefault="00312BAC" w:rsidP="00312BAC">
      <w:pPr>
        <w:pStyle w:val="ACMABodyText"/>
        <w:numPr>
          <w:ilvl w:val="0"/>
          <w:numId w:val="13"/>
        </w:numPr>
        <w:rPr>
          <w:rFonts w:ascii="Arial" w:hAnsi="Arial" w:cs="Arial"/>
        </w:rPr>
      </w:pPr>
      <w:r>
        <w:rPr>
          <w:rFonts w:ascii="Arial" w:hAnsi="Arial" w:cs="Arial"/>
        </w:rPr>
        <w:t>Without any uplift for care, skill and responsibility;</w:t>
      </w:r>
    </w:p>
    <w:p w:rsidR="00312BAC" w:rsidRDefault="00312BAC" w:rsidP="00312BAC">
      <w:pPr>
        <w:pStyle w:val="ACMABodyText"/>
        <w:numPr>
          <w:ilvl w:val="0"/>
          <w:numId w:val="13"/>
        </w:numPr>
        <w:rPr>
          <w:rFonts w:ascii="Arial" w:hAnsi="Arial" w:cs="Arial"/>
        </w:rPr>
      </w:pPr>
      <w:r>
        <w:rPr>
          <w:rFonts w:ascii="Arial" w:hAnsi="Arial" w:cs="Arial"/>
        </w:rPr>
        <w:t>At a maximum rate of $27.50 per hour for administrative staff;</w:t>
      </w:r>
    </w:p>
    <w:p w:rsidR="00312BAC" w:rsidRDefault="00312BAC" w:rsidP="00312BAC">
      <w:pPr>
        <w:pStyle w:val="ACMABodyText"/>
        <w:numPr>
          <w:ilvl w:val="0"/>
          <w:numId w:val="13"/>
        </w:numPr>
        <w:rPr>
          <w:rFonts w:ascii="Arial" w:hAnsi="Arial" w:cs="Arial"/>
        </w:rPr>
      </w:pPr>
      <w:r>
        <w:rPr>
          <w:rFonts w:ascii="Arial" w:hAnsi="Arial" w:cs="Arial"/>
        </w:rPr>
        <w:t>At a maximum rate of $66 per hour for a paralegal or article</w:t>
      </w:r>
      <w:r w:rsidR="007B22B3">
        <w:rPr>
          <w:rFonts w:ascii="Arial" w:hAnsi="Arial" w:cs="Arial"/>
        </w:rPr>
        <w:t>d</w:t>
      </w:r>
      <w:r>
        <w:rPr>
          <w:rFonts w:ascii="Arial" w:hAnsi="Arial" w:cs="Arial"/>
        </w:rPr>
        <w:t xml:space="preserve"> clerk who is not a legal practitioner.</w:t>
      </w:r>
    </w:p>
    <w:p w:rsidR="00A25903" w:rsidRPr="009F3681" w:rsidRDefault="00A25903" w:rsidP="00A25903">
      <w:pPr>
        <w:pStyle w:val="ACMABodyText"/>
        <w:rPr>
          <w:rFonts w:ascii="Arial" w:hAnsi="Arial" w:cs="Arial"/>
          <w:b/>
        </w:rPr>
      </w:pPr>
      <w:r>
        <w:rPr>
          <w:rFonts w:ascii="Arial" w:hAnsi="Arial" w:cs="Arial"/>
          <w:b/>
        </w:rPr>
        <w:t>Item [3</w:t>
      </w:r>
      <w:r w:rsidRPr="009F3681">
        <w:rPr>
          <w:rFonts w:ascii="Arial" w:hAnsi="Arial" w:cs="Arial"/>
          <w:b/>
        </w:rPr>
        <w:t>]</w:t>
      </w:r>
      <w:r>
        <w:rPr>
          <w:rFonts w:ascii="Arial" w:hAnsi="Arial" w:cs="Arial"/>
          <w:b/>
        </w:rPr>
        <w:t xml:space="preserve"> Item 85</w:t>
      </w:r>
    </w:p>
    <w:p w:rsidR="00F6194C" w:rsidRPr="00F6194C" w:rsidRDefault="00A25903" w:rsidP="00A25903">
      <w:pPr>
        <w:pStyle w:val="ACMABodyText"/>
        <w:rPr>
          <w:rFonts w:ascii="Arial" w:hAnsi="Arial" w:cs="Arial"/>
        </w:rPr>
      </w:pPr>
      <w:r>
        <w:rPr>
          <w:rFonts w:ascii="Arial" w:hAnsi="Arial" w:cs="Arial"/>
        </w:rPr>
        <w:t xml:space="preserve">Item 3 </w:t>
      </w:r>
      <w:r w:rsidR="009F2080">
        <w:rPr>
          <w:rFonts w:ascii="Arial" w:hAnsi="Arial" w:cs="Arial"/>
        </w:rPr>
        <w:t xml:space="preserve">amends </w:t>
      </w:r>
      <w:r>
        <w:rPr>
          <w:rFonts w:ascii="Arial" w:hAnsi="Arial" w:cs="Arial"/>
        </w:rPr>
        <w:t xml:space="preserve">paragraph </w:t>
      </w:r>
      <w:r w:rsidR="009F2080">
        <w:rPr>
          <w:rFonts w:ascii="Arial" w:hAnsi="Arial" w:cs="Arial"/>
        </w:rPr>
        <w:t>85 of the previous Guidelines. The amendment provides that</w:t>
      </w:r>
      <w:r w:rsidR="00DF609F">
        <w:rPr>
          <w:rFonts w:ascii="Arial" w:hAnsi="Arial" w:cs="Arial"/>
        </w:rPr>
        <w:t xml:space="preserve"> a</w:t>
      </w:r>
      <w:r w:rsidR="009F2080">
        <w:rPr>
          <w:rFonts w:ascii="Arial" w:hAnsi="Arial" w:cs="Arial"/>
        </w:rPr>
        <w:t xml:space="preserve"> legal practitioner’s invoice</w:t>
      </w:r>
      <w:r w:rsidR="00BA4A16">
        <w:rPr>
          <w:rFonts w:ascii="Arial" w:hAnsi="Arial" w:cs="Arial"/>
        </w:rPr>
        <w:t xml:space="preserve"> must contain sufficient information </w:t>
      </w:r>
      <w:r w:rsidR="00DF609F">
        <w:rPr>
          <w:rFonts w:ascii="Arial" w:hAnsi="Arial" w:cs="Arial"/>
        </w:rPr>
        <w:t xml:space="preserve">for assessment of reasonable costs before payment </w:t>
      </w:r>
      <w:r w:rsidR="00F6194C">
        <w:rPr>
          <w:rFonts w:ascii="Arial" w:hAnsi="Arial" w:cs="Arial"/>
        </w:rPr>
        <w:t>can</w:t>
      </w:r>
      <w:r w:rsidR="00DF609F">
        <w:rPr>
          <w:rFonts w:ascii="Arial" w:hAnsi="Arial" w:cs="Arial"/>
        </w:rPr>
        <w:t xml:space="preserve"> be made</w:t>
      </w:r>
      <w:r w:rsidR="00BA4A16">
        <w:rPr>
          <w:rFonts w:ascii="Arial" w:hAnsi="Arial" w:cs="Arial"/>
        </w:rPr>
        <w:t>.  A</w:t>
      </w:r>
      <w:r w:rsidR="009F2080">
        <w:rPr>
          <w:rFonts w:ascii="Arial" w:hAnsi="Arial" w:cs="Arial"/>
        </w:rPr>
        <w:t xml:space="preserve">ny incomplete invoice will be returned unassessed. </w:t>
      </w:r>
    </w:p>
    <w:p w:rsidR="00A25903" w:rsidRPr="009F3681" w:rsidRDefault="00A25903" w:rsidP="00A25903">
      <w:pPr>
        <w:pStyle w:val="ACMABodyText"/>
        <w:rPr>
          <w:rFonts w:ascii="Arial" w:hAnsi="Arial" w:cs="Arial"/>
          <w:b/>
        </w:rPr>
      </w:pPr>
      <w:r>
        <w:rPr>
          <w:rFonts w:ascii="Arial" w:hAnsi="Arial" w:cs="Arial"/>
          <w:b/>
        </w:rPr>
        <w:t>Item [4</w:t>
      </w:r>
      <w:r w:rsidRPr="009F3681">
        <w:rPr>
          <w:rFonts w:ascii="Arial" w:hAnsi="Arial" w:cs="Arial"/>
          <w:b/>
        </w:rPr>
        <w:t>]</w:t>
      </w:r>
      <w:r>
        <w:rPr>
          <w:rFonts w:ascii="Arial" w:hAnsi="Arial" w:cs="Arial"/>
          <w:b/>
        </w:rPr>
        <w:t xml:space="preserve"> Item 85A</w:t>
      </w:r>
    </w:p>
    <w:p w:rsidR="009F2080" w:rsidRDefault="00A25903" w:rsidP="00A25903">
      <w:pPr>
        <w:pStyle w:val="ACMABodyText"/>
        <w:rPr>
          <w:rFonts w:ascii="Arial" w:hAnsi="Arial" w:cs="Arial"/>
        </w:rPr>
      </w:pPr>
      <w:r>
        <w:rPr>
          <w:rFonts w:ascii="Arial" w:hAnsi="Arial" w:cs="Arial"/>
        </w:rPr>
        <w:t xml:space="preserve">Item </w:t>
      </w:r>
      <w:r w:rsidR="009F2080">
        <w:rPr>
          <w:rFonts w:ascii="Arial" w:hAnsi="Arial" w:cs="Arial"/>
        </w:rPr>
        <w:t>4 inserts a new</w:t>
      </w:r>
      <w:r>
        <w:rPr>
          <w:rFonts w:ascii="Arial" w:hAnsi="Arial" w:cs="Arial"/>
        </w:rPr>
        <w:t xml:space="preserve"> paragraph</w:t>
      </w:r>
      <w:r w:rsidR="00DC2D1A">
        <w:rPr>
          <w:rFonts w:ascii="Arial" w:hAnsi="Arial" w:cs="Arial"/>
        </w:rPr>
        <w:t xml:space="preserve"> </w:t>
      </w:r>
      <w:r>
        <w:rPr>
          <w:rFonts w:ascii="Arial" w:hAnsi="Arial" w:cs="Arial"/>
        </w:rPr>
        <w:t>to</w:t>
      </w:r>
      <w:r w:rsidR="009F2080">
        <w:rPr>
          <w:rFonts w:ascii="Arial" w:hAnsi="Arial" w:cs="Arial"/>
        </w:rPr>
        <w:t xml:space="preserve"> provide that </w:t>
      </w:r>
      <w:r w:rsidR="00E318FD">
        <w:rPr>
          <w:rFonts w:ascii="Arial" w:hAnsi="Arial" w:cs="Arial"/>
        </w:rPr>
        <w:t xml:space="preserve">an </w:t>
      </w:r>
      <w:r w:rsidR="009F2080">
        <w:rPr>
          <w:rFonts w:ascii="Arial" w:hAnsi="Arial" w:cs="Arial"/>
        </w:rPr>
        <w:t>invoice under a grant</w:t>
      </w:r>
      <w:r w:rsidR="00DF609F">
        <w:rPr>
          <w:rFonts w:ascii="Arial" w:hAnsi="Arial" w:cs="Arial"/>
        </w:rPr>
        <w:t xml:space="preserve"> providing assistance</w:t>
      </w:r>
      <w:r w:rsidR="009F2080">
        <w:rPr>
          <w:rFonts w:ascii="Arial" w:hAnsi="Arial" w:cs="Arial"/>
        </w:rPr>
        <w:t xml:space="preserve"> must be submitted for each grant period and that the invoice periods must not overlap across consecutive grants.  Item 4 also states that invoices must be submitted within 30 days of</w:t>
      </w:r>
      <w:r w:rsidR="00BA4A16">
        <w:rPr>
          <w:rFonts w:ascii="Arial" w:hAnsi="Arial" w:cs="Arial"/>
        </w:rPr>
        <w:t xml:space="preserve"> the expiration of the grant.  A</w:t>
      </w:r>
      <w:r w:rsidR="009F2080">
        <w:rPr>
          <w:rFonts w:ascii="Arial" w:hAnsi="Arial" w:cs="Arial"/>
        </w:rPr>
        <w:t xml:space="preserve">ny remaining grant funds </w:t>
      </w:r>
      <w:r w:rsidR="00E318FD">
        <w:rPr>
          <w:rFonts w:ascii="Arial" w:hAnsi="Arial" w:cs="Arial"/>
        </w:rPr>
        <w:t>will</w:t>
      </w:r>
      <w:r w:rsidR="009F2080">
        <w:rPr>
          <w:rFonts w:ascii="Arial" w:hAnsi="Arial" w:cs="Arial"/>
        </w:rPr>
        <w:t xml:space="preserve"> be decommitted at that time.</w:t>
      </w:r>
      <w:r>
        <w:rPr>
          <w:rFonts w:ascii="Arial" w:hAnsi="Arial" w:cs="Arial"/>
        </w:rPr>
        <w:t xml:space="preserve"> </w:t>
      </w:r>
    </w:p>
    <w:sectPr w:rsidR="009F2080" w:rsidSect="004E7B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32125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DC3C40"/>
    <w:multiLevelType w:val="hybridMultilevel"/>
    <w:tmpl w:val="A0661B34"/>
    <w:lvl w:ilvl="0" w:tplc="0C090001">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6D40D8"/>
    <w:multiLevelType w:val="hybridMultilevel"/>
    <w:tmpl w:val="C1F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C0F534F"/>
    <w:multiLevelType w:val="hybridMultilevel"/>
    <w:tmpl w:val="A07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E264F2"/>
    <w:multiLevelType w:val="hybridMultilevel"/>
    <w:tmpl w:val="E2C8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AA4FC0"/>
    <w:multiLevelType w:val="hybridMultilevel"/>
    <w:tmpl w:val="95D6AC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6B056EBF"/>
    <w:multiLevelType w:val="hybridMultilevel"/>
    <w:tmpl w:val="EE34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2"/>
  </w:num>
  <w:num w:numId="6">
    <w:abstractNumId w:val="1"/>
    <w:lvlOverride w:ilvl="0">
      <w:startOverride w:val="1"/>
    </w:lvlOverride>
  </w:num>
  <w:num w:numId="7">
    <w:abstractNumId w:val="1"/>
  </w:num>
  <w:num w:numId="8">
    <w:abstractNumId w:val="1"/>
  </w:num>
  <w:num w:numId="9">
    <w:abstractNumId w:val="1"/>
  </w:num>
  <w:num w:numId="10">
    <w:abstractNumId w:val="0"/>
  </w:num>
  <w:num w:numId="11">
    <w:abstractNumId w:val="12"/>
  </w:num>
  <w:num w:numId="12">
    <w:abstractNumId w:val="11"/>
  </w:num>
  <w:num w:numId="13">
    <w:abstractNumId w:val="10"/>
  </w:num>
  <w:num w:numId="14">
    <w:abstractNumId w:val="7"/>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FEA"/>
    <w:rsid w:val="000048FD"/>
    <w:rsid w:val="00013498"/>
    <w:rsid w:val="0002664E"/>
    <w:rsid w:val="00063B24"/>
    <w:rsid w:val="00092082"/>
    <w:rsid w:val="000949A1"/>
    <w:rsid w:val="000973ED"/>
    <w:rsid w:val="000A0116"/>
    <w:rsid w:val="000C50A2"/>
    <w:rsid w:val="000E266B"/>
    <w:rsid w:val="000F71DE"/>
    <w:rsid w:val="00111C72"/>
    <w:rsid w:val="00115FAD"/>
    <w:rsid w:val="00132FC4"/>
    <w:rsid w:val="001350D0"/>
    <w:rsid w:val="001358C6"/>
    <w:rsid w:val="00183744"/>
    <w:rsid w:val="0019237C"/>
    <w:rsid w:val="001B74D7"/>
    <w:rsid w:val="001C05D6"/>
    <w:rsid w:val="001F060A"/>
    <w:rsid w:val="001F0FA5"/>
    <w:rsid w:val="002446F3"/>
    <w:rsid w:val="00274F4F"/>
    <w:rsid w:val="00290278"/>
    <w:rsid w:val="002B5A6B"/>
    <w:rsid w:val="002F3849"/>
    <w:rsid w:val="00312BAC"/>
    <w:rsid w:val="0032051B"/>
    <w:rsid w:val="0032118E"/>
    <w:rsid w:val="00327082"/>
    <w:rsid w:val="00346715"/>
    <w:rsid w:val="00376FF3"/>
    <w:rsid w:val="00391219"/>
    <w:rsid w:val="003A0E80"/>
    <w:rsid w:val="003A1D90"/>
    <w:rsid w:val="004129F6"/>
    <w:rsid w:val="00430949"/>
    <w:rsid w:val="004636E5"/>
    <w:rsid w:val="0047277D"/>
    <w:rsid w:val="004C0BD1"/>
    <w:rsid w:val="004E7B0D"/>
    <w:rsid w:val="004F1F0F"/>
    <w:rsid w:val="00533FBE"/>
    <w:rsid w:val="00555DBE"/>
    <w:rsid w:val="005969AB"/>
    <w:rsid w:val="005B6291"/>
    <w:rsid w:val="005E6A30"/>
    <w:rsid w:val="005E7173"/>
    <w:rsid w:val="005F458D"/>
    <w:rsid w:val="00602B83"/>
    <w:rsid w:val="00612A41"/>
    <w:rsid w:val="006224D7"/>
    <w:rsid w:val="00630112"/>
    <w:rsid w:val="0066498A"/>
    <w:rsid w:val="006733A1"/>
    <w:rsid w:val="00694102"/>
    <w:rsid w:val="006C26D1"/>
    <w:rsid w:val="006F5B94"/>
    <w:rsid w:val="00753F6E"/>
    <w:rsid w:val="00756B0C"/>
    <w:rsid w:val="0075775A"/>
    <w:rsid w:val="0076635B"/>
    <w:rsid w:val="00777FD8"/>
    <w:rsid w:val="00783C0D"/>
    <w:rsid w:val="007A094B"/>
    <w:rsid w:val="007A2A02"/>
    <w:rsid w:val="007B22B3"/>
    <w:rsid w:val="007E575A"/>
    <w:rsid w:val="008245E5"/>
    <w:rsid w:val="0084122D"/>
    <w:rsid w:val="0085536D"/>
    <w:rsid w:val="008725CE"/>
    <w:rsid w:val="00893504"/>
    <w:rsid w:val="008A48CC"/>
    <w:rsid w:val="008B0562"/>
    <w:rsid w:val="008D224B"/>
    <w:rsid w:val="008F7DD2"/>
    <w:rsid w:val="00910756"/>
    <w:rsid w:val="00916053"/>
    <w:rsid w:val="00921AB8"/>
    <w:rsid w:val="0094480F"/>
    <w:rsid w:val="009677B9"/>
    <w:rsid w:val="009B5D19"/>
    <w:rsid w:val="009D01EF"/>
    <w:rsid w:val="009E2A70"/>
    <w:rsid w:val="009F2080"/>
    <w:rsid w:val="009F3681"/>
    <w:rsid w:val="009F6E33"/>
    <w:rsid w:val="00A03FEA"/>
    <w:rsid w:val="00A07254"/>
    <w:rsid w:val="00A132F4"/>
    <w:rsid w:val="00A148EF"/>
    <w:rsid w:val="00A15AD6"/>
    <w:rsid w:val="00A25903"/>
    <w:rsid w:val="00A461C0"/>
    <w:rsid w:val="00A66A21"/>
    <w:rsid w:val="00A750C4"/>
    <w:rsid w:val="00A90555"/>
    <w:rsid w:val="00A94BD6"/>
    <w:rsid w:val="00A97719"/>
    <w:rsid w:val="00AD4320"/>
    <w:rsid w:val="00AE233A"/>
    <w:rsid w:val="00AE6825"/>
    <w:rsid w:val="00B21D18"/>
    <w:rsid w:val="00B32E5C"/>
    <w:rsid w:val="00B46DD3"/>
    <w:rsid w:val="00B47402"/>
    <w:rsid w:val="00B53BDA"/>
    <w:rsid w:val="00BA1833"/>
    <w:rsid w:val="00BA4A16"/>
    <w:rsid w:val="00C1353E"/>
    <w:rsid w:val="00C2166A"/>
    <w:rsid w:val="00C73AC2"/>
    <w:rsid w:val="00C743A7"/>
    <w:rsid w:val="00CC5119"/>
    <w:rsid w:val="00CD2118"/>
    <w:rsid w:val="00CF3E10"/>
    <w:rsid w:val="00D131D7"/>
    <w:rsid w:val="00D31756"/>
    <w:rsid w:val="00D33BAE"/>
    <w:rsid w:val="00D34975"/>
    <w:rsid w:val="00D36435"/>
    <w:rsid w:val="00D54CBB"/>
    <w:rsid w:val="00D96DB0"/>
    <w:rsid w:val="00DA09B7"/>
    <w:rsid w:val="00DC2D1A"/>
    <w:rsid w:val="00DD4E4E"/>
    <w:rsid w:val="00DF609F"/>
    <w:rsid w:val="00E0492B"/>
    <w:rsid w:val="00E17012"/>
    <w:rsid w:val="00E20FE0"/>
    <w:rsid w:val="00E308E2"/>
    <w:rsid w:val="00E318FD"/>
    <w:rsid w:val="00E43220"/>
    <w:rsid w:val="00E53290"/>
    <w:rsid w:val="00E617E1"/>
    <w:rsid w:val="00E752BE"/>
    <w:rsid w:val="00E96D65"/>
    <w:rsid w:val="00EF3689"/>
    <w:rsid w:val="00EF4C0A"/>
    <w:rsid w:val="00F23B85"/>
    <w:rsid w:val="00F30FA4"/>
    <w:rsid w:val="00F408CC"/>
    <w:rsid w:val="00F45FBC"/>
    <w:rsid w:val="00F6194C"/>
    <w:rsid w:val="00FD365B"/>
    <w:rsid w:val="00FE0590"/>
    <w:rsid w:val="00FE0CDC"/>
    <w:rsid w:val="00FF082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CMABodyText"/>
    <w:qFormat/>
    <w:rsid w:val="0084122D"/>
    <w:pPr>
      <w:spacing w:before="80" w:after="120" w:line="280" w:lineRule="atLeast"/>
    </w:pPr>
    <w:rPr>
      <w:sz w:val="24"/>
      <w:szCs w:val="24"/>
      <w:lang w:eastAsia="en-US"/>
    </w:rPr>
  </w:style>
  <w:style w:type="paragraph" w:styleId="Heading1">
    <w:name w:val="heading 1"/>
    <w:basedOn w:val="ACMAHeading1"/>
    <w:next w:val="ACMABodyText"/>
    <w:qFormat/>
    <w:rsid w:val="0084122D"/>
    <w:pPr>
      <w:outlineLvl w:val="0"/>
    </w:pPr>
    <w:rPr>
      <w:rFonts w:cs="Arial"/>
      <w:bCs/>
    </w:rPr>
  </w:style>
  <w:style w:type="paragraph" w:styleId="Heading2">
    <w:name w:val="heading 2"/>
    <w:basedOn w:val="Normal"/>
    <w:next w:val="Normal"/>
    <w:link w:val="Heading2Char"/>
    <w:qFormat/>
    <w:rsid w:val="00A03FEA"/>
    <w:pPr>
      <w:keepNext/>
      <w:spacing w:before="60" w:after="60" w:line="240" w:lineRule="atLeast"/>
      <w:outlineLvl w:val="1"/>
    </w:pPr>
    <w:rPr>
      <w:rFonts w:ascii="HelveticaNeueLT Std" w:hAnsi="HelveticaNeueLT Std" w:cs="Arial"/>
      <w:b/>
      <w:bCs/>
      <w:iCs/>
      <w:sz w:val="28"/>
      <w:szCs w:val="2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013498"/>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013498"/>
    <w:rPr>
      <w:i/>
      <w:lang w:eastAsia="en-US"/>
    </w:rPr>
  </w:style>
  <w:style w:type="paragraph" w:customStyle="1" w:styleId="ACMAHeaderOdd">
    <w:name w:val="ACMA Header (Odd)"/>
    <w:rsid w:val="00013498"/>
    <w:pPr>
      <w:jc w:val="right"/>
    </w:pPr>
    <w:rPr>
      <w:i/>
      <w:lang w:eastAsia="en-US"/>
    </w:rPr>
  </w:style>
  <w:style w:type="paragraph" w:customStyle="1" w:styleId="ACMAHeading1">
    <w:name w:val="ACMA Heading 1"/>
    <w:next w:val="ACMABodyText"/>
    <w:rsid w:val="00013498"/>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013498"/>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rsid w:val="00013498"/>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paragraph" w:styleId="ListBullet">
    <w:name w:val="List Bullet"/>
    <w:basedOn w:val="Normal"/>
    <w:rsid w:val="00A03FEA"/>
    <w:pPr>
      <w:numPr>
        <w:numId w:val="10"/>
      </w:numPr>
      <w:spacing w:before="0" w:after="80" w:line="240" w:lineRule="atLeast"/>
    </w:pPr>
    <w:rPr>
      <w:rFonts w:ascii="HelveticaNeueLT Std Lt" w:hAnsi="HelveticaNeueLT Std Lt"/>
      <w:sz w:val="20"/>
      <w:lang w:eastAsia="en-AU"/>
    </w:rPr>
  </w:style>
  <w:style w:type="character" w:customStyle="1" w:styleId="Heading2Char">
    <w:name w:val="Heading 2 Char"/>
    <w:basedOn w:val="DefaultParagraphFont"/>
    <w:link w:val="Heading2"/>
    <w:rsid w:val="00A03FEA"/>
    <w:rPr>
      <w:rFonts w:ascii="HelveticaNeueLT Std" w:hAnsi="HelveticaNeueLT Std" w:cs="Arial"/>
      <w:b/>
      <w:bCs/>
      <w:iCs/>
      <w:sz w:val="28"/>
      <w:szCs w:val="28"/>
    </w:rPr>
  </w:style>
  <w:style w:type="paragraph" w:styleId="ListParagraph">
    <w:name w:val="List Paragraph"/>
    <w:basedOn w:val="Normal"/>
    <w:uiPriority w:val="34"/>
    <w:qFormat/>
    <w:rsid w:val="006C26D1"/>
    <w:pPr>
      <w:ind w:left="720"/>
      <w:contextualSpacing/>
    </w:pPr>
  </w:style>
  <w:style w:type="paragraph" w:customStyle="1" w:styleId="Default">
    <w:name w:val="Default"/>
    <w:link w:val="DefaultChar"/>
    <w:rsid w:val="00327082"/>
    <w:pPr>
      <w:autoSpaceDE w:val="0"/>
      <w:autoSpaceDN w:val="0"/>
      <w:adjustRightInd w:val="0"/>
    </w:pPr>
    <w:rPr>
      <w:color w:val="000000"/>
      <w:sz w:val="24"/>
      <w:szCs w:val="24"/>
    </w:rPr>
  </w:style>
  <w:style w:type="character" w:customStyle="1" w:styleId="DefaultChar">
    <w:name w:val="Default Char"/>
    <w:basedOn w:val="DefaultParagraphFont"/>
    <w:link w:val="Default"/>
    <w:rsid w:val="00327082"/>
    <w:rPr>
      <w:color w:val="000000"/>
      <w:sz w:val="24"/>
      <w:szCs w:val="24"/>
      <w:lang w:val="en-AU" w:eastAsia="en-AU" w:bidi="ar-SA"/>
    </w:rPr>
  </w:style>
  <w:style w:type="paragraph" w:styleId="BalloonText">
    <w:name w:val="Balloon Text"/>
    <w:basedOn w:val="Normal"/>
    <w:link w:val="BalloonTextChar"/>
    <w:rsid w:val="003A1D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D90"/>
    <w:rPr>
      <w:rFonts w:ascii="Tahoma" w:hAnsi="Tahoma" w:cs="Tahoma"/>
      <w:sz w:val="16"/>
      <w:szCs w:val="16"/>
      <w:lang w:eastAsia="en-US"/>
    </w:rPr>
  </w:style>
  <w:style w:type="character" w:styleId="CommentReference">
    <w:name w:val="annotation reference"/>
    <w:basedOn w:val="DefaultParagraphFont"/>
    <w:rsid w:val="00E53290"/>
    <w:rPr>
      <w:sz w:val="16"/>
      <w:szCs w:val="16"/>
    </w:rPr>
  </w:style>
  <w:style w:type="paragraph" w:styleId="CommentText">
    <w:name w:val="annotation text"/>
    <w:basedOn w:val="Normal"/>
    <w:link w:val="CommentTextChar"/>
    <w:rsid w:val="00E53290"/>
    <w:pPr>
      <w:spacing w:line="240" w:lineRule="auto"/>
    </w:pPr>
    <w:rPr>
      <w:sz w:val="20"/>
      <w:szCs w:val="20"/>
    </w:rPr>
  </w:style>
  <w:style w:type="character" w:customStyle="1" w:styleId="CommentTextChar">
    <w:name w:val="Comment Text Char"/>
    <w:basedOn w:val="DefaultParagraphFont"/>
    <w:link w:val="CommentText"/>
    <w:rsid w:val="00E53290"/>
    <w:rPr>
      <w:lang w:eastAsia="en-US"/>
    </w:rPr>
  </w:style>
  <w:style w:type="paragraph" w:styleId="CommentSubject">
    <w:name w:val="annotation subject"/>
    <w:basedOn w:val="CommentText"/>
    <w:next w:val="CommentText"/>
    <w:link w:val="CommentSubjectChar"/>
    <w:rsid w:val="00E53290"/>
    <w:rPr>
      <w:b/>
      <w:bCs/>
    </w:rPr>
  </w:style>
  <w:style w:type="character" w:customStyle="1" w:styleId="CommentSubjectChar">
    <w:name w:val="Comment Subject Char"/>
    <w:basedOn w:val="CommentTextChar"/>
    <w:link w:val="CommentSubject"/>
    <w:rsid w:val="00E53290"/>
    <w:rPr>
      <w:b/>
      <w:bCs/>
    </w:rPr>
  </w:style>
  <w:style w:type="paragraph" w:customStyle="1" w:styleId="A2">
    <w:name w:val="A2"/>
    <w:aliases w:val="1.1 amendment,Instruction amendment"/>
    <w:basedOn w:val="Normal"/>
    <w:next w:val="Normal"/>
    <w:rsid w:val="00A94BD6"/>
    <w:pPr>
      <w:tabs>
        <w:tab w:val="right" w:pos="794"/>
      </w:tabs>
      <w:spacing w:before="120" w:after="0" w:line="260" w:lineRule="exact"/>
      <w:ind w:left="964" w:hanging="964"/>
      <w:jc w:val="both"/>
    </w:pPr>
    <w:rPr>
      <w:lang w:eastAsia="en-AU"/>
    </w:rPr>
  </w:style>
</w:styles>
</file>

<file path=word/webSettings.xml><?xml version="1.0" encoding="utf-8"?>
<w:webSettings xmlns:r="http://schemas.openxmlformats.org/officeDocument/2006/relationships" xmlns:w="http://schemas.openxmlformats.org/wordprocessingml/2006/main">
  <w:divs>
    <w:div w:id="14641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nguyem</dc:creator>
  <cp:lastModifiedBy>Nguyem</cp:lastModifiedBy>
  <cp:revision>2</cp:revision>
  <cp:lastPrinted>2011-09-27T03:23:00Z</cp:lastPrinted>
  <dcterms:created xsi:type="dcterms:W3CDTF">2011-10-04T23:41:00Z</dcterms:created>
  <dcterms:modified xsi:type="dcterms:W3CDTF">2011-10-04T23:41:00Z</dcterms:modified>
</cp:coreProperties>
</file>