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D56" w:rsidRPr="004E2A42" w:rsidRDefault="00035D56" w:rsidP="00035D56">
      <w:pPr>
        <w:pStyle w:val="ACMABodyText"/>
        <w:jc w:val="center"/>
        <w:rPr>
          <w:b/>
        </w:rPr>
      </w:pPr>
    </w:p>
    <w:p w:rsidR="00035D56" w:rsidRDefault="00035D56" w:rsidP="00035D56">
      <w:pPr>
        <w:pStyle w:val="ACMABodyText"/>
        <w:jc w:val="center"/>
        <w:rPr>
          <w:b/>
        </w:rPr>
      </w:pPr>
      <w:r w:rsidRPr="004E2A42">
        <w:rPr>
          <w:b/>
        </w:rPr>
        <w:t>EXPLANATORY STATEMENT</w:t>
      </w:r>
    </w:p>
    <w:p w:rsidR="00035D56" w:rsidRPr="004E2A42" w:rsidRDefault="00035D56" w:rsidP="00035D56">
      <w:pPr>
        <w:pStyle w:val="ACMABodyText"/>
        <w:jc w:val="center"/>
        <w:rPr>
          <w:b/>
        </w:rPr>
      </w:pPr>
      <w:r>
        <w:rPr>
          <w:b/>
        </w:rPr>
        <w:t>Issued by the Australian Communications and Media Authority</w:t>
      </w:r>
    </w:p>
    <w:p w:rsidR="00035D56" w:rsidRDefault="00035D56" w:rsidP="00035D56">
      <w:pPr>
        <w:pStyle w:val="ACMABodyText"/>
        <w:jc w:val="center"/>
        <w:rPr>
          <w:i/>
        </w:rPr>
      </w:pPr>
      <w:r>
        <w:rPr>
          <w:i/>
        </w:rPr>
        <w:t>Telecommunications (Approved Auditors and Auditing Requirements) Determination Variation 2011 (No 1)</w:t>
      </w:r>
    </w:p>
    <w:p w:rsidR="00035D56" w:rsidRDefault="00035D56" w:rsidP="00035D56">
      <w:pPr>
        <w:pStyle w:val="ACMABodyText"/>
        <w:jc w:val="center"/>
        <w:rPr>
          <w:i/>
        </w:rPr>
      </w:pPr>
      <w:r>
        <w:rPr>
          <w:i/>
        </w:rPr>
        <w:t>Telecommunications Act 1997</w:t>
      </w:r>
    </w:p>
    <w:p w:rsidR="00035D56" w:rsidRPr="00303EBD" w:rsidRDefault="00035D56" w:rsidP="00035D56">
      <w:pPr>
        <w:pStyle w:val="ACMABodyText"/>
        <w:jc w:val="center"/>
        <w:rPr>
          <w:i/>
        </w:rPr>
      </w:pPr>
    </w:p>
    <w:p w:rsidR="00035D56" w:rsidRPr="00303EBD" w:rsidRDefault="00035D56" w:rsidP="00035D56">
      <w:pPr>
        <w:pStyle w:val="ACMABodyText"/>
        <w:rPr>
          <w:b/>
        </w:rPr>
      </w:pPr>
      <w:r>
        <w:rPr>
          <w:b/>
        </w:rPr>
        <w:t>Purpose</w:t>
      </w:r>
    </w:p>
    <w:p w:rsidR="00035D56" w:rsidRPr="007E06F0" w:rsidRDefault="00035D56" w:rsidP="00035D56">
      <w:pPr>
        <w:pStyle w:val="ACMABodyText"/>
      </w:pPr>
      <w:r>
        <w:t xml:space="preserve">The purpose of the </w:t>
      </w:r>
      <w:r>
        <w:rPr>
          <w:i/>
        </w:rPr>
        <w:t>Telecommunications (Approved Auditors and Auditing Requirements) Determination Variation 2011 (No 1)</w:t>
      </w:r>
      <w:r>
        <w:t xml:space="preserve"> is to amend the </w:t>
      </w:r>
      <w:r w:rsidRPr="009A75EC">
        <w:rPr>
          <w:i/>
        </w:rPr>
        <w:t>Telecommunications (Approved Auditors and Auditing Requirements) Determination 2006</w:t>
      </w:r>
      <w:r>
        <w:t xml:space="preserve"> (the Determination) so that it prescribes approved auditing requirements that are appropriate to their purpose under, and consistent with the terms of, the </w:t>
      </w:r>
      <w:r>
        <w:rPr>
          <w:i/>
        </w:rPr>
        <w:t>Telecommunications Act 1997</w:t>
      </w:r>
      <w:r>
        <w:t xml:space="preserve"> (the Act).</w:t>
      </w:r>
    </w:p>
    <w:p w:rsidR="00035D56" w:rsidRPr="009A75EC" w:rsidRDefault="00035D56" w:rsidP="00035D56">
      <w:pPr>
        <w:pStyle w:val="ACMABodyText"/>
      </w:pPr>
      <w:r>
        <w:t xml:space="preserve">  </w:t>
      </w:r>
    </w:p>
    <w:p w:rsidR="00035D56" w:rsidRDefault="00035D56" w:rsidP="00035D56">
      <w:pPr>
        <w:pStyle w:val="ACMABodyText"/>
        <w:rPr>
          <w:b/>
        </w:rPr>
      </w:pPr>
      <w:r>
        <w:rPr>
          <w:b/>
        </w:rPr>
        <w:t>Legislative Basis</w:t>
      </w:r>
    </w:p>
    <w:p w:rsidR="00035D56" w:rsidRDefault="00035D56" w:rsidP="00035D56">
      <w:pPr>
        <w:pStyle w:val="ACMABodyText"/>
        <w:rPr>
          <w:color w:val="000000" w:themeColor="text1"/>
        </w:rPr>
      </w:pPr>
      <w:r w:rsidRPr="00403496">
        <w:rPr>
          <w:color w:val="000000" w:themeColor="text1"/>
        </w:rPr>
        <w:t>Telecommunications industry bodies and associations are eligible to apply for reimbursement of the costs of developing</w:t>
      </w:r>
      <w:r>
        <w:rPr>
          <w:color w:val="000000" w:themeColor="text1"/>
        </w:rPr>
        <w:t xml:space="preserve"> consumer-related</w:t>
      </w:r>
      <w:r w:rsidRPr="00403496">
        <w:rPr>
          <w:color w:val="000000" w:themeColor="text1"/>
        </w:rPr>
        <w:t xml:space="preserve"> industry codes</w:t>
      </w:r>
      <w:r>
        <w:rPr>
          <w:color w:val="000000" w:themeColor="text1"/>
        </w:rPr>
        <w:t xml:space="preserve"> in accordance with Division 6A in Part 6 of </w:t>
      </w:r>
      <w:r w:rsidRPr="00403496">
        <w:rPr>
          <w:color w:val="000000" w:themeColor="text1"/>
        </w:rPr>
        <w:t xml:space="preserve">the Act.  </w:t>
      </w:r>
    </w:p>
    <w:p w:rsidR="00035D56" w:rsidRDefault="00035D56" w:rsidP="00035D56">
      <w:pPr>
        <w:pStyle w:val="ACMABodyText"/>
        <w:rPr>
          <w:color w:val="000000" w:themeColor="text1"/>
        </w:rPr>
      </w:pPr>
      <w:r w:rsidRPr="00403496">
        <w:rPr>
          <w:color w:val="000000" w:themeColor="text1"/>
        </w:rPr>
        <w:t>Industry bodies or associations must</w:t>
      </w:r>
      <w:r>
        <w:rPr>
          <w:color w:val="000000" w:themeColor="text1"/>
        </w:rPr>
        <w:t xml:space="preserve"> first</w:t>
      </w:r>
      <w:r w:rsidRPr="00403496">
        <w:rPr>
          <w:color w:val="000000" w:themeColor="text1"/>
        </w:rPr>
        <w:t xml:space="preserve"> make a written application</w:t>
      </w:r>
      <w:r>
        <w:rPr>
          <w:color w:val="000000" w:themeColor="text1"/>
        </w:rPr>
        <w:t xml:space="preserve"> for a declaration of eligibility for reimbursement, and, after submission of the completed code, may submit a claim </w:t>
      </w:r>
      <w:r w:rsidRPr="00403496">
        <w:rPr>
          <w:color w:val="000000" w:themeColor="text1"/>
        </w:rPr>
        <w:t xml:space="preserve">for reimbursement, </w:t>
      </w:r>
      <w:r>
        <w:rPr>
          <w:color w:val="000000" w:themeColor="text1"/>
        </w:rPr>
        <w:t>by submitting</w:t>
      </w:r>
      <w:r w:rsidRPr="00403496">
        <w:rPr>
          <w:color w:val="000000" w:themeColor="text1"/>
        </w:rPr>
        <w:t xml:space="preserve"> a</w:t>
      </w:r>
      <w:r>
        <w:rPr>
          <w:color w:val="000000" w:themeColor="text1"/>
        </w:rPr>
        <w:t xml:space="preserve"> written</w:t>
      </w:r>
      <w:r w:rsidRPr="00403496">
        <w:rPr>
          <w:color w:val="000000" w:themeColor="text1"/>
        </w:rPr>
        <w:t xml:space="preserve"> statement </w:t>
      </w:r>
      <w:r>
        <w:rPr>
          <w:color w:val="000000" w:themeColor="text1"/>
        </w:rPr>
        <w:t>itemisi</w:t>
      </w:r>
      <w:r w:rsidRPr="00403496">
        <w:rPr>
          <w:color w:val="000000" w:themeColor="text1"/>
        </w:rPr>
        <w:t>ng the costs incurre</w:t>
      </w:r>
      <w:r>
        <w:rPr>
          <w:color w:val="000000" w:themeColor="text1"/>
        </w:rPr>
        <w:t>d in developing the code.  The</w:t>
      </w:r>
      <w:r w:rsidRPr="00403496">
        <w:rPr>
          <w:color w:val="000000" w:themeColor="text1"/>
        </w:rPr>
        <w:t xml:space="preserve"> application and the statement of costs are required to be</w:t>
      </w:r>
      <w:r>
        <w:rPr>
          <w:color w:val="000000" w:themeColor="text1"/>
        </w:rPr>
        <w:t xml:space="preserve"> accompanied by a written declaration by an </w:t>
      </w:r>
      <w:r w:rsidRPr="00403496">
        <w:rPr>
          <w:color w:val="000000" w:themeColor="text1"/>
        </w:rPr>
        <w:t>approved auditor</w:t>
      </w:r>
      <w:r>
        <w:rPr>
          <w:color w:val="000000" w:themeColor="text1"/>
        </w:rPr>
        <w:t xml:space="preserve"> that he or she is of the opinion that the statement of costs complies with the approved auditing requirements.  U</w:t>
      </w:r>
      <w:r w:rsidRPr="00403496">
        <w:rPr>
          <w:color w:val="000000" w:themeColor="text1"/>
        </w:rPr>
        <w:t>nder subsection 136C(5) of the Act, the Australian Communications and Media Authority (ACMA) has powers to make a determination specifying the persons who are approved auditors</w:t>
      </w:r>
      <w:r>
        <w:rPr>
          <w:color w:val="000000" w:themeColor="text1"/>
        </w:rPr>
        <w:t>,</w:t>
      </w:r>
      <w:r w:rsidRPr="00403496">
        <w:rPr>
          <w:color w:val="000000" w:themeColor="text1"/>
        </w:rPr>
        <w:t xml:space="preserve"> and the requirements that are to be the approved auditing requirements</w:t>
      </w:r>
      <w:r>
        <w:rPr>
          <w:color w:val="000000" w:themeColor="text1"/>
        </w:rPr>
        <w:t>.</w:t>
      </w:r>
    </w:p>
    <w:p w:rsidR="00035D56" w:rsidRDefault="00035D56" w:rsidP="00035D56">
      <w:pPr>
        <w:pStyle w:val="ACMABodyText"/>
        <w:rPr>
          <w:color w:val="000000" w:themeColor="text1"/>
        </w:rPr>
      </w:pPr>
    </w:p>
    <w:p w:rsidR="00035D56" w:rsidRDefault="00035D56" w:rsidP="00035D56">
      <w:pPr>
        <w:pStyle w:val="ACMABodyText"/>
        <w:rPr>
          <w:b/>
          <w:color w:val="000000" w:themeColor="text1"/>
        </w:rPr>
      </w:pPr>
      <w:r w:rsidRPr="00FE34A5">
        <w:rPr>
          <w:b/>
          <w:color w:val="000000" w:themeColor="text1"/>
        </w:rPr>
        <w:t>Consultation</w:t>
      </w:r>
    </w:p>
    <w:p w:rsidR="00035D56" w:rsidRDefault="00035D56" w:rsidP="00035D56">
      <w:pPr>
        <w:pStyle w:val="ACMABodyText"/>
        <w:rPr>
          <w:color w:val="000000" w:themeColor="text1"/>
        </w:rPr>
      </w:pPr>
      <w:r>
        <w:rPr>
          <w:color w:val="000000" w:themeColor="text1"/>
        </w:rPr>
        <w:t xml:space="preserve">The draft instrument was placed on the ACMA website for a period of six weeks, during which members of the public were invited to comment on the draft instrument. In addition, the draft instrument was sent to </w:t>
      </w:r>
      <w:r w:rsidRPr="003200A2">
        <w:rPr>
          <w:color w:val="000000" w:themeColor="text1"/>
        </w:rPr>
        <w:t>C</w:t>
      </w:r>
      <w:r>
        <w:rPr>
          <w:color w:val="000000" w:themeColor="text1"/>
        </w:rPr>
        <w:t xml:space="preserve">ommunications </w:t>
      </w:r>
      <w:r w:rsidRPr="003200A2">
        <w:rPr>
          <w:color w:val="000000" w:themeColor="text1"/>
        </w:rPr>
        <w:t>A</w:t>
      </w:r>
      <w:r>
        <w:rPr>
          <w:color w:val="000000" w:themeColor="text1"/>
        </w:rPr>
        <w:t>lliance, T</w:t>
      </w:r>
      <w:r w:rsidRPr="003200A2">
        <w:rPr>
          <w:color w:val="000000" w:themeColor="text1"/>
        </w:rPr>
        <w:t>he Institute of Chartered Accountants</w:t>
      </w:r>
      <w:r>
        <w:rPr>
          <w:color w:val="000000" w:themeColor="text1"/>
        </w:rPr>
        <w:t xml:space="preserve">, </w:t>
      </w:r>
      <w:r w:rsidRPr="003200A2">
        <w:rPr>
          <w:color w:val="000000" w:themeColor="text1"/>
        </w:rPr>
        <w:t>CPA Australia</w:t>
      </w:r>
      <w:r>
        <w:rPr>
          <w:color w:val="000000" w:themeColor="text1"/>
        </w:rPr>
        <w:t xml:space="preserve">, </w:t>
      </w:r>
      <w:r w:rsidRPr="003200A2">
        <w:rPr>
          <w:color w:val="000000" w:themeColor="text1"/>
        </w:rPr>
        <w:t>The National Institute of Accountants</w:t>
      </w:r>
      <w:r>
        <w:rPr>
          <w:color w:val="000000" w:themeColor="text1"/>
        </w:rPr>
        <w:t xml:space="preserve">, </w:t>
      </w:r>
      <w:r w:rsidRPr="003200A2">
        <w:rPr>
          <w:color w:val="000000" w:themeColor="text1"/>
        </w:rPr>
        <w:t>The Australian Accounting Standards Board</w:t>
      </w:r>
      <w:r>
        <w:rPr>
          <w:color w:val="000000" w:themeColor="text1"/>
        </w:rPr>
        <w:t xml:space="preserve">, </w:t>
      </w:r>
      <w:r w:rsidRPr="003200A2">
        <w:rPr>
          <w:color w:val="000000" w:themeColor="text1"/>
        </w:rPr>
        <w:t>Department of Broadband, Communication and the Digital Economy</w:t>
      </w:r>
      <w:r>
        <w:rPr>
          <w:color w:val="000000" w:themeColor="text1"/>
        </w:rPr>
        <w:t xml:space="preserve">, and </w:t>
      </w:r>
      <w:r w:rsidRPr="003200A2">
        <w:rPr>
          <w:color w:val="000000" w:themeColor="text1"/>
        </w:rPr>
        <w:t>Internet Industry Association</w:t>
      </w:r>
      <w:r>
        <w:rPr>
          <w:color w:val="000000" w:themeColor="text1"/>
        </w:rPr>
        <w:t xml:space="preserve"> and those organisations were allowed six weeks to provide comments to the ACMA on the draft instrument. The ACMA has taken into account the comments received on the draft instrument.</w:t>
      </w:r>
    </w:p>
    <w:p w:rsidR="00035D56" w:rsidRDefault="00035D56" w:rsidP="00035D56">
      <w:pPr>
        <w:pStyle w:val="ACMABodyText"/>
        <w:rPr>
          <w:color w:val="000000" w:themeColor="text1"/>
        </w:rPr>
      </w:pPr>
    </w:p>
    <w:p w:rsidR="00035D56" w:rsidRDefault="00035D56" w:rsidP="00035D56">
      <w:pPr>
        <w:pStyle w:val="ACMABodyText"/>
        <w:rPr>
          <w:color w:val="000000" w:themeColor="text1"/>
        </w:rPr>
      </w:pPr>
      <w:r>
        <w:rPr>
          <w:b/>
          <w:color w:val="000000" w:themeColor="text1"/>
        </w:rPr>
        <w:t>Operation</w:t>
      </w:r>
    </w:p>
    <w:p w:rsidR="00035D56" w:rsidRPr="00FE34A5" w:rsidRDefault="00035D56" w:rsidP="00035D56">
      <w:pPr>
        <w:pStyle w:val="ACMABodyText"/>
        <w:rPr>
          <w:color w:val="000000" w:themeColor="text1"/>
        </w:rPr>
      </w:pPr>
      <w:r>
        <w:rPr>
          <w:color w:val="000000" w:themeColor="text1"/>
        </w:rPr>
        <w:t xml:space="preserve">The instrument varies section 6 of the Determination to specify new requirements for a statement of costs submitted under section 136C(1)(e)(i) of the Act. An approved auditor </w:t>
      </w:r>
      <w:r>
        <w:rPr>
          <w:color w:val="000000" w:themeColor="text1"/>
        </w:rPr>
        <w:lastRenderedPageBreak/>
        <w:t>must make a written declaration that he or she is of the opinion that such a statement of costs complies with the requirements. The previous requirements were not appropriate for this purpose. The new requirements are practical and consistent with their statutory purpose.</w:t>
      </w:r>
    </w:p>
    <w:p w:rsidR="00035D56" w:rsidRDefault="00035D56" w:rsidP="00035D56">
      <w:pPr>
        <w:pStyle w:val="ACMABodyText"/>
        <w:rPr>
          <w:color w:val="000000" w:themeColor="text1"/>
        </w:rPr>
      </w:pPr>
    </w:p>
    <w:p w:rsidR="00035D56" w:rsidRDefault="00035D56" w:rsidP="00035D56">
      <w:pPr>
        <w:pStyle w:val="ACMABodyText"/>
        <w:rPr>
          <w:color w:val="000000" w:themeColor="text1"/>
        </w:rPr>
      </w:pPr>
      <w:r w:rsidRPr="00403496">
        <w:rPr>
          <w:color w:val="000000" w:themeColor="text1"/>
        </w:rPr>
        <w:t xml:space="preserve">  </w:t>
      </w:r>
    </w:p>
    <w:p w:rsidR="00035D56" w:rsidRPr="00403496" w:rsidRDefault="00035D56" w:rsidP="00035D56">
      <w:pPr>
        <w:pStyle w:val="ACMABodyText"/>
        <w:rPr>
          <w:color w:val="000000" w:themeColor="text1"/>
        </w:rPr>
      </w:pPr>
    </w:p>
    <w:p w:rsidR="00035D56" w:rsidRDefault="00035D56" w:rsidP="00035D56">
      <w:pPr>
        <w:pStyle w:val="ACMABodyText"/>
        <w:rPr>
          <w:b/>
        </w:rPr>
      </w:pPr>
      <w:r>
        <w:rPr>
          <w:b/>
        </w:rPr>
        <w:t>NOTES ON THE DRAFT INSTRUMENT</w:t>
      </w:r>
    </w:p>
    <w:p w:rsidR="00035D56" w:rsidRDefault="00035D56" w:rsidP="00035D56">
      <w:pPr>
        <w:pStyle w:val="ACMABodyText"/>
        <w:rPr>
          <w:b/>
        </w:rPr>
      </w:pPr>
    </w:p>
    <w:p w:rsidR="00035D56" w:rsidRDefault="00035D56" w:rsidP="00035D56">
      <w:pPr>
        <w:pStyle w:val="ACMABodyText"/>
        <w:rPr>
          <w:b/>
        </w:rPr>
      </w:pPr>
      <w:r>
        <w:rPr>
          <w:b/>
        </w:rPr>
        <w:t>Section 1      Name of instrument</w:t>
      </w:r>
    </w:p>
    <w:p w:rsidR="00035D56" w:rsidRDefault="00035D56" w:rsidP="00035D56">
      <w:pPr>
        <w:pStyle w:val="ACMABodyText"/>
      </w:pPr>
      <w:r>
        <w:t xml:space="preserve">Section 1 provides that the name of the instrument is the </w:t>
      </w:r>
      <w:r>
        <w:rPr>
          <w:i/>
        </w:rPr>
        <w:t>Telecommunications (Approved Auditors and Auditing Requirements) Determination Variation 2011 (No 1)</w:t>
      </w:r>
      <w:r>
        <w:t>.</w:t>
      </w:r>
    </w:p>
    <w:p w:rsidR="00035D56" w:rsidRDefault="00035D56" w:rsidP="00035D56">
      <w:pPr>
        <w:pStyle w:val="ACMABodyText"/>
      </w:pPr>
    </w:p>
    <w:p w:rsidR="00035D56" w:rsidRDefault="00035D56" w:rsidP="00035D56">
      <w:pPr>
        <w:pStyle w:val="ACMABodyText"/>
        <w:rPr>
          <w:b/>
        </w:rPr>
      </w:pPr>
      <w:r w:rsidRPr="00B3653C">
        <w:rPr>
          <w:b/>
        </w:rPr>
        <w:t xml:space="preserve">Section 2   </w:t>
      </w:r>
      <w:r>
        <w:rPr>
          <w:b/>
        </w:rPr>
        <w:t xml:space="preserve">   Commencement</w:t>
      </w:r>
    </w:p>
    <w:p w:rsidR="00035D56" w:rsidRDefault="00035D56" w:rsidP="00035D56">
      <w:pPr>
        <w:pStyle w:val="ACMABodyText"/>
      </w:pPr>
      <w:r>
        <w:t>Section 2 provides that the instrument commences on the day after it is registered on the Federal Register of Legislative Instruments.</w:t>
      </w:r>
    </w:p>
    <w:p w:rsidR="00035D56" w:rsidRDefault="00035D56" w:rsidP="00035D56">
      <w:pPr>
        <w:pStyle w:val="ACMABodyText"/>
      </w:pPr>
    </w:p>
    <w:p w:rsidR="00035D56" w:rsidRDefault="00035D56" w:rsidP="00035D56">
      <w:pPr>
        <w:pStyle w:val="ACMABodyText"/>
        <w:ind w:left="1260" w:hanging="1260"/>
        <w:rPr>
          <w:b/>
          <w:i/>
        </w:rPr>
      </w:pPr>
      <w:r w:rsidRPr="00B3653C">
        <w:rPr>
          <w:b/>
        </w:rPr>
        <w:t xml:space="preserve">Section 3     </w:t>
      </w:r>
      <w:r>
        <w:rPr>
          <w:b/>
        </w:rPr>
        <w:t>Variation</w:t>
      </w:r>
      <w:r w:rsidRPr="00B3653C">
        <w:rPr>
          <w:b/>
        </w:rPr>
        <w:t xml:space="preserve"> of </w:t>
      </w:r>
      <w:r w:rsidRPr="003D6355">
        <w:rPr>
          <w:b/>
          <w:i/>
        </w:rPr>
        <w:t>Telecommunications (Approved Auditors and Auditing Requirements) Determination 2006</w:t>
      </w:r>
    </w:p>
    <w:p w:rsidR="00035D56" w:rsidRDefault="00035D56" w:rsidP="00035D56">
      <w:pPr>
        <w:pStyle w:val="ACMABodyText"/>
      </w:pPr>
      <w:r>
        <w:t>Section 3 provides that variations to the Determination are effected by Schedule 1 of the instrument.</w:t>
      </w:r>
    </w:p>
    <w:p w:rsidR="00035D56" w:rsidRDefault="00035D56" w:rsidP="00035D56">
      <w:pPr>
        <w:pStyle w:val="ACMABodyText"/>
      </w:pPr>
    </w:p>
    <w:p w:rsidR="00035D56" w:rsidRDefault="00035D56" w:rsidP="00035D56">
      <w:pPr>
        <w:pStyle w:val="ACMABodyText"/>
        <w:rPr>
          <w:b/>
          <w:sz w:val="28"/>
          <w:szCs w:val="28"/>
        </w:rPr>
      </w:pPr>
      <w:r w:rsidRPr="004239A6">
        <w:rPr>
          <w:b/>
          <w:sz w:val="28"/>
          <w:szCs w:val="28"/>
        </w:rPr>
        <w:t xml:space="preserve">Schedule 1            </w:t>
      </w:r>
      <w:r>
        <w:rPr>
          <w:b/>
          <w:sz w:val="28"/>
          <w:szCs w:val="28"/>
        </w:rPr>
        <w:t>Variations</w:t>
      </w:r>
    </w:p>
    <w:p w:rsidR="00035D56" w:rsidRPr="004239A6" w:rsidRDefault="00035D56" w:rsidP="00035D56">
      <w:pPr>
        <w:pStyle w:val="ACMABodyText"/>
        <w:rPr>
          <w:b/>
          <w:sz w:val="28"/>
          <w:szCs w:val="28"/>
        </w:rPr>
      </w:pPr>
    </w:p>
    <w:p w:rsidR="00035D56" w:rsidRDefault="00035D56" w:rsidP="00035D56">
      <w:pPr>
        <w:pStyle w:val="ACMABodyText"/>
        <w:rPr>
          <w:b/>
          <w:i/>
        </w:rPr>
      </w:pPr>
      <w:r>
        <w:rPr>
          <w:b/>
        </w:rPr>
        <w:t xml:space="preserve">[1]      Section 3 </w:t>
      </w:r>
    </w:p>
    <w:p w:rsidR="00035D56" w:rsidRDefault="00035D56" w:rsidP="00035D56">
      <w:pPr>
        <w:pStyle w:val="ACMABodyText"/>
      </w:pPr>
      <w:r>
        <w:t>This variation inserts a new definitions section, which adds definitions of the terms ‘refundable cost’ and ‘statement of costs’, consistent with their meaning in the Act.</w:t>
      </w:r>
    </w:p>
    <w:p w:rsidR="00035D56" w:rsidRDefault="00035D56" w:rsidP="00035D56">
      <w:pPr>
        <w:pStyle w:val="ACMABodyText"/>
        <w:spacing w:before="0" w:after="0" w:line="240" w:lineRule="auto"/>
      </w:pPr>
    </w:p>
    <w:p w:rsidR="00035D56" w:rsidRDefault="00035D56" w:rsidP="00035D56">
      <w:pPr>
        <w:pStyle w:val="ACMABodyText"/>
        <w:spacing w:after="0"/>
        <w:rPr>
          <w:b/>
        </w:rPr>
      </w:pPr>
      <w:r w:rsidRPr="00CE69DD">
        <w:rPr>
          <w:b/>
        </w:rPr>
        <w:t>[2]</w:t>
      </w:r>
      <w:r>
        <w:rPr>
          <w:b/>
        </w:rPr>
        <w:t xml:space="preserve">     Section 4</w:t>
      </w:r>
    </w:p>
    <w:p w:rsidR="00035D56" w:rsidRDefault="00035D56" w:rsidP="00035D56">
      <w:pPr>
        <w:pStyle w:val="ACMABodyText"/>
      </w:pPr>
      <w:r>
        <w:t xml:space="preserve">This variation inserts “the” before ACMA, in order to be consistent with the usage in the Act. </w:t>
      </w:r>
    </w:p>
    <w:p w:rsidR="00035D56" w:rsidRDefault="00035D56" w:rsidP="00035D56">
      <w:pPr>
        <w:pStyle w:val="ACMABodyText"/>
        <w:spacing w:line="240" w:lineRule="auto"/>
      </w:pPr>
    </w:p>
    <w:p w:rsidR="00035D56" w:rsidRDefault="00035D56" w:rsidP="00035D56">
      <w:pPr>
        <w:pStyle w:val="ACMABodyText"/>
        <w:rPr>
          <w:b/>
          <w:i/>
        </w:rPr>
      </w:pPr>
      <w:r w:rsidRPr="004239A6">
        <w:rPr>
          <w:b/>
        </w:rPr>
        <w:t xml:space="preserve">[3]     </w:t>
      </w:r>
      <w:r>
        <w:rPr>
          <w:b/>
        </w:rPr>
        <w:t>Section 6</w:t>
      </w:r>
      <w:r w:rsidRPr="004239A6">
        <w:rPr>
          <w:b/>
          <w:i/>
        </w:rPr>
        <w:t xml:space="preserve"> </w:t>
      </w:r>
    </w:p>
    <w:p w:rsidR="00035D56" w:rsidRPr="00035D56" w:rsidRDefault="00035D56" w:rsidP="00035D56">
      <w:pPr>
        <w:pStyle w:val="ACMABodyText"/>
        <w:tabs>
          <w:tab w:val="left" w:pos="540"/>
        </w:tabs>
      </w:pPr>
      <w:r>
        <w:t xml:space="preserve">This variation specifies a new set of approved auditing requirements.  The variation inserts requirements for a statement of costs to include only refundable costs, and for the costs included to be accurate and supported by relevant documentary evidence demonstrating that the costs have been incurred.  </w:t>
      </w:r>
      <w:r w:rsidRPr="00ED31D1">
        <w:rPr>
          <w:b/>
        </w:rPr>
        <w:t xml:space="preserve">    </w:t>
      </w:r>
    </w:p>
    <w:p w:rsidR="003164DC" w:rsidRPr="00ED31D1" w:rsidRDefault="003164DC" w:rsidP="00251F9B">
      <w:pPr>
        <w:pStyle w:val="ACMABodyText"/>
        <w:tabs>
          <w:tab w:val="left" w:pos="540"/>
        </w:tabs>
        <w:rPr>
          <w:b/>
        </w:rPr>
      </w:pPr>
    </w:p>
    <w:sectPr w:rsidR="003164DC" w:rsidRPr="00ED31D1" w:rsidSect="004857DF">
      <w:pgSz w:w="11899" w:h="16838"/>
      <w:pgMar w:top="1440" w:right="1644" w:bottom="1440" w:left="164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6355" w:rsidRDefault="003D6355">
      <w:r>
        <w:separator/>
      </w:r>
    </w:p>
  </w:endnote>
  <w:endnote w:type="continuationSeparator" w:id="0">
    <w:p w:rsidR="003D6355" w:rsidRDefault="003D63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6355" w:rsidRDefault="003D6355">
      <w:r>
        <w:separator/>
      </w:r>
    </w:p>
  </w:footnote>
  <w:footnote w:type="continuationSeparator" w:id="0">
    <w:p w:rsidR="003D6355" w:rsidRDefault="003D63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55F81"/>
    <w:multiLevelType w:val="hybridMultilevel"/>
    <w:tmpl w:val="884A1BC8"/>
    <w:lvl w:ilvl="0" w:tplc="32204036">
      <w:start w:val="1"/>
      <w:numFmt w:val="decimal"/>
      <w:pStyle w:val="LegislationLvl1"/>
      <w:lvlText w:val="%1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93C69154">
      <w:start w:val="1"/>
      <w:numFmt w:val="decimal"/>
      <w:pStyle w:val="LegislationLvl2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BD8A0056">
      <w:start w:val="1"/>
      <w:numFmt w:val="lowerLetter"/>
      <w:pStyle w:val="LegislationLvl3"/>
      <w:lvlText w:val="(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BF665EE0">
      <w:start w:val="1"/>
      <w:numFmt w:val="lowerRoman"/>
      <w:pStyle w:val="LegislationLvl4"/>
      <w:lvlText w:val="(%4)"/>
      <w:lvlJc w:val="right"/>
      <w:pPr>
        <w:tabs>
          <w:tab w:val="num" w:pos="2700"/>
        </w:tabs>
        <w:ind w:left="2700" w:hanging="180"/>
      </w:pPr>
      <w:rPr>
        <w:rFonts w:cs="Times New Roman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0F3603E"/>
    <w:multiLevelType w:val="hybridMultilevel"/>
    <w:tmpl w:val="39FE2ADA"/>
    <w:lvl w:ilvl="0" w:tplc="3356E966">
      <w:start w:val="1"/>
      <w:numFmt w:val="bullet"/>
      <w:pStyle w:val="ACMATable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EE495C"/>
    <w:multiLevelType w:val="hybridMultilevel"/>
    <w:tmpl w:val="1D8498B0"/>
    <w:lvl w:ilvl="0" w:tplc="A332420E">
      <w:start w:val="1"/>
      <w:numFmt w:val="lowerLetter"/>
      <w:pStyle w:val="ACMAletteredlist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8EDAE5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8A81D5F"/>
    <w:multiLevelType w:val="hybridMultilevel"/>
    <w:tmpl w:val="D9C4DF86"/>
    <w:lvl w:ilvl="0" w:tplc="6924032C">
      <w:start w:val="1"/>
      <w:numFmt w:val="bullet"/>
      <w:pStyle w:val="ACMABulletLevel2"/>
      <w:lvlText w:val=""/>
      <w:lvlJc w:val="left"/>
      <w:pPr>
        <w:ind w:left="709" w:hanging="352"/>
      </w:pPr>
      <w:rPr>
        <w:rFonts w:ascii="Symbol" w:hAnsi="Symbol" w:hint="default"/>
        <w:sz w:val="22"/>
        <w:effect w:val="no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81D1869"/>
    <w:multiLevelType w:val="hybridMultilevel"/>
    <w:tmpl w:val="44CCDBB4"/>
    <w:lvl w:ilvl="0" w:tplc="B4DE576E">
      <w:start w:val="1"/>
      <w:numFmt w:val="decimal"/>
      <w:pStyle w:val="ACMANumberedList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F5A5080"/>
    <w:multiLevelType w:val="hybridMultilevel"/>
    <w:tmpl w:val="24705096"/>
    <w:lvl w:ilvl="0" w:tplc="2668C79A">
      <w:start w:val="1"/>
      <w:numFmt w:val="bullet"/>
      <w:pStyle w:val="ACMABulletLevel1"/>
      <w:lvlText w:val="●"/>
      <w:lvlJc w:val="left"/>
      <w:pPr>
        <w:ind w:left="357" w:hanging="357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6">
    <w:nsid w:val="5CD64FAE"/>
    <w:multiLevelType w:val="hybridMultilevel"/>
    <w:tmpl w:val="BF78F5A2"/>
    <w:lvl w:ilvl="0" w:tplc="A44C94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0"/>
    <w:lvlOverride w:ilvl="0">
      <w:startOverride w:val="1"/>
    </w:lvlOverride>
  </w:num>
  <w:num w:numId="7">
    <w:abstractNumId w:val="0"/>
  </w:num>
  <w:num w:numId="8">
    <w:abstractNumId w:val="0"/>
  </w:num>
  <w:num w:numId="9">
    <w:abstractNumId w:val="0"/>
  </w:num>
  <w:num w:numId="10">
    <w:abstractNumId w:val="5"/>
  </w:num>
  <w:num w:numId="11">
    <w:abstractNumId w:val="3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stylePaneFormatFilter w:val="3F01"/>
  <w:defaultTabStop w:val="72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0173A3"/>
    <w:rsid w:val="00002BB6"/>
    <w:rsid w:val="0001157C"/>
    <w:rsid w:val="000173A3"/>
    <w:rsid w:val="00031988"/>
    <w:rsid w:val="00035125"/>
    <w:rsid w:val="00035D56"/>
    <w:rsid w:val="00076143"/>
    <w:rsid w:val="00091734"/>
    <w:rsid w:val="000B46DC"/>
    <w:rsid w:val="000C062C"/>
    <w:rsid w:val="000C5660"/>
    <w:rsid w:val="000F36E7"/>
    <w:rsid w:val="00114AF7"/>
    <w:rsid w:val="00115305"/>
    <w:rsid w:val="00140C53"/>
    <w:rsid w:val="0017687A"/>
    <w:rsid w:val="001B10E8"/>
    <w:rsid w:val="001B5582"/>
    <w:rsid w:val="001B7C81"/>
    <w:rsid w:val="001C5DF3"/>
    <w:rsid w:val="001E4F74"/>
    <w:rsid w:val="001F31EE"/>
    <w:rsid w:val="00242169"/>
    <w:rsid w:val="00244210"/>
    <w:rsid w:val="00251F9B"/>
    <w:rsid w:val="002649D2"/>
    <w:rsid w:val="00275C75"/>
    <w:rsid w:val="002A3634"/>
    <w:rsid w:val="002C512D"/>
    <w:rsid w:val="002C6E08"/>
    <w:rsid w:val="002E31D3"/>
    <w:rsid w:val="002F4BEE"/>
    <w:rsid w:val="00303EBD"/>
    <w:rsid w:val="003164DC"/>
    <w:rsid w:val="003200A2"/>
    <w:rsid w:val="00323AE4"/>
    <w:rsid w:val="00326C66"/>
    <w:rsid w:val="0033716A"/>
    <w:rsid w:val="00344895"/>
    <w:rsid w:val="00345F4E"/>
    <w:rsid w:val="0034682B"/>
    <w:rsid w:val="00356437"/>
    <w:rsid w:val="0036606E"/>
    <w:rsid w:val="00381059"/>
    <w:rsid w:val="00392E5E"/>
    <w:rsid w:val="003A166D"/>
    <w:rsid w:val="003A20E9"/>
    <w:rsid w:val="003D6355"/>
    <w:rsid w:val="003E0F51"/>
    <w:rsid w:val="003E440A"/>
    <w:rsid w:val="00401003"/>
    <w:rsid w:val="00403496"/>
    <w:rsid w:val="004038A1"/>
    <w:rsid w:val="004239A6"/>
    <w:rsid w:val="004321F5"/>
    <w:rsid w:val="00482CE8"/>
    <w:rsid w:val="004857DF"/>
    <w:rsid w:val="00486486"/>
    <w:rsid w:val="00486D38"/>
    <w:rsid w:val="004B41DF"/>
    <w:rsid w:val="004B75B7"/>
    <w:rsid w:val="004D443A"/>
    <w:rsid w:val="004D6B9A"/>
    <w:rsid w:val="004E2A42"/>
    <w:rsid w:val="00510025"/>
    <w:rsid w:val="00513C08"/>
    <w:rsid w:val="00517FC0"/>
    <w:rsid w:val="00540B30"/>
    <w:rsid w:val="005439F6"/>
    <w:rsid w:val="00570313"/>
    <w:rsid w:val="005834BA"/>
    <w:rsid w:val="005870EA"/>
    <w:rsid w:val="00590FBB"/>
    <w:rsid w:val="005A7398"/>
    <w:rsid w:val="005B5451"/>
    <w:rsid w:val="005B5499"/>
    <w:rsid w:val="005E009B"/>
    <w:rsid w:val="005F731E"/>
    <w:rsid w:val="00612C53"/>
    <w:rsid w:val="00627E25"/>
    <w:rsid w:val="00631676"/>
    <w:rsid w:val="00640439"/>
    <w:rsid w:val="00657063"/>
    <w:rsid w:val="00663702"/>
    <w:rsid w:val="00681840"/>
    <w:rsid w:val="00695725"/>
    <w:rsid w:val="006A202D"/>
    <w:rsid w:val="006C6A0E"/>
    <w:rsid w:val="006E48ED"/>
    <w:rsid w:val="006E7821"/>
    <w:rsid w:val="006F1ADA"/>
    <w:rsid w:val="0075322D"/>
    <w:rsid w:val="0076690E"/>
    <w:rsid w:val="00781760"/>
    <w:rsid w:val="00784BF1"/>
    <w:rsid w:val="00787DB9"/>
    <w:rsid w:val="007971E5"/>
    <w:rsid w:val="007A5EDE"/>
    <w:rsid w:val="007C411E"/>
    <w:rsid w:val="007D0E9D"/>
    <w:rsid w:val="007E06F0"/>
    <w:rsid w:val="007E2D97"/>
    <w:rsid w:val="00801C2F"/>
    <w:rsid w:val="00826489"/>
    <w:rsid w:val="00841D05"/>
    <w:rsid w:val="00845526"/>
    <w:rsid w:val="008725F3"/>
    <w:rsid w:val="008A3C4C"/>
    <w:rsid w:val="008B7235"/>
    <w:rsid w:val="008C7C3C"/>
    <w:rsid w:val="008E1359"/>
    <w:rsid w:val="008F538F"/>
    <w:rsid w:val="008F570B"/>
    <w:rsid w:val="008F7A43"/>
    <w:rsid w:val="00920311"/>
    <w:rsid w:val="0094220A"/>
    <w:rsid w:val="00966FAD"/>
    <w:rsid w:val="00996DE7"/>
    <w:rsid w:val="0099756B"/>
    <w:rsid w:val="009A75EC"/>
    <w:rsid w:val="009B4513"/>
    <w:rsid w:val="009D361B"/>
    <w:rsid w:val="00A17199"/>
    <w:rsid w:val="00A24A9F"/>
    <w:rsid w:val="00A41052"/>
    <w:rsid w:val="00A74D05"/>
    <w:rsid w:val="00AA440A"/>
    <w:rsid w:val="00AB78CE"/>
    <w:rsid w:val="00AC0227"/>
    <w:rsid w:val="00AD7D0B"/>
    <w:rsid w:val="00AE7406"/>
    <w:rsid w:val="00B02FEE"/>
    <w:rsid w:val="00B224A6"/>
    <w:rsid w:val="00B3653C"/>
    <w:rsid w:val="00B63804"/>
    <w:rsid w:val="00B64DF6"/>
    <w:rsid w:val="00B77509"/>
    <w:rsid w:val="00B848B7"/>
    <w:rsid w:val="00BA3EB7"/>
    <w:rsid w:val="00BA4794"/>
    <w:rsid w:val="00BA79F1"/>
    <w:rsid w:val="00BF1119"/>
    <w:rsid w:val="00BF7D71"/>
    <w:rsid w:val="00C019AD"/>
    <w:rsid w:val="00C15FCB"/>
    <w:rsid w:val="00C537C7"/>
    <w:rsid w:val="00C723A1"/>
    <w:rsid w:val="00C761F6"/>
    <w:rsid w:val="00C86DAE"/>
    <w:rsid w:val="00C96880"/>
    <w:rsid w:val="00C970A0"/>
    <w:rsid w:val="00CA1BDC"/>
    <w:rsid w:val="00CA6ED6"/>
    <w:rsid w:val="00CB66C6"/>
    <w:rsid w:val="00CC7643"/>
    <w:rsid w:val="00CE69DD"/>
    <w:rsid w:val="00CF69DF"/>
    <w:rsid w:val="00D320A5"/>
    <w:rsid w:val="00D7149F"/>
    <w:rsid w:val="00DB5559"/>
    <w:rsid w:val="00DC21F0"/>
    <w:rsid w:val="00E018ED"/>
    <w:rsid w:val="00E316B5"/>
    <w:rsid w:val="00E44D5C"/>
    <w:rsid w:val="00E56F04"/>
    <w:rsid w:val="00E60AAB"/>
    <w:rsid w:val="00E70BC3"/>
    <w:rsid w:val="00E75084"/>
    <w:rsid w:val="00EA17A1"/>
    <w:rsid w:val="00EB79B0"/>
    <w:rsid w:val="00ED31D1"/>
    <w:rsid w:val="00EF27ED"/>
    <w:rsid w:val="00EF5276"/>
    <w:rsid w:val="00F521B5"/>
    <w:rsid w:val="00F9080A"/>
    <w:rsid w:val="00FB08CD"/>
    <w:rsid w:val="00FB1745"/>
    <w:rsid w:val="00FC443F"/>
    <w:rsid w:val="00FE12D3"/>
    <w:rsid w:val="00FE1BE3"/>
    <w:rsid w:val="00FE34A5"/>
    <w:rsid w:val="00FE48A0"/>
    <w:rsid w:val="00FE7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CMABodyText"/>
    <w:qFormat/>
    <w:rsid w:val="001F31EE"/>
    <w:pPr>
      <w:spacing w:before="80" w:after="120" w:line="280" w:lineRule="atLeast"/>
    </w:pPr>
    <w:rPr>
      <w:sz w:val="24"/>
      <w:szCs w:val="24"/>
      <w:lang w:eastAsia="en-US"/>
    </w:rPr>
  </w:style>
  <w:style w:type="paragraph" w:styleId="Heading1">
    <w:name w:val="heading 1"/>
    <w:basedOn w:val="ACMAHeading1"/>
    <w:next w:val="ACMABodyText"/>
    <w:link w:val="Heading1Char"/>
    <w:uiPriority w:val="99"/>
    <w:qFormat/>
    <w:rsid w:val="001F31EE"/>
    <w:pPr>
      <w:outlineLvl w:val="0"/>
    </w:pPr>
    <w:rPr>
      <w:rFonts w:cs="Arial"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31EE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customStyle="1" w:styleId="ACMABodyText">
    <w:name w:val="ACMA Body Text"/>
    <w:link w:val="ACMABodyTextChar"/>
    <w:rsid w:val="001F31EE"/>
    <w:pPr>
      <w:suppressAutoHyphens/>
      <w:spacing w:before="80" w:after="120" w:line="280" w:lineRule="atLeast"/>
    </w:pPr>
    <w:rPr>
      <w:sz w:val="24"/>
      <w:szCs w:val="20"/>
      <w:lang w:eastAsia="en-US"/>
    </w:rPr>
  </w:style>
  <w:style w:type="paragraph" w:customStyle="1" w:styleId="ACMAHeading1">
    <w:name w:val="ACMA Heading 1"/>
    <w:next w:val="ACMABodyText"/>
    <w:uiPriority w:val="99"/>
    <w:rsid w:val="001F31EE"/>
    <w:pPr>
      <w:keepNext/>
      <w:suppressAutoHyphens/>
      <w:spacing w:before="320" w:after="0" w:line="240" w:lineRule="auto"/>
      <w:outlineLvl w:val="1"/>
    </w:pPr>
    <w:rPr>
      <w:rFonts w:ascii="Arial" w:hAnsi="Arial"/>
      <w:b/>
      <w:sz w:val="32"/>
      <w:szCs w:val="32"/>
      <w:lang w:val="en-US" w:eastAsia="en-US"/>
    </w:rPr>
  </w:style>
  <w:style w:type="paragraph" w:customStyle="1" w:styleId="ACMABulletLevel1">
    <w:name w:val="ACMA Bullet Level 1"/>
    <w:uiPriority w:val="99"/>
    <w:rsid w:val="001F31EE"/>
    <w:pPr>
      <w:numPr>
        <w:numId w:val="10"/>
      </w:numPr>
      <w:tabs>
        <w:tab w:val="num" w:pos="1008"/>
      </w:tabs>
      <w:spacing w:after="120" w:line="240" w:lineRule="auto"/>
      <w:ind w:left="1008" w:hanging="360"/>
    </w:pPr>
    <w:rPr>
      <w:sz w:val="24"/>
      <w:szCs w:val="20"/>
      <w:lang w:eastAsia="en-US"/>
    </w:rPr>
  </w:style>
  <w:style w:type="paragraph" w:customStyle="1" w:styleId="ACMABulletLevel2">
    <w:name w:val="ACMA Bullet Level 2"/>
    <w:uiPriority w:val="99"/>
    <w:rsid w:val="001F31EE"/>
    <w:pPr>
      <w:numPr>
        <w:numId w:val="11"/>
      </w:numPr>
      <w:tabs>
        <w:tab w:val="num" w:pos="1008"/>
      </w:tabs>
      <w:spacing w:after="120" w:line="240" w:lineRule="auto"/>
      <w:ind w:left="1368" w:hanging="360"/>
    </w:pPr>
    <w:rPr>
      <w:sz w:val="24"/>
      <w:szCs w:val="20"/>
      <w:lang w:eastAsia="en-US"/>
    </w:rPr>
  </w:style>
  <w:style w:type="paragraph" w:customStyle="1" w:styleId="ACMAChapterHeading">
    <w:name w:val="ACMA Chapter Heading"/>
    <w:next w:val="ACMABodyText"/>
    <w:uiPriority w:val="99"/>
    <w:rsid w:val="001F31EE"/>
    <w:pPr>
      <w:keepNext/>
      <w:suppressAutoHyphens/>
      <w:spacing w:before="2160" w:after="480" w:line="240" w:lineRule="auto"/>
      <w:outlineLvl w:val="0"/>
    </w:pPr>
    <w:rPr>
      <w:sz w:val="56"/>
      <w:szCs w:val="56"/>
      <w:lang w:eastAsia="en-US"/>
    </w:rPr>
  </w:style>
  <w:style w:type="paragraph" w:customStyle="1" w:styleId="ACMAConclusion">
    <w:name w:val="ACMA Conclusion"/>
    <w:uiPriority w:val="99"/>
    <w:rsid w:val="001F31EE"/>
    <w:pPr>
      <w:pBdr>
        <w:top w:val="single" w:sz="8" w:space="10" w:color="auto" w:shadow="1"/>
        <w:left w:val="single" w:sz="8" w:space="12" w:color="auto" w:shadow="1"/>
        <w:bottom w:val="single" w:sz="8" w:space="15" w:color="auto" w:shadow="1"/>
        <w:right w:val="single" w:sz="8" w:space="11" w:color="auto" w:shadow="1"/>
      </w:pBdr>
      <w:spacing w:after="80" w:line="240" w:lineRule="atLeast"/>
      <w:ind w:left="288" w:right="288"/>
    </w:pPr>
    <w:rPr>
      <w:b/>
      <w:sz w:val="24"/>
      <w:szCs w:val="20"/>
      <w:lang w:eastAsia="en-US"/>
    </w:rPr>
  </w:style>
  <w:style w:type="paragraph" w:customStyle="1" w:styleId="ACMAContentsHeading">
    <w:name w:val="ACMA Contents Heading"/>
    <w:uiPriority w:val="99"/>
    <w:rsid w:val="001F31EE"/>
    <w:pPr>
      <w:spacing w:before="2160" w:after="480" w:line="240" w:lineRule="auto"/>
    </w:pPr>
    <w:rPr>
      <w:sz w:val="56"/>
      <w:szCs w:val="56"/>
      <w:lang w:val="en-US" w:eastAsia="en-US"/>
    </w:rPr>
  </w:style>
  <w:style w:type="paragraph" w:customStyle="1" w:styleId="ACMAFooterEven">
    <w:name w:val="ACMA Footer (Even)"/>
    <w:uiPriority w:val="99"/>
    <w:rsid w:val="001F31EE"/>
    <w:pPr>
      <w:pBdr>
        <w:top w:val="single" w:sz="2" w:space="4" w:color="auto"/>
      </w:pBdr>
      <w:tabs>
        <w:tab w:val="right" w:pos="8959"/>
      </w:tabs>
      <w:spacing w:after="0" w:line="240" w:lineRule="auto"/>
    </w:pPr>
    <w:rPr>
      <w:sz w:val="20"/>
      <w:szCs w:val="20"/>
      <w:lang w:eastAsia="en-US"/>
    </w:rPr>
  </w:style>
  <w:style w:type="paragraph" w:customStyle="1" w:styleId="ACMAFooterOdd">
    <w:name w:val="ACMA Footer (Odd)"/>
    <w:uiPriority w:val="99"/>
    <w:rsid w:val="001F31EE"/>
    <w:pPr>
      <w:pBdr>
        <w:top w:val="single" w:sz="2" w:space="4" w:color="auto"/>
      </w:pBdr>
      <w:tabs>
        <w:tab w:val="right" w:pos="8959"/>
      </w:tabs>
      <w:spacing w:after="0" w:line="240" w:lineRule="auto"/>
    </w:pPr>
    <w:rPr>
      <w:sz w:val="20"/>
      <w:szCs w:val="20"/>
      <w:lang w:eastAsia="en-US"/>
    </w:rPr>
  </w:style>
  <w:style w:type="paragraph" w:customStyle="1" w:styleId="ACMAFootnote">
    <w:name w:val="ACMA Footnote"/>
    <w:uiPriority w:val="99"/>
    <w:rsid w:val="001F31EE"/>
    <w:pPr>
      <w:spacing w:after="0" w:line="240" w:lineRule="auto"/>
      <w:ind w:left="144" w:hanging="144"/>
    </w:pPr>
    <w:rPr>
      <w:sz w:val="16"/>
      <w:szCs w:val="20"/>
      <w:lang w:eastAsia="en-US"/>
    </w:rPr>
  </w:style>
  <w:style w:type="paragraph" w:customStyle="1" w:styleId="ACMAHeaderEven">
    <w:name w:val="ACMA Header (Even)"/>
    <w:uiPriority w:val="99"/>
    <w:rsid w:val="001F31EE"/>
    <w:pPr>
      <w:spacing w:after="0" w:line="240" w:lineRule="auto"/>
    </w:pPr>
    <w:rPr>
      <w:i/>
      <w:sz w:val="20"/>
      <w:szCs w:val="20"/>
      <w:lang w:val="en-US" w:eastAsia="en-US"/>
    </w:rPr>
  </w:style>
  <w:style w:type="paragraph" w:customStyle="1" w:styleId="ACMAHeaderOdd">
    <w:name w:val="ACMA Header (Odd)"/>
    <w:uiPriority w:val="99"/>
    <w:rsid w:val="001F31EE"/>
    <w:pPr>
      <w:spacing w:after="0" w:line="240" w:lineRule="auto"/>
      <w:jc w:val="right"/>
    </w:pPr>
    <w:rPr>
      <w:i/>
      <w:sz w:val="20"/>
      <w:szCs w:val="20"/>
      <w:lang w:val="en-US" w:eastAsia="en-US"/>
    </w:rPr>
  </w:style>
  <w:style w:type="paragraph" w:customStyle="1" w:styleId="ACMAHeading2">
    <w:name w:val="ACMA Heading 2"/>
    <w:next w:val="ACMABodyText"/>
    <w:uiPriority w:val="99"/>
    <w:rsid w:val="001F31EE"/>
    <w:pPr>
      <w:keepNext/>
      <w:suppressAutoHyphens/>
      <w:spacing w:before="240" w:after="0" w:line="240" w:lineRule="auto"/>
      <w:outlineLvl w:val="2"/>
    </w:pPr>
    <w:rPr>
      <w:rFonts w:ascii="Arial" w:hAnsi="Arial"/>
      <w:b/>
      <w:caps/>
      <w:sz w:val="26"/>
      <w:szCs w:val="26"/>
      <w:lang w:val="en-US" w:eastAsia="en-US"/>
    </w:rPr>
  </w:style>
  <w:style w:type="paragraph" w:customStyle="1" w:styleId="ACMAHeading3">
    <w:name w:val="ACMA Heading 3"/>
    <w:next w:val="ACMABodyText"/>
    <w:uiPriority w:val="99"/>
    <w:rsid w:val="001F31EE"/>
    <w:pPr>
      <w:keepNext/>
      <w:suppressAutoHyphens/>
      <w:spacing w:before="240" w:after="0" w:line="240" w:lineRule="auto"/>
      <w:outlineLvl w:val="3"/>
    </w:pPr>
    <w:rPr>
      <w:rFonts w:ascii="Arial" w:hAnsi="Arial"/>
      <w:b/>
      <w:sz w:val="24"/>
      <w:szCs w:val="20"/>
      <w:lang w:val="en-US" w:eastAsia="en-US"/>
    </w:rPr>
  </w:style>
  <w:style w:type="paragraph" w:customStyle="1" w:styleId="ACMAHeading4">
    <w:name w:val="ACMA Heading 4"/>
    <w:next w:val="ACMABodyText"/>
    <w:uiPriority w:val="99"/>
    <w:rsid w:val="001F31EE"/>
    <w:pPr>
      <w:keepNext/>
      <w:suppressAutoHyphens/>
      <w:spacing w:before="80" w:after="0" w:line="240" w:lineRule="auto"/>
      <w:outlineLvl w:val="4"/>
    </w:pPr>
    <w:rPr>
      <w:rFonts w:ascii="Arial" w:hAnsi="Arial"/>
      <w:b/>
      <w:i/>
      <w:sz w:val="20"/>
      <w:szCs w:val="20"/>
      <w:lang w:eastAsia="en-US"/>
    </w:rPr>
  </w:style>
  <w:style w:type="paragraph" w:customStyle="1" w:styleId="ACMAletteredlist">
    <w:name w:val="ACMA lettered list"/>
    <w:uiPriority w:val="99"/>
    <w:rsid w:val="001F31EE"/>
    <w:pPr>
      <w:numPr>
        <w:numId w:val="3"/>
      </w:numPr>
      <w:tabs>
        <w:tab w:val="clear" w:pos="360"/>
      </w:tabs>
      <w:spacing w:before="20" w:after="20" w:line="240" w:lineRule="auto"/>
    </w:pPr>
    <w:rPr>
      <w:sz w:val="24"/>
      <w:szCs w:val="20"/>
      <w:lang w:eastAsia="en-US"/>
    </w:rPr>
  </w:style>
  <w:style w:type="paragraph" w:customStyle="1" w:styleId="ACMANumberedList">
    <w:name w:val="ACMA Numbered List"/>
    <w:uiPriority w:val="99"/>
    <w:rsid w:val="001F31EE"/>
    <w:pPr>
      <w:numPr>
        <w:numId w:val="4"/>
      </w:numPr>
      <w:tabs>
        <w:tab w:val="clear" w:pos="720"/>
      </w:tabs>
      <w:spacing w:before="20" w:after="20" w:line="240" w:lineRule="auto"/>
      <w:ind w:left="360"/>
    </w:pPr>
    <w:rPr>
      <w:sz w:val="24"/>
      <w:szCs w:val="20"/>
      <w:lang w:eastAsia="en-US"/>
    </w:rPr>
  </w:style>
  <w:style w:type="paragraph" w:customStyle="1" w:styleId="ACMAQuote">
    <w:name w:val="ACMA Quote"/>
    <w:uiPriority w:val="99"/>
    <w:rsid w:val="001F31EE"/>
    <w:pPr>
      <w:spacing w:after="0" w:line="240" w:lineRule="atLeast"/>
      <w:ind w:left="562" w:right="562"/>
    </w:pPr>
    <w:rPr>
      <w:szCs w:val="20"/>
      <w:lang w:eastAsia="en-US"/>
    </w:rPr>
  </w:style>
  <w:style w:type="paragraph" w:customStyle="1" w:styleId="ACMAReportDate">
    <w:name w:val="ACMA Report Date"/>
    <w:uiPriority w:val="99"/>
    <w:rsid w:val="001F31EE"/>
    <w:pPr>
      <w:spacing w:after="0" w:line="240" w:lineRule="auto"/>
    </w:pPr>
    <w:rPr>
      <w:sz w:val="20"/>
      <w:szCs w:val="20"/>
      <w:lang w:eastAsia="en-US"/>
    </w:rPr>
  </w:style>
  <w:style w:type="paragraph" w:customStyle="1" w:styleId="ACMAReportImprint">
    <w:name w:val="ACMA Report Imprint"/>
    <w:uiPriority w:val="99"/>
    <w:rsid w:val="001F31EE"/>
    <w:pPr>
      <w:spacing w:after="80" w:line="240" w:lineRule="auto"/>
    </w:pPr>
    <w:rPr>
      <w:rFonts w:cs="Arial"/>
      <w:sz w:val="20"/>
      <w:szCs w:val="20"/>
      <w:lang w:eastAsia="en-US"/>
    </w:rPr>
  </w:style>
  <w:style w:type="paragraph" w:customStyle="1" w:styleId="ACMAReportSubtitle">
    <w:name w:val="ACMA Report Subtitle"/>
    <w:uiPriority w:val="99"/>
    <w:rsid w:val="001F31EE"/>
    <w:pPr>
      <w:spacing w:before="1440" w:after="0" w:line="240" w:lineRule="auto"/>
    </w:pPr>
    <w:rPr>
      <w:sz w:val="36"/>
      <w:szCs w:val="20"/>
      <w:lang w:eastAsia="en-US"/>
    </w:rPr>
  </w:style>
  <w:style w:type="paragraph" w:customStyle="1" w:styleId="ACMAReportTitle">
    <w:name w:val="ACMA Report Title"/>
    <w:uiPriority w:val="99"/>
    <w:rsid w:val="001F31EE"/>
    <w:pPr>
      <w:spacing w:before="1980" w:after="0" w:line="240" w:lineRule="auto"/>
    </w:pPr>
    <w:rPr>
      <w:sz w:val="80"/>
      <w:szCs w:val="20"/>
      <w:lang w:eastAsia="en-US"/>
    </w:rPr>
  </w:style>
  <w:style w:type="paragraph" w:customStyle="1" w:styleId="ACMATableBullet">
    <w:name w:val="ACMA Table Bullet"/>
    <w:uiPriority w:val="99"/>
    <w:rsid w:val="001F31EE"/>
    <w:pPr>
      <w:numPr>
        <w:numId w:val="12"/>
      </w:numPr>
      <w:tabs>
        <w:tab w:val="clear" w:pos="720"/>
        <w:tab w:val="num" w:pos="1008"/>
      </w:tabs>
      <w:spacing w:before="40" w:after="40" w:line="240" w:lineRule="auto"/>
      <w:ind w:left="1008"/>
    </w:pPr>
    <w:rPr>
      <w:rFonts w:ascii="Arial" w:hAnsi="Arial"/>
      <w:sz w:val="20"/>
      <w:szCs w:val="20"/>
      <w:lang w:eastAsia="en-US"/>
    </w:rPr>
  </w:style>
  <w:style w:type="paragraph" w:customStyle="1" w:styleId="ACMATableCaption">
    <w:name w:val="ACMA Table Caption"/>
    <w:uiPriority w:val="99"/>
    <w:rsid w:val="001F31EE"/>
    <w:pPr>
      <w:spacing w:after="120" w:line="240" w:lineRule="auto"/>
    </w:pPr>
    <w:rPr>
      <w:rFonts w:ascii="Arial" w:hAnsi="Arial"/>
      <w:sz w:val="20"/>
      <w:szCs w:val="20"/>
      <w:lang w:eastAsia="en-US"/>
    </w:rPr>
  </w:style>
  <w:style w:type="paragraph" w:customStyle="1" w:styleId="ACMATableHeading">
    <w:name w:val="ACMA Table Heading"/>
    <w:uiPriority w:val="99"/>
    <w:rsid w:val="001F31EE"/>
    <w:pPr>
      <w:spacing w:before="40" w:after="40" w:line="240" w:lineRule="auto"/>
    </w:pPr>
    <w:rPr>
      <w:rFonts w:ascii="Arial" w:hAnsi="Arial"/>
      <w:b/>
      <w:sz w:val="20"/>
      <w:szCs w:val="20"/>
      <w:lang w:eastAsia="en-US"/>
    </w:rPr>
  </w:style>
  <w:style w:type="paragraph" w:customStyle="1" w:styleId="ACMATableNumber">
    <w:name w:val="ACMA Table Number"/>
    <w:uiPriority w:val="99"/>
    <w:rsid w:val="001F31EE"/>
    <w:pPr>
      <w:spacing w:before="160" w:after="0" w:line="240" w:lineRule="auto"/>
    </w:pPr>
    <w:rPr>
      <w:rFonts w:ascii="Arial" w:hAnsi="Arial"/>
      <w:b/>
      <w:sz w:val="20"/>
      <w:szCs w:val="20"/>
      <w:lang w:eastAsia="en-US"/>
    </w:rPr>
  </w:style>
  <w:style w:type="paragraph" w:customStyle="1" w:styleId="ACMATableText">
    <w:name w:val="ACMA Table Text"/>
    <w:uiPriority w:val="99"/>
    <w:rsid w:val="001F31EE"/>
    <w:pPr>
      <w:spacing w:before="40" w:after="40" w:line="240" w:lineRule="auto"/>
    </w:pPr>
    <w:rPr>
      <w:rFonts w:ascii="Arial" w:hAnsi="Arial"/>
      <w:sz w:val="20"/>
      <w:szCs w:val="20"/>
      <w:lang w:eastAsia="en-US"/>
    </w:rPr>
  </w:style>
  <w:style w:type="paragraph" w:customStyle="1" w:styleId="LegislationLvl1">
    <w:name w:val="Legislation Lvl 1"/>
    <w:uiPriority w:val="99"/>
    <w:rsid w:val="001F31EE"/>
    <w:pPr>
      <w:numPr>
        <w:numId w:val="6"/>
      </w:numPr>
      <w:tabs>
        <w:tab w:val="clear" w:pos="1080"/>
        <w:tab w:val="num" w:pos="851"/>
      </w:tabs>
      <w:spacing w:after="0" w:line="240" w:lineRule="auto"/>
      <w:ind w:left="850" w:hanging="493"/>
    </w:pPr>
    <w:rPr>
      <w:bCs/>
      <w:szCs w:val="20"/>
      <w:lang w:eastAsia="en-US"/>
    </w:rPr>
  </w:style>
  <w:style w:type="paragraph" w:customStyle="1" w:styleId="LegislationLvl2">
    <w:name w:val="Legislation Lvl 2"/>
    <w:uiPriority w:val="99"/>
    <w:rsid w:val="001F31EE"/>
    <w:pPr>
      <w:numPr>
        <w:ilvl w:val="1"/>
        <w:numId w:val="7"/>
      </w:numPr>
      <w:tabs>
        <w:tab w:val="clear" w:pos="1440"/>
        <w:tab w:val="num" w:pos="1418"/>
      </w:tabs>
      <w:spacing w:after="0" w:line="240" w:lineRule="auto"/>
      <w:ind w:left="1418" w:hanging="567"/>
    </w:pPr>
    <w:rPr>
      <w:szCs w:val="20"/>
      <w:lang w:eastAsia="en-US"/>
    </w:rPr>
  </w:style>
  <w:style w:type="paragraph" w:customStyle="1" w:styleId="LegislationLvl3">
    <w:name w:val="Legislation Lvl 3"/>
    <w:uiPriority w:val="99"/>
    <w:rsid w:val="001F31EE"/>
    <w:pPr>
      <w:numPr>
        <w:ilvl w:val="2"/>
        <w:numId w:val="8"/>
      </w:numPr>
      <w:tabs>
        <w:tab w:val="clear" w:pos="2340"/>
        <w:tab w:val="num" w:pos="1985"/>
      </w:tabs>
      <w:spacing w:after="0" w:line="240" w:lineRule="auto"/>
      <w:ind w:left="1985" w:hanging="567"/>
    </w:pPr>
    <w:rPr>
      <w:szCs w:val="20"/>
      <w:lang w:eastAsia="en-US"/>
    </w:rPr>
  </w:style>
  <w:style w:type="paragraph" w:customStyle="1" w:styleId="LegislationLvl4">
    <w:name w:val="Legislation Lvl 4"/>
    <w:uiPriority w:val="99"/>
    <w:rsid w:val="001F31EE"/>
    <w:pPr>
      <w:numPr>
        <w:ilvl w:val="3"/>
        <w:numId w:val="9"/>
      </w:numPr>
      <w:tabs>
        <w:tab w:val="clear" w:pos="2700"/>
        <w:tab w:val="num" w:pos="2694"/>
      </w:tabs>
      <w:spacing w:after="0" w:line="240" w:lineRule="auto"/>
      <w:ind w:left="2694" w:hanging="426"/>
    </w:pPr>
    <w:rPr>
      <w:szCs w:val="20"/>
      <w:lang w:eastAsia="en-US"/>
    </w:rPr>
  </w:style>
  <w:style w:type="paragraph" w:styleId="FootnoteText">
    <w:name w:val="footnote text"/>
    <w:aliases w:val="ACMA Footnote Text"/>
    <w:basedOn w:val="Normal"/>
    <w:link w:val="FootnoteTextChar"/>
    <w:uiPriority w:val="99"/>
    <w:rsid w:val="001F31EE"/>
    <w:pPr>
      <w:tabs>
        <w:tab w:val="left" w:pos="284"/>
      </w:tabs>
      <w:spacing w:before="0" w:after="0" w:line="240" w:lineRule="auto"/>
      <w:ind w:left="288" w:hanging="288"/>
    </w:pPr>
    <w:rPr>
      <w:sz w:val="20"/>
      <w:szCs w:val="20"/>
    </w:rPr>
  </w:style>
  <w:style w:type="character" w:customStyle="1" w:styleId="FootnoteTextChar">
    <w:name w:val="Footnote Text Char"/>
    <w:aliases w:val="ACMA Footnote Text Char"/>
    <w:basedOn w:val="DefaultParagraphFont"/>
    <w:link w:val="FootnoteText"/>
    <w:uiPriority w:val="99"/>
    <w:semiHidden/>
    <w:rsid w:val="001F31EE"/>
    <w:rPr>
      <w:sz w:val="20"/>
      <w:szCs w:val="20"/>
      <w:lang w:eastAsia="en-US"/>
    </w:rPr>
  </w:style>
  <w:style w:type="paragraph" w:customStyle="1" w:styleId="Pre-NumberedLegisLvl1">
    <w:name w:val="Pre-Numbered Legis Lvl 1"/>
    <w:uiPriority w:val="99"/>
    <w:rsid w:val="001F31EE"/>
    <w:pPr>
      <w:spacing w:after="0" w:line="240" w:lineRule="auto"/>
      <w:ind w:left="850" w:hanging="493"/>
    </w:pPr>
    <w:rPr>
      <w:szCs w:val="20"/>
      <w:lang w:eastAsia="en-US"/>
    </w:rPr>
  </w:style>
  <w:style w:type="paragraph" w:customStyle="1" w:styleId="Pre-NumberedLegisLvl2">
    <w:name w:val="Pre-Numbered Legis Lvl 2"/>
    <w:uiPriority w:val="99"/>
    <w:rsid w:val="001F31EE"/>
    <w:pPr>
      <w:spacing w:after="0" w:line="240" w:lineRule="auto"/>
      <w:ind w:left="1367" w:hanging="516"/>
    </w:pPr>
    <w:rPr>
      <w:szCs w:val="20"/>
      <w:lang w:eastAsia="en-US"/>
    </w:rPr>
  </w:style>
  <w:style w:type="paragraph" w:customStyle="1" w:styleId="Pre-NumberedLegisLvl3">
    <w:name w:val="Pre-Numbered Legis Lvl 3"/>
    <w:uiPriority w:val="99"/>
    <w:rsid w:val="001F31EE"/>
    <w:pPr>
      <w:spacing w:after="0" w:line="240" w:lineRule="auto"/>
      <w:ind w:left="1985" w:hanging="567"/>
    </w:pPr>
    <w:rPr>
      <w:szCs w:val="20"/>
      <w:lang w:eastAsia="en-US"/>
    </w:rPr>
  </w:style>
  <w:style w:type="paragraph" w:customStyle="1" w:styleId="Pre-NumberedLegisLvl4">
    <w:name w:val="Pre-Numbered Legis Lvl 4"/>
    <w:uiPriority w:val="99"/>
    <w:rsid w:val="001F31EE"/>
    <w:pPr>
      <w:spacing w:after="0" w:line="240" w:lineRule="auto"/>
      <w:ind w:left="2721" w:hanging="680"/>
    </w:pPr>
    <w:rPr>
      <w:szCs w:val="20"/>
      <w:lang w:eastAsia="en-US"/>
    </w:rPr>
  </w:style>
  <w:style w:type="paragraph" w:styleId="TOC1">
    <w:name w:val="toc 1"/>
    <w:aliases w:val="ACMA 1"/>
    <w:basedOn w:val="Normal"/>
    <w:uiPriority w:val="99"/>
    <w:rsid w:val="001F31EE"/>
    <w:pPr>
      <w:spacing w:before="360" w:after="0" w:line="240" w:lineRule="auto"/>
    </w:pPr>
    <w:rPr>
      <w:rFonts w:ascii="Arial" w:hAnsi="Arial"/>
      <w:b/>
      <w:bCs/>
      <w:caps/>
      <w:sz w:val="20"/>
      <w:szCs w:val="28"/>
    </w:rPr>
  </w:style>
  <w:style w:type="paragraph" w:styleId="TOC2">
    <w:name w:val="toc 2"/>
    <w:aliases w:val="ACMA 2"/>
    <w:basedOn w:val="Normal"/>
    <w:uiPriority w:val="99"/>
    <w:rsid w:val="001F31EE"/>
    <w:pPr>
      <w:spacing w:before="240" w:after="0" w:line="240" w:lineRule="auto"/>
    </w:pPr>
    <w:rPr>
      <w:bCs/>
      <w:sz w:val="22"/>
    </w:rPr>
  </w:style>
  <w:style w:type="paragraph" w:styleId="TOC3">
    <w:name w:val="toc 3"/>
    <w:aliases w:val="ACMA 3"/>
    <w:basedOn w:val="Normal"/>
    <w:uiPriority w:val="99"/>
    <w:rsid w:val="001F31EE"/>
    <w:pPr>
      <w:spacing w:before="0" w:after="0" w:line="240" w:lineRule="auto"/>
      <w:ind w:left="198"/>
    </w:pPr>
    <w:rPr>
      <w:sz w:val="22"/>
    </w:rPr>
  </w:style>
  <w:style w:type="character" w:styleId="Hyperlink">
    <w:name w:val="Hyperlink"/>
    <w:basedOn w:val="DefaultParagraphFont"/>
    <w:uiPriority w:val="99"/>
    <w:rsid w:val="001F31EE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1F31EE"/>
    <w:pPr>
      <w:spacing w:before="80" w:after="120"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MAReportImprintLast">
    <w:name w:val="ACMA Report Imprint Last"/>
    <w:basedOn w:val="ACMAReportImprint"/>
    <w:uiPriority w:val="99"/>
    <w:rsid w:val="001F31EE"/>
    <w:pPr>
      <w:spacing w:before="480" w:after="420"/>
    </w:pPr>
  </w:style>
  <w:style w:type="paragraph" w:styleId="Footer">
    <w:name w:val="footer"/>
    <w:basedOn w:val="Normal"/>
    <w:link w:val="FooterChar"/>
    <w:uiPriority w:val="99"/>
    <w:rsid w:val="001F31E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F31EE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rsid w:val="001F31EE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1F31EE"/>
    <w:rPr>
      <w:rFonts w:cs="Times New Roman"/>
      <w:vertAlign w:val="superscript"/>
    </w:rPr>
  </w:style>
  <w:style w:type="character" w:customStyle="1" w:styleId="ACMABodyTextChar">
    <w:name w:val="ACMA Body Text Char"/>
    <w:basedOn w:val="DefaultParagraphFont"/>
    <w:link w:val="ACMABodyText"/>
    <w:rsid w:val="00BA79F1"/>
    <w:rPr>
      <w:sz w:val="24"/>
      <w:szCs w:val="20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51F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1F9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1F9B"/>
    <w:rPr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1F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1F9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1F9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1F9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585</Words>
  <Characters>3462</Characters>
  <Application>Microsoft Office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ACMA Normal Template</vt:lpstr>
    </vt:vector>
  </TitlesOfParts>
  <Company>Australian Communications Media Authority</Company>
  <LinksUpToDate>false</LinksUpToDate>
  <CharactersWithSpaces>4039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ACMA Normal Template</dc:title>
  <dc:creator>nskill</dc:creator>
  <cp:lastModifiedBy>Helen Turnbull</cp:lastModifiedBy>
  <cp:revision>2</cp:revision>
  <cp:lastPrinted>2006-11-13T00:51:00Z</cp:lastPrinted>
  <dcterms:created xsi:type="dcterms:W3CDTF">2011-09-26T06:17:00Z</dcterms:created>
  <dcterms:modified xsi:type="dcterms:W3CDTF">2011-09-26T06:17:00Z</dcterms:modified>
</cp:coreProperties>
</file>