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C6" w:rsidRPr="00377DBC" w:rsidRDefault="00667BC6" w:rsidP="00667BC6">
      <w:pPr>
        <w:jc w:val="center"/>
        <w:rPr>
          <w:rFonts w:ascii="Arial" w:hAnsi="Arial" w:cs="Arial"/>
          <w:b/>
        </w:rPr>
      </w:pPr>
      <w:r w:rsidRPr="00377DBC">
        <w:rPr>
          <w:rFonts w:ascii="Arial" w:hAnsi="Arial" w:cs="Arial"/>
          <w:b/>
        </w:rPr>
        <w:t>EXPLAN</w:t>
      </w:r>
      <w:r>
        <w:rPr>
          <w:rFonts w:ascii="Arial" w:hAnsi="Arial" w:cs="Arial"/>
          <w:b/>
        </w:rPr>
        <w:t>A</w:t>
      </w:r>
      <w:r w:rsidRPr="00377DBC">
        <w:rPr>
          <w:rFonts w:ascii="Arial" w:hAnsi="Arial" w:cs="Arial"/>
          <w:b/>
        </w:rPr>
        <w:t>TORY STATEMENT</w:t>
      </w:r>
    </w:p>
    <w:p w:rsidR="00667BC6" w:rsidRPr="00377DBC" w:rsidRDefault="00667BC6" w:rsidP="00667BC6">
      <w:pPr>
        <w:jc w:val="center"/>
        <w:rPr>
          <w:rFonts w:ascii="Arial" w:hAnsi="Arial" w:cs="Arial"/>
          <w:b/>
        </w:rPr>
      </w:pPr>
    </w:p>
    <w:p w:rsidR="00667BC6" w:rsidRDefault="00667BC6" w:rsidP="00667BC6">
      <w:pPr>
        <w:jc w:val="center"/>
        <w:rPr>
          <w:rFonts w:ascii="Arial" w:hAnsi="Arial" w:cs="Arial"/>
        </w:rPr>
      </w:pPr>
      <w:r w:rsidRPr="00377DBC">
        <w:rPr>
          <w:rFonts w:ascii="Arial" w:hAnsi="Arial" w:cs="Arial"/>
        </w:rPr>
        <w:t>Issued by the Australian Communications and Media Authority</w:t>
      </w:r>
      <w:r w:rsidRPr="00377DBC">
        <w:rPr>
          <w:rFonts w:ascii="Arial" w:hAnsi="Arial" w:cs="Arial"/>
        </w:rPr>
        <w:br/>
      </w:r>
    </w:p>
    <w:p w:rsidR="00667BC6" w:rsidRPr="00377DBC" w:rsidRDefault="00667BC6" w:rsidP="00667BC6">
      <w:pPr>
        <w:jc w:val="center"/>
        <w:rPr>
          <w:rFonts w:ascii="Arial" w:hAnsi="Arial" w:cs="Arial"/>
          <w:b/>
          <w:i/>
        </w:rPr>
      </w:pPr>
      <w:r w:rsidRPr="0095510E">
        <w:rPr>
          <w:rFonts w:ascii="Arial" w:hAnsi="Arial" w:cs="Arial"/>
          <w:b/>
          <w:i/>
        </w:rPr>
        <w:t>Telecommunications (Customer Service Guarantee</w:t>
      </w:r>
      <w:r w:rsidR="00816E34">
        <w:rPr>
          <w:rFonts w:ascii="Arial" w:hAnsi="Arial" w:cs="Arial"/>
          <w:b/>
          <w:i/>
        </w:rPr>
        <w:t>)</w:t>
      </w:r>
      <w:r w:rsidRPr="0095510E">
        <w:rPr>
          <w:rFonts w:ascii="Arial" w:hAnsi="Arial" w:cs="Arial"/>
          <w:b/>
          <w:i/>
        </w:rPr>
        <w:t xml:space="preserve"> Record-</w:t>
      </w:r>
      <w:r w:rsidR="00816E34">
        <w:rPr>
          <w:rFonts w:ascii="Arial" w:hAnsi="Arial" w:cs="Arial"/>
          <w:b/>
          <w:i/>
        </w:rPr>
        <w:t>K</w:t>
      </w:r>
      <w:r w:rsidRPr="0095510E">
        <w:rPr>
          <w:rFonts w:ascii="Arial" w:hAnsi="Arial" w:cs="Arial"/>
          <w:b/>
          <w:i/>
        </w:rPr>
        <w:t>eeping Rules 2011</w:t>
      </w:r>
    </w:p>
    <w:p w:rsidR="00667BC6" w:rsidRDefault="00667BC6" w:rsidP="00667BC6">
      <w:pPr>
        <w:jc w:val="center"/>
        <w:rPr>
          <w:rFonts w:ascii="Arial" w:hAnsi="Arial" w:cs="Arial"/>
          <w:i/>
        </w:rPr>
      </w:pPr>
      <w:r w:rsidRPr="00B12315">
        <w:rPr>
          <w:rFonts w:ascii="Arial" w:hAnsi="Arial" w:cs="Arial"/>
          <w:i/>
        </w:rPr>
        <w:t>Telecommunications</w:t>
      </w:r>
      <w:r>
        <w:rPr>
          <w:rFonts w:ascii="Arial" w:hAnsi="Arial" w:cs="Arial"/>
          <w:i/>
        </w:rPr>
        <w:t xml:space="preserve"> Act 1997</w:t>
      </w:r>
    </w:p>
    <w:p w:rsidR="00667BC6" w:rsidRPr="00377DBC" w:rsidRDefault="00667BC6" w:rsidP="00667BC6">
      <w:pPr>
        <w:rPr>
          <w:rFonts w:ascii="Arial" w:hAnsi="Arial" w:cs="Arial"/>
          <w:sz w:val="28"/>
          <w:szCs w:val="28"/>
        </w:rPr>
      </w:pPr>
      <w:r w:rsidRPr="00377DBC">
        <w:rPr>
          <w:rFonts w:ascii="Arial" w:hAnsi="Arial" w:cs="Arial"/>
          <w:sz w:val="28"/>
          <w:szCs w:val="28"/>
        </w:rPr>
        <w:t>Purpose</w:t>
      </w:r>
    </w:p>
    <w:p w:rsidR="005C7268" w:rsidRDefault="005C7268" w:rsidP="005C7268">
      <w:pPr>
        <w:spacing w:after="0" w:line="240" w:lineRule="auto"/>
        <w:rPr>
          <w:rFonts w:ascii="Arial" w:hAnsi="Arial" w:cs="Arial"/>
        </w:rPr>
      </w:pPr>
      <w:r>
        <w:rPr>
          <w:rFonts w:ascii="Arial" w:hAnsi="Arial" w:cs="Arial"/>
        </w:rPr>
        <w:t xml:space="preserve">The </w:t>
      </w:r>
      <w:r w:rsidRPr="00D11640">
        <w:rPr>
          <w:rFonts w:ascii="Arial" w:hAnsi="Arial" w:cs="Arial"/>
        </w:rPr>
        <w:t>Australian Communications and Media Authority (</w:t>
      </w:r>
      <w:r w:rsidRPr="0025411C">
        <w:rPr>
          <w:rFonts w:ascii="Arial" w:hAnsi="Arial"/>
          <w:b/>
        </w:rPr>
        <w:t>ACMA</w:t>
      </w:r>
      <w:r w:rsidRPr="00D11640">
        <w:rPr>
          <w:rFonts w:ascii="Arial" w:hAnsi="Arial" w:cs="Arial"/>
        </w:rPr>
        <w:t>)</w:t>
      </w:r>
      <w:r>
        <w:rPr>
          <w:rFonts w:ascii="Arial" w:hAnsi="Arial" w:cs="Arial"/>
        </w:rPr>
        <w:t xml:space="preserve"> has made the </w:t>
      </w:r>
      <w:r w:rsidRPr="00D11640">
        <w:rPr>
          <w:rFonts w:ascii="Arial" w:hAnsi="Arial" w:cs="Arial"/>
          <w:i/>
        </w:rPr>
        <w:t>Telecommunications (Customer Service Guarantee Record-</w:t>
      </w:r>
      <w:r>
        <w:rPr>
          <w:rFonts w:ascii="Arial" w:hAnsi="Arial" w:cs="Arial"/>
          <w:i/>
        </w:rPr>
        <w:t>K</w:t>
      </w:r>
      <w:r w:rsidRPr="00D11640">
        <w:rPr>
          <w:rFonts w:ascii="Arial" w:hAnsi="Arial" w:cs="Arial"/>
          <w:i/>
        </w:rPr>
        <w:t xml:space="preserve">eeping) Rules 2011 </w:t>
      </w:r>
      <w:r w:rsidRPr="003F4EA2">
        <w:rPr>
          <w:rFonts w:ascii="Arial" w:hAnsi="Arial"/>
        </w:rPr>
        <w:t>(</w:t>
      </w:r>
      <w:r w:rsidRPr="0025411C">
        <w:rPr>
          <w:rFonts w:ascii="Arial" w:hAnsi="Arial"/>
          <w:b/>
        </w:rPr>
        <w:t>Rules</w:t>
      </w:r>
      <w:r w:rsidRPr="00D11640">
        <w:rPr>
          <w:rFonts w:ascii="Arial" w:hAnsi="Arial" w:cs="Arial"/>
        </w:rPr>
        <w:t>)</w:t>
      </w:r>
      <w:r>
        <w:rPr>
          <w:rFonts w:ascii="Arial" w:hAnsi="Arial" w:cs="Arial"/>
        </w:rPr>
        <w:t xml:space="preserve"> for the purposes of</w:t>
      </w:r>
      <w:r w:rsidRPr="00DF5EAD">
        <w:rPr>
          <w:rFonts w:ascii="Arial" w:hAnsi="Arial" w:cs="Arial"/>
        </w:rPr>
        <w:t xml:space="preserve"> </w:t>
      </w:r>
      <w:r>
        <w:rPr>
          <w:rFonts w:ascii="Arial" w:hAnsi="Arial" w:cs="Arial"/>
        </w:rPr>
        <w:t>ensuring that specified carriage service providers (</w:t>
      </w:r>
      <w:r w:rsidRPr="0025411C">
        <w:rPr>
          <w:rFonts w:ascii="Arial" w:hAnsi="Arial" w:cs="Arial"/>
          <w:b/>
        </w:rPr>
        <w:t>CSPs</w:t>
      </w:r>
      <w:r>
        <w:rPr>
          <w:rFonts w:ascii="Arial" w:hAnsi="Arial" w:cs="Arial"/>
        </w:rPr>
        <w:t>) keep the necessary records, and provide to the ACMA the necessary information, to enable the ACMA to</w:t>
      </w:r>
      <w:r w:rsidRPr="007016FF">
        <w:rPr>
          <w:rFonts w:ascii="Arial" w:hAnsi="Arial" w:cs="Arial"/>
        </w:rPr>
        <w:t xml:space="preserve"> </w:t>
      </w:r>
      <w:r>
        <w:rPr>
          <w:rFonts w:ascii="Arial" w:hAnsi="Arial" w:cs="Arial"/>
        </w:rPr>
        <w:t>effectively:</w:t>
      </w:r>
    </w:p>
    <w:p w:rsidR="005C7268" w:rsidRDefault="005C7268" w:rsidP="005C7268">
      <w:pPr>
        <w:numPr>
          <w:ilvl w:val="0"/>
          <w:numId w:val="21"/>
        </w:numPr>
        <w:spacing w:after="0" w:line="240" w:lineRule="auto"/>
        <w:rPr>
          <w:rFonts w:ascii="Arial" w:hAnsi="Arial" w:cs="Arial"/>
        </w:rPr>
      </w:pPr>
      <w:r>
        <w:rPr>
          <w:rFonts w:ascii="Arial" w:hAnsi="Arial" w:cs="Arial"/>
        </w:rPr>
        <w:t xml:space="preserve">monitor and enforce compliance with the benchmarks relating to customer service set by the Minister under section 117B of the </w:t>
      </w:r>
      <w:r>
        <w:rPr>
          <w:rFonts w:ascii="Arial" w:hAnsi="Arial" w:cs="Arial"/>
          <w:i/>
        </w:rPr>
        <w:t xml:space="preserve">Telecommunications (Consumer Protection and Service Standards) Act 1999 </w:t>
      </w:r>
      <w:r>
        <w:rPr>
          <w:rFonts w:ascii="Arial" w:hAnsi="Arial" w:cs="Arial"/>
        </w:rPr>
        <w:t>(</w:t>
      </w:r>
      <w:r>
        <w:rPr>
          <w:rFonts w:ascii="Arial" w:hAnsi="Arial" w:cs="Arial"/>
          <w:b/>
        </w:rPr>
        <w:t>TCPSS Act</w:t>
      </w:r>
      <w:r w:rsidRPr="0025411C">
        <w:rPr>
          <w:rFonts w:ascii="Arial" w:hAnsi="Arial" w:cs="Arial"/>
        </w:rPr>
        <w:t>)</w:t>
      </w:r>
      <w:r>
        <w:rPr>
          <w:rFonts w:ascii="Arial" w:hAnsi="Arial" w:cs="Arial"/>
        </w:rPr>
        <w:t>; and</w:t>
      </w:r>
    </w:p>
    <w:p w:rsidR="005C7268" w:rsidRDefault="005C7268" w:rsidP="005C7268">
      <w:pPr>
        <w:numPr>
          <w:ilvl w:val="0"/>
          <w:numId w:val="21"/>
        </w:numPr>
        <w:spacing w:after="0" w:line="240" w:lineRule="auto"/>
        <w:rPr>
          <w:rFonts w:ascii="Arial" w:hAnsi="Arial" w:cs="Arial"/>
        </w:rPr>
      </w:pPr>
      <w:proofErr w:type="gramStart"/>
      <w:r>
        <w:rPr>
          <w:rFonts w:ascii="Arial" w:hAnsi="Arial" w:cs="Arial"/>
        </w:rPr>
        <w:t>discharge</w:t>
      </w:r>
      <w:proofErr w:type="gramEnd"/>
      <w:r>
        <w:rPr>
          <w:rFonts w:ascii="Arial" w:hAnsi="Arial" w:cs="Arial"/>
        </w:rPr>
        <w:t xml:space="preserve"> its obligation to monitor and report on industry performance as provided for in the </w:t>
      </w:r>
      <w:r>
        <w:rPr>
          <w:rFonts w:ascii="Arial" w:hAnsi="Arial" w:cs="Arial"/>
          <w:i/>
        </w:rPr>
        <w:t xml:space="preserve">Australian Communications and Media Authority Act 2005 and the Telecommunications Act 1997 </w:t>
      </w:r>
      <w:r>
        <w:rPr>
          <w:rFonts w:ascii="Arial" w:hAnsi="Arial" w:cs="Arial"/>
        </w:rPr>
        <w:t>(</w:t>
      </w:r>
      <w:r w:rsidRPr="007C03D3">
        <w:rPr>
          <w:rFonts w:ascii="Arial" w:hAnsi="Arial" w:cs="Arial"/>
          <w:b/>
          <w:i/>
        </w:rPr>
        <w:t>Tel Act</w:t>
      </w:r>
      <w:r>
        <w:rPr>
          <w:rFonts w:ascii="Arial" w:hAnsi="Arial" w:cs="Arial"/>
        </w:rPr>
        <w:t>)</w:t>
      </w:r>
      <w:r w:rsidRPr="00D11640">
        <w:rPr>
          <w:rFonts w:ascii="Arial" w:hAnsi="Arial" w:cs="Arial"/>
          <w:i/>
        </w:rPr>
        <w:t>.</w:t>
      </w:r>
    </w:p>
    <w:p w:rsidR="005C7268" w:rsidRDefault="005C7268" w:rsidP="005C7268">
      <w:pPr>
        <w:spacing w:after="0" w:line="240" w:lineRule="auto"/>
        <w:rPr>
          <w:rFonts w:ascii="Arial" w:hAnsi="Arial" w:cs="Arial"/>
        </w:rPr>
      </w:pPr>
    </w:p>
    <w:p w:rsidR="005C7268" w:rsidRPr="00D11640" w:rsidRDefault="005C7268" w:rsidP="005C7268">
      <w:pPr>
        <w:spacing w:after="0" w:line="240" w:lineRule="auto"/>
        <w:rPr>
          <w:rFonts w:ascii="Arial" w:hAnsi="Arial" w:cs="Arial"/>
        </w:rPr>
      </w:pPr>
      <w:r w:rsidRPr="00D11640">
        <w:rPr>
          <w:rFonts w:ascii="Arial" w:hAnsi="Arial" w:cs="Arial"/>
        </w:rPr>
        <w:t>The Rules require</w:t>
      </w:r>
      <w:r>
        <w:rPr>
          <w:rFonts w:ascii="Arial" w:hAnsi="Arial" w:cs="Arial"/>
        </w:rPr>
        <w:t xml:space="preserve"> specified CSPs to:</w:t>
      </w:r>
      <w:r w:rsidRPr="00D11640">
        <w:rPr>
          <w:rFonts w:ascii="Arial" w:hAnsi="Arial" w:cs="Arial"/>
        </w:rPr>
        <w:t xml:space="preserve"> </w:t>
      </w:r>
    </w:p>
    <w:p w:rsidR="005C7268" w:rsidRPr="00D11640" w:rsidRDefault="005C7268" w:rsidP="005C7268">
      <w:pPr>
        <w:numPr>
          <w:ilvl w:val="0"/>
          <w:numId w:val="14"/>
        </w:numPr>
        <w:spacing w:after="0" w:line="240" w:lineRule="auto"/>
        <w:rPr>
          <w:rFonts w:ascii="Arial" w:hAnsi="Arial" w:cs="Arial"/>
        </w:rPr>
      </w:pPr>
      <w:r>
        <w:rPr>
          <w:rFonts w:ascii="Arial" w:hAnsi="Arial" w:cs="Arial"/>
        </w:rPr>
        <w:t xml:space="preserve">keep and retain </w:t>
      </w:r>
      <w:r w:rsidRPr="00D11640">
        <w:rPr>
          <w:rFonts w:ascii="Arial" w:hAnsi="Arial" w:cs="Arial"/>
        </w:rPr>
        <w:t xml:space="preserve">records in relation to compliance with </w:t>
      </w:r>
      <w:r>
        <w:rPr>
          <w:rFonts w:ascii="Arial" w:hAnsi="Arial" w:cs="Arial"/>
        </w:rPr>
        <w:t xml:space="preserve">the </w:t>
      </w:r>
      <w:r>
        <w:rPr>
          <w:rFonts w:ascii="Arial" w:hAnsi="Arial" w:cs="Arial"/>
          <w:i/>
        </w:rPr>
        <w:t xml:space="preserve">Telecommunications (Customer Service Guarantee) Standard 2011 </w:t>
      </w:r>
      <w:r>
        <w:rPr>
          <w:rFonts w:ascii="Arial" w:hAnsi="Arial" w:cs="Arial"/>
        </w:rPr>
        <w:t>(</w:t>
      </w:r>
      <w:r w:rsidRPr="0025411C">
        <w:rPr>
          <w:rFonts w:ascii="Arial" w:hAnsi="Arial"/>
          <w:b/>
        </w:rPr>
        <w:t>CSG Standard</w:t>
      </w:r>
      <w:r>
        <w:rPr>
          <w:rFonts w:ascii="Arial" w:hAnsi="Arial" w:cs="Arial"/>
        </w:rPr>
        <w:t xml:space="preserve">) and the </w:t>
      </w:r>
      <w:r w:rsidRPr="00D11640">
        <w:rPr>
          <w:rFonts w:ascii="Arial" w:hAnsi="Arial" w:cs="Arial"/>
          <w:i/>
        </w:rPr>
        <w:t>Telecommunications (Customer Service Guarantee – Retail Performance Benchmarks) Instrument (No. 1) 2011</w:t>
      </w:r>
      <w:r>
        <w:rPr>
          <w:rFonts w:ascii="Arial" w:hAnsi="Arial" w:cs="Arial"/>
          <w:i/>
        </w:rPr>
        <w:t xml:space="preserve"> </w:t>
      </w:r>
      <w:r w:rsidRPr="00257B78">
        <w:rPr>
          <w:rFonts w:ascii="Arial" w:hAnsi="Arial" w:cs="Arial"/>
        </w:rPr>
        <w:t>(</w:t>
      </w:r>
      <w:r w:rsidRPr="00257B78">
        <w:rPr>
          <w:rFonts w:ascii="Arial" w:hAnsi="Arial" w:cs="Arial"/>
          <w:b/>
          <w:i/>
        </w:rPr>
        <w:t>Retail CSG Benchmarks</w:t>
      </w:r>
      <w:r w:rsidRPr="00257B78">
        <w:rPr>
          <w:rFonts w:ascii="Arial" w:hAnsi="Arial" w:cs="Arial"/>
        </w:rPr>
        <w:t>)</w:t>
      </w:r>
      <w:r>
        <w:rPr>
          <w:rFonts w:ascii="Arial" w:hAnsi="Arial" w:cs="Arial"/>
        </w:rPr>
        <w:t>;</w:t>
      </w:r>
      <w:r w:rsidRPr="00D11640">
        <w:rPr>
          <w:rFonts w:ascii="Arial" w:hAnsi="Arial" w:cs="Arial"/>
        </w:rPr>
        <w:t xml:space="preserve"> and </w:t>
      </w:r>
    </w:p>
    <w:p w:rsidR="005C7268" w:rsidRPr="00D11640" w:rsidRDefault="005C7268" w:rsidP="005C7268">
      <w:pPr>
        <w:numPr>
          <w:ilvl w:val="0"/>
          <w:numId w:val="14"/>
        </w:numPr>
        <w:spacing w:after="0" w:line="240" w:lineRule="auto"/>
        <w:rPr>
          <w:rFonts w:ascii="Arial" w:hAnsi="Arial" w:cs="Arial"/>
        </w:rPr>
      </w:pPr>
      <w:proofErr w:type="gramStart"/>
      <w:r w:rsidRPr="00D11640">
        <w:rPr>
          <w:rFonts w:ascii="Arial" w:hAnsi="Arial" w:cs="Arial"/>
        </w:rPr>
        <w:t>prepare</w:t>
      </w:r>
      <w:proofErr w:type="gramEnd"/>
      <w:r>
        <w:rPr>
          <w:rFonts w:ascii="Arial" w:hAnsi="Arial" w:cs="Arial"/>
        </w:rPr>
        <w:t xml:space="preserve"> and give to the ACMA, reports in the form specified in the Rules and whic</w:t>
      </w:r>
      <w:r w:rsidR="008430EC">
        <w:rPr>
          <w:rFonts w:ascii="Arial" w:hAnsi="Arial" w:cs="Arial"/>
        </w:rPr>
        <w:t>h</w:t>
      </w:r>
      <w:r>
        <w:rPr>
          <w:rFonts w:ascii="Arial" w:hAnsi="Arial" w:cs="Arial"/>
        </w:rPr>
        <w:t xml:space="preserve"> consist of information contained in those records</w:t>
      </w:r>
      <w:r w:rsidRPr="00D11640">
        <w:rPr>
          <w:rFonts w:ascii="Arial" w:hAnsi="Arial" w:cs="Arial"/>
        </w:rPr>
        <w:t xml:space="preserve">. </w:t>
      </w:r>
    </w:p>
    <w:p w:rsidR="00667BC6" w:rsidRDefault="00667BC6" w:rsidP="00667BC6">
      <w:pPr>
        <w:rPr>
          <w:rFonts w:ascii="Arial" w:hAnsi="Arial" w:cs="Arial"/>
        </w:rPr>
      </w:pPr>
    </w:p>
    <w:p w:rsidR="00667BC6" w:rsidRPr="00377DBC" w:rsidRDefault="00667BC6" w:rsidP="00667BC6">
      <w:pPr>
        <w:keepNext/>
        <w:rPr>
          <w:rFonts w:ascii="Arial" w:hAnsi="Arial" w:cs="Arial"/>
          <w:sz w:val="28"/>
          <w:szCs w:val="28"/>
        </w:rPr>
      </w:pPr>
      <w:r w:rsidRPr="00377DBC">
        <w:rPr>
          <w:rFonts w:ascii="Arial" w:hAnsi="Arial" w:cs="Arial"/>
          <w:sz w:val="28"/>
          <w:szCs w:val="28"/>
        </w:rPr>
        <w:t>Legislative Provisions</w:t>
      </w:r>
    </w:p>
    <w:p w:rsidR="005C7268" w:rsidRDefault="005C7268" w:rsidP="005C7268">
      <w:pPr>
        <w:spacing w:after="0" w:line="240" w:lineRule="auto"/>
        <w:rPr>
          <w:rFonts w:ascii="Arial" w:hAnsi="Arial" w:cs="Arial"/>
        </w:rPr>
      </w:pPr>
      <w:r>
        <w:rPr>
          <w:rFonts w:ascii="Arial" w:hAnsi="Arial" w:cs="Arial"/>
        </w:rPr>
        <w:t xml:space="preserve">The Rules are made under subsection 529(1) of the </w:t>
      </w:r>
      <w:r w:rsidRPr="00D47B83">
        <w:rPr>
          <w:rFonts w:ascii="Arial" w:hAnsi="Arial" w:cs="Arial"/>
        </w:rPr>
        <w:t>Tel Act</w:t>
      </w:r>
      <w:r>
        <w:rPr>
          <w:rFonts w:ascii="Arial" w:hAnsi="Arial" w:cs="Arial"/>
        </w:rPr>
        <w:t xml:space="preserve">. Subsection 529(1) allows the ACMA to make rules for and in relation to requiring one or more specified carriers or one or more specified </w:t>
      </w:r>
      <w:r w:rsidRPr="00185055">
        <w:rPr>
          <w:rFonts w:ascii="Arial" w:hAnsi="Arial" w:cs="Arial"/>
        </w:rPr>
        <w:t>CSPs</w:t>
      </w:r>
      <w:r w:rsidRPr="00E00E39">
        <w:rPr>
          <w:rFonts w:ascii="Arial" w:hAnsi="Arial" w:cs="Arial"/>
        </w:rPr>
        <w:t xml:space="preserve"> </w:t>
      </w:r>
      <w:r>
        <w:rPr>
          <w:rFonts w:ascii="Arial" w:hAnsi="Arial" w:cs="Arial"/>
        </w:rPr>
        <w:t>to keep and retain records. Under subsection 529(2A), such record-keeping r</w:t>
      </w:r>
      <w:r w:rsidRPr="00E00E39">
        <w:rPr>
          <w:rFonts w:ascii="Arial" w:hAnsi="Arial" w:cs="Arial"/>
        </w:rPr>
        <w:t xml:space="preserve">ules may also require those carriers or </w:t>
      </w:r>
      <w:r>
        <w:rPr>
          <w:rFonts w:ascii="Arial" w:hAnsi="Arial" w:cs="Arial"/>
        </w:rPr>
        <w:t>CSPs</w:t>
      </w:r>
      <w:r w:rsidRPr="00E00E39">
        <w:rPr>
          <w:rFonts w:ascii="Arial" w:hAnsi="Arial" w:cs="Arial"/>
        </w:rPr>
        <w:t xml:space="preserve"> to prepare reports consisting of information contained in</w:t>
      </w:r>
      <w:r>
        <w:rPr>
          <w:rFonts w:ascii="Arial" w:hAnsi="Arial" w:cs="Arial"/>
        </w:rPr>
        <w:t xml:space="preserve"> </w:t>
      </w:r>
      <w:r w:rsidRPr="00E00E39">
        <w:rPr>
          <w:rFonts w:ascii="Arial" w:hAnsi="Arial" w:cs="Arial"/>
        </w:rPr>
        <w:t>those records</w:t>
      </w:r>
      <w:r>
        <w:rPr>
          <w:rFonts w:ascii="Arial" w:hAnsi="Arial" w:cs="Arial"/>
        </w:rPr>
        <w:t>, and</w:t>
      </w:r>
      <w:r w:rsidRPr="00E00E39">
        <w:rPr>
          <w:rFonts w:ascii="Arial" w:hAnsi="Arial" w:cs="Arial"/>
        </w:rPr>
        <w:t xml:space="preserve"> to give any or</w:t>
      </w:r>
      <w:r>
        <w:rPr>
          <w:rFonts w:ascii="Arial" w:hAnsi="Arial" w:cs="Arial"/>
        </w:rPr>
        <w:t xml:space="preserve"> all of the reports to the ACMA.</w:t>
      </w:r>
    </w:p>
    <w:p w:rsidR="005C7268" w:rsidRPr="004462A1" w:rsidRDefault="005C7268" w:rsidP="005C7268">
      <w:pPr>
        <w:spacing w:after="0" w:line="240" w:lineRule="auto"/>
        <w:rPr>
          <w:rFonts w:ascii="Arial" w:hAnsi="Arial" w:cs="Arial"/>
        </w:rPr>
      </w:pPr>
    </w:p>
    <w:p w:rsidR="005C7268" w:rsidRPr="004462A1" w:rsidRDefault="005C7268" w:rsidP="005C7268">
      <w:pPr>
        <w:spacing w:after="0" w:line="240" w:lineRule="auto"/>
        <w:rPr>
          <w:rFonts w:ascii="Arial" w:hAnsi="Arial" w:cs="Arial"/>
        </w:rPr>
      </w:pPr>
      <w:r>
        <w:rPr>
          <w:rFonts w:ascii="Arial" w:hAnsi="Arial" w:cs="Arial"/>
        </w:rPr>
        <w:t>Subsection</w:t>
      </w:r>
      <w:r w:rsidRPr="004462A1">
        <w:rPr>
          <w:rFonts w:ascii="Arial" w:hAnsi="Arial" w:cs="Arial"/>
        </w:rPr>
        <w:t xml:space="preserve"> </w:t>
      </w:r>
      <w:r>
        <w:rPr>
          <w:rFonts w:ascii="Arial" w:hAnsi="Arial" w:cs="Arial"/>
        </w:rPr>
        <w:t xml:space="preserve">529(4) </w:t>
      </w:r>
      <w:r w:rsidRPr="004462A1">
        <w:rPr>
          <w:rFonts w:ascii="Arial" w:hAnsi="Arial" w:cs="Arial"/>
        </w:rPr>
        <w:t xml:space="preserve">limits the </w:t>
      </w:r>
      <w:r>
        <w:rPr>
          <w:rFonts w:ascii="Arial" w:hAnsi="Arial" w:cs="Arial"/>
        </w:rPr>
        <w:t>scope of the ACMA’s power,</w:t>
      </w:r>
      <w:r w:rsidRPr="004462A1">
        <w:rPr>
          <w:rFonts w:ascii="Arial" w:hAnsi="Arial" w:cs="Arial"/>
        </w:rPr>
        <w:t xml:space="preserve"> </w:t>
      </w:r>
      <w:r>
        <w:rPr>
          <w:rFonts w:ascii="Arial" w:hAnsi="Arial" w:cs="Arial"/>
        </w:rPr>
        <w:t xml:space="preserve">such that the ACMA </w:t>
      </w:r>
      <w:r w:rsidRPr="004462A1">
        <w:rPr>
          <w:rFonts w:ascii="Arial" w:hAnsi="Arial" w:cs="Arial"/>
        </w:rPr>
        <w:t xml:space="preserve">cannot make record-keeping rules requiring the keeping or retention of records unless the records contain, or will contain, information that is relevant to the performance of the ACMA’s telecommunications functions or the exercise of the ACMA’s telecommunications powers. </w:t>
      </w:r>
    </w:p>
    <w:p w:rsidR="00667BC6" w:rsidRPr="00377DBC" w:rsidRDefault="00204D5E" w:rsidP="00667BC6">
      <w:pPr>
        <w:rPr>
          <w:rFonts w:ascii="Arial" w:hAnsi="Arial" w:cs="Arial"/>
          <w:sz w:val="28"/>
          <w:szCs w:val="28"/>
        </w:rPr>
      </w:pPr>
      <w:r>
        <w:rPr>
          <w:rFonts w:ascii="Arial" w:hAnsi="Arial" w:cs="Arial"/>
          <w:sz w:val="28"/>
          <w:szCs w:val="28"/>
        </w:rPr>
        <w:br w:type="page"/>
      </w:r>
      <w:r w:rsidR="00667BC6" w:rsidRPr="00377DBC">
        <w:rPr>
          <w:rFonts w:ascii="Arial" w:hAnsi="Arial" w:cs="Arial"/>
          <w:sz w:val="28"/>
          <w:szCs w:val="28"/>
        </w:rPr>
        <w:lastRenderedPageBreak/>
        <w:t>Background</w:t>
      </w:r>
    </w:p>
    <w:p w:rsidR="00667BC6" w:rsidRPr="00682824" w:rsidRDefault="00667BC6" w:rsidP="00667BC6">
      <w:pPr>
        <w:pStyle w:val="ACMANumberedList"/>
        <w:autoSpaceDE/>
        <w:autoSpaceDN/>
        <w:adjustRightInd/>
        <w:spacing w:before="20" w:after="20"/>
        <w:rPr>
          <w:b/>
          <w:i/>
          <w:sz w:val="22"/>
          <w:szCs w:val="22"/>
        </w:rPr>
      </w:pPr>
      <w:r w:rsidRPr="00682824">
        <w:rPr>
          <w:b/>
          <w:i/>
          <w:sz w:val="22"/>
          <w:szCs w:val="22"/>
        </w:rPr>
        <w:t>Consumer safeguard reforms</w:t>
      </w:r>
    </w:p>
    <w:p w:rsidR="00667BC6" w:rsidRDefault="00667BC6" w:rsidP="00667BC6">
      <w:pPr>
        <w:pStyle w:val="ACMANumberedList"/>
        <w:autoSpaceDE/>
        <w:autoSpaceDN/>
        <w:adjustRightInd/>
        <w:spacing w:before="20" w:after="20"/>
        <w:rPr>
          <w:sz w:val="22"/>
          <w:szCs w:val="22"/>
        </w:rPr>
      </w:pPr>
    </w:p>
    <w:p w:rsidR="005C7268" w:rsidRPr="00956D94" w:rsidRDefault="005C7268" w:rsidP="005C7268">
      <w:pPr>
        <w:pStyle w:val="ACMANumberedList"/>
        <w:autoSpaceDE/>
        <w:autoSpaceDN/>
        <w:adjustRightInd/>
        <w:spacing w:before="20" w:after="20"/>
        <w:rPr>
          <w:sz w:val="22"/>
          <w:szCs w:val="22"/>
        </w:rPr>
      </w:pPr>
      <w:r>
        <w:rPr>
          <w:sz w:val="22"/>
          <w:szCs w:val="22"/>
        </w:rPr>
        <w:t xml:space="preserve">The </w:t>
      </w:r>
      <w:r w:rsidRPr="00956D94">
        <w:rPr>
          <w:sz w:val="22"/>
          <w:szCs w:val="22"/>
        </w:rPr>
        <w:t xml:space="preserve">ACMA’s </w:t>
      </w:r>
      <w:r>
        <w:rPr>
          <w:sz w:val="22"/>
          <w:szCs w:val="22"/>
        </w:rPr>
        <w:t xml:space="preserve">power in section 529 to make </w:t>
      </w:r>
      <w:r w:rsidRPr="00956D94">
        <w:rPr>
          <w:sz w:val="22"/>
          <w:szCs w:val="22"/>
        </w:rPr>
        <w:t xml:space="preserve">record-keeping </w:t>
      </w:r>
      <w:r>
        <w:rPr>
          <w:sz w:val="22"/>
          <w:szCs w:val="22"/>
        </w:rPr>
        <w:t>rules</w:t>
      </w:r>
      <w:r w:rsidRPr="00956D94">
        <w:rPr>
          <w:sz w:val="22"/>
          <w:szCs w:val="22"/>
        </w:rPr>
        <w:t xml:space="preserve"> w</w:t>
      </w:r>
      <w:r>
        <w:rPr>
          <w:sz w:val="22"/>
          <w:szCs w:val="22"/>
        </w:rPr>
        <w:t>as</w:t>
      </w:r>
      <w:r w:rsidRPr="00956D94">
        <w:rPr>
          <w:sz w:val="22"/>
          <w:szCs w:val="22"/>
        </w:rPr>
        <w:t xml:space="preserve"> </w:t>
      </w:r>
      <w:r>
        <w:rPr>
          <w:sz w:val="22"/>
          <w:szCs w:val="22"/>
        </w:rPr>
        <w:t>enlarged</w:t>
      </w:r>
      <w:r w:rsidRPr="00956D94">
        <w:rPr>
          <w:sz w:val="22"/>
          <w:szCs w:val="22"/>
        </w:rPr>
        <w:t xml:space="preserve"> by the </w:t>
      </w:r>
      <w:r w:rsidRPr="00ED2EB7">
        <w:rPr>
          <w:i/>
          <w:sz w:val="22"/>
          <w:szCs w:val="22"/>
        </w:rPr>
        <w:t>Telecommunications Legislation Amendment (Competition and Consumer Safeguards) Act 2010</w:t>
      </w:r>
      <w:r w:rsidRPr="00956D94">
        <w:rPr>
          <w:sz w:val="22"/>
          <w:szCs w:val="22"/>
        </w:rPr>
        <w:t xml:space="preserve"> (</w:t>
      </w:r>
      <w:r w:rsidRPr="0025411C">
        <w:rPr>
          <w:b/>
          <w:sz w:val="22"/>
        </w:rPr>
        <w:t>CCS Act</w:t>
      </w:r>
      <w:r w:rsidRPr="00956D94">
        <w:rPr>
          <w:sz w:val="22"/>
          <w:szCs w:val="22"/>
        </w:rPr>
        <w:t>)</w:t>
      </w:r>
      <w:r>
        <w:rPr>
          <w:sz w:val="22"/>
          <w:szCs w:val="22"/>
        </w:rPr>
        <w:t>. Relevantly, the CCS Act amended section 529 in a manner empowering the ACMA to make record-keeping rules</w:t>
      </w:r>
      <w:r w:rsidRPr="00956D94">
        <w:rPr>
          <w:sz w:val="22"/>
          <w:szCs w:val="22"/>
        </w:rPr>
        <w:t xml:space="preserve"> requir</w:t>
      </w:r>
      <w:r>
        <w:rPr>
          <w:sz w:val="22"/>
          <w:szCs w:val="22"/>
        </w:rPr>
        <w:t>ing</w:t>
      </w:r>
      <w:r w:rsidRPr="00956D94">
        <w:rPr>
          <w:sz w:val="22"/>
          <w:szCs w:val="22"/>
        </w:rPr>
        <w:t xml:space="preserve"> that: </w:t>
      </w:r>
    </w:p>
    <w:p w:rsidR="005C7268" w:rsidRPr="00956D94" w:rsidRDefault="005C7268" w:rsidP="005C7268">
      <w:pPr>
        <w:pStyle w:val="ACMANumberedList"/>
        <w:numPr>
          <w:ilvl w:val="0"/>
          <w:numId w:val="9"/>
        </w:numPr>
        <w:autoSpaceDE/>
        <w:autoSpaceDN/>
        <w:adjustRightInd/>
        <w:spacing w:before="20" w:after="20"/>
        <w:rPr>
          <w:sz w:val="22"/>
          <w:szCs w:val="22"/>
        </w:rPr>
      </w:pPr>
      <w:r w:rsidRPr="00956D94">
        <w:rPr>
          <w:sz w:val="22"/>
          <w:szCs w:val="22"/>
        </w:rPr>
        <w:t>reports be prepared on the basis of information</w:t>
      </w:r>
      <w:r>
        <w:rPr>
          <w:sz w:val="22"/>
          <w:szCs w:val="22"/>
        </w:rPr>
        <w:t xml:space="preserve"> contained</w:t>
      </w:r>
      <w:r w:rsidRPr="00956D94">
        <w:rPr>
          <w:sz w:val="22"/>
          <w:szCs w:val="22"/>
        </w:rPr>
        <w:t xml:space="preserve"> in those records</w:t>
      </w:r>
      <w:r>
        <w:rPr>
          <w:sz w:val="22"/>
          <w:szCs w:val="22"/>
        </w:rPr>
        <w:t>;</w:t>
      </w:r>
      <w:r w:rsidRPr="00956D94">
        <w:rPr>
          <w:sz w:val="22"/>
          <w:szCs w:val="22"/>
        </w:rPr>
        <w:t xml:space="preserve"> and </w:t>
      </w:r>
    </w:p>
    <w:p w:rsidR="005C7268" w:rsidRDefault="005C7268" w:rsidP="005C7268">
      <w:pPr>
        <w:pStyle w:val="ACMANumberedList"/>
        <w:numPr>
          <w:ilvl w:val="0"/>
          <w:numId w:val="9"/>
        </w:numPr>
        <w:autoSpaceDE/>
        <w:autoSpaceDN/>
        <w:adjustRightInd/>
        <w:spacing w:before="20" w:after="20"/>
      </w:pPr>
      <w:proofErr w:type="gramStart"/>
      <w:r w:rsidRPr="00956D94">
        <w:rPr>
          <w:sz w:val="22"/>
          <w:szCs w:val="22"/>
        </w:rPr>
        <w:t>tho</w:t>
      </w:r>
      <w:r>
        <w:rPr>
          <w:sz w:val="22"/>
          <w:szCs w:val="22"/>
        </w:rPr>
        <w:t>se</w:t>
      </w:r>
      <w:proofErr w:type="gramEnd"/>
      <w:r>
        <w:rPr>
          <w:sz w:val="22"/>
          <w:szCs w:val="22"/>
        </w:rPr>
        <w:t xml:space="preserve"> reports be given to the ACMA</w:t>
      </w:r>
      <w:r w:rsidRPr="00956D94">
        <w:rPr>
          <w:sz w:val="22"/>
          <w:szCs w:val="22"/>
        </w:rPr>
        <w:t>.</w:t>
      </w:r>
      <w:r>
        <w:t xml:space="preserve"> </w:t>
      </w:r>
    </w:p>
    <w:p w:rsidR="005C7268" w:rsidRDefault="005C7268" w:rsidP="005C7268">
      <w:pPr>
        <w:pStyle w:val="ACMANumberedList"/>
        <w:autoSpaceDE/>
        <w:autoSpaceDN/>
        <w:adjustRightInd/>
        <w:spacing w:before="20" w:after="20"/>
        <w:rPr>
          <w:sz w:val="22"/>
          <w:szCs w:val="22"/>
        </w:rPr>
      </w:pPr>
    </w:p>
    <w:p w:rsidR="005C7268" w:rsidRPr="00956D94" w:rsidRDefault="005C7268" w:rsidP="005C7268">
      <w:pPr>
        <w:pStyle w:val="ACMANumberedList"/>
        <w:autoSpaceDE/>
        <w:autoSpaceDN/>
        <w:adjustRightInd/>
        <w:spacing w:before="20" w:after="20"/>
        <w:rPr>
          <w:sz w:val="22"/>
          <w:szCs w:val="22"/>
        </w:rPr>
      </w:pPr>
      <w:r>
        <w:rPr>
          <w:sz w:val="22"/>
          <w:szCs w:val="22"/>
        </w:rPr>
        <w:t>The amendment to section 529 of the Tel Act</w:t>
      </w:r>
      <w:r w:rsidRPr="00956D94">
        <w:rPr>
          <w:sz w:val="22"/>
          <w:szCs w:val="22"/>
        </w:rPr>
        <w:t xml:space="preserve"> </w:t>
      </w:r>
      <w:r>
        <w:rPr>
          <w:sz w:val="22"/>
          <w:szCs w:val="22"/>
        </w:rPr>
        <w:t>formed</w:t>
      </w:r>
      <w:r w:rsidRPr="00956D94">
        <w:rPr>
          <w:sz w:val="22"/>
          <w:szCs w:val="22"/>
        </w:rPr>
        <w:t xml:space="preserve"> part of a </w:t>
      </w:r>
      <w:r>
        <w:rPr>
          <w:sz w:val="22"/>
          <w:szCs w:val="22"/>
        </w:rPr>
        <w:t xml:space="preserve">broader </w:t>
      </w:r>
      <w:r w:rsidRPr="00956D94">
        <w:rPr>
          <w:sz w:val="22"/>
          <w:szCs w:val="22"/>
        </w:rPr>
        <w:t xml:space="preserve">package of measures </w:t>
      </w:r>
      <w:r>
        <w:rPr>
          <w:sz w:val="22"/>
          <w:szCs w:val="22"/>
        </w:rPr>
        <w:t xml:space="preserve">implemented to </w:t>
      </w:r>
      <w:r w:rsidRPr="00084AA1">
        <w:rPr>
          <w:sz w:val="22"/>
          <w:szCs w:val="22"/>
        </w:rPr>
        <w:t>strengthen consumer safeguard</w:t>
      </w:r>
      <w:r>
        <w:rPr>
          <w:sz w:val="22"/>
          <w:szCs w:val="22"/>
        </w:rPr>
        <w:t>s</w:t>
      </w:r>
      <w:r w:rsidRPr="00084AA1">
        <w:rPr>
          <w:sz w:val="22"/>
          <w:szCs w:val="22"/>
        </w:rPr>
        <w:t xml:space="preserve"> </w:t>
      </w:r>
      <w:r>
        <w:rPr>
          <w:sz w:val="22"/>
          <w:szCs w:val="22"/>
        </w:rPr>
        <w:t xml:space="preserve">relating to </w:t>
      </w:r>
      <w:r w:rsidRPr="00084AA1">
        <w:rPr>
          <w:sz w:val="22"/>
          <w:szCs w:val="22"/>
        </w:rPr>
        <w:t xml:space="preserve">the Universal Service Obligation (USO), the </w:t>
      </w:r>
      <w:r>
        <w:rPr>
          <w:sz w:val="22"/>
          <w:szCs w:val="22"/>
        </w:rPr>
        <w:t xml:space="preserve">Customer Service Guarantee </w:t>
      </w:r>
      <w:r w:rsidRPr="00084AA1">
        <w:rPr>
          <w:sz w:val="22"/>
          <w:szCs w:val="22"/>
        </w:rPr>
        <w:t xml:space="preserve">and </w:t>
      </w:r>
      <w:r>
        <w:rPr>
          <w:sz w:val="22"/>
          <w:szCs w:val="22"/>
        </w:rPr>
        <w:t>P</w:t>
      </w:r>
      <w:r w:rsidRPr="00084AA1">
        <w:rPr>
          <w:sz w:val="22"/>
          <w:szCs w:val="22"/>
        </w:rPr>
        <w:t xml:space="preserve">riority </w:t>
      </w:r>
      <w:r>
        <w:rPr>
          <w:sz w:val="22"/>
          <w:szCs w:val="22"/>
        </w:rPr>
        <w:t>A</w:t>
      </w:r>
      <w:r w:rsidRPr="00084AA1">
        <w:rPr>
          <w:sz w:val="22"/>
          <w:szCs w:val="22"/>
        </w:rPr>
        <w:t>ssistance</w:t>
      </w:r>
      <w:r w:rsidRPr="00CE0275">
        <w:rPr>
          <w:rFonts w:ascii="HelveticaNeueLT Std Lt" w:hAnsi="HelveticaNeueLT Std Lt"/>
        </w:rPr>
        <w:t xml:space="preserve"> </w:t>
      </w:r>
      <w:r>
        <w:rPr>
          <w:sz w:val="22"/>
          <w:szCs w:val="22"/>
        </w:rPr>
        <w:t xml:space="preserve">and </w:t>
      </w:r>
      <w:r w:rsidRPr="00956D94">
        <w:rPr>
          <w:sz w:val="22"/>
          <w:szCs w:val="22"/>
        </w:rPr>
        <w:t>included:</w:t>
      </w:r>
    </w:p>
    <w:p w:rsidR="005C7268" w:rsidRPr="00E446A8" w:rsidRDefault="005C7268" w:rsidP="005C7268">
      <w:pPr>
        <w:pStyle w:val="ACMANumberedList"/>
        <w:numPr>
          <w:ilvl w:val="0"/>
          <w:numId w:val="9"/>
        </w:numPr>
        <w:autoSpaceDE/>
        <w:autoSpaceDN/>
        <w:adjustRightInd/>
        <w:spacing w:before="20" w:after="20"/>
        <w:rPr>
          <w:sz w:val="22"/>
          <w:szCs w:val="22"/>
        </w:rPr>
      </w:pPr>
      <w:r w:rsidRPr="00E446A8">
        <w:rPr>
          <w:sz w:val="22"/>
          <w:szCs w:val="22"/>
        </w:rPr>
        <w:t xml:space="preserve">enabling the </w:t>
      </w:r>
      <w:r w:rsidRPr="00074C28">
        <w:t>Minister</w:t>
      </w:r>
      <w:r w:rsidRPr="00E446A8">
        <w:rPr>
          <w:sz w:val="22"/>
          <w:szCs w:val="22"/>
        </w:rPr>
        <w:t xml:space="preserve"> to specify standards, terms and conditions of services, connection and repair periods, and reliability requirements of the standard telephone service</w:t>
      </w:r>
      <w:r>
        <w:rPr>
          <w:sz w:val="22"/>
          <w:szCs w:val="22"/>
        </w:rPr>
        <w:t xml:space="preserve"> under the USO</w:t>
      </w:r>
      <w:r w:rsidRPr="00E446A8">
        <w:rPr>
          <w:sz w:val="22"/>
          <w:szCs w:val="22"/>
        </w:rPr>
        <w:t xml:space="preserve">;  </w:t>
      </w:r>
    </w:p>
    <w:p w:rsidR="005C7268" w:rsidRPr="009467C5" w:rsidRDefault="005C7268" w:rsidP="005C7268">
      <w:pPr>
        <w:pStyle w:val="Default"/>
        <w:numPr>
          <w:ilvl w:val="0"/>
          <w:numId w:val="9"/>
        </w:numPr>
        <w:rPr>
          <w:rFonts w:ascii="Arial" w:hAnsi="Arial" w:cs="Arial"/>
          <w:color w:val="auto"/>
          <w:sz w:val="22"/>
          <w:szCs w:val="22"/>
        </w:rPr>
      </w:pPr>
      <w:r w:rsidRPr="00BC365F">
        <w:rPr>
          <w:rFonts w:ascii="Arial" w:hAnsi="Arial" w:cs="Arial"/>
          <w:color w:val="auto"/>
          <w:sz w:val="22"/>
          <w:szCs w:val="22"/>
        </w:rPr>
        <w:t>enabling the Minister to specify</w:t>
      </w:r>
      <w:r w:rsidRPr="009467C5">
        <w:rPr>
          <w:rFonts w:ascii="Arial" w:hAnsi="Arial" w:cs="Arial"/>
          <w:color w:val="auto"/>
          <w:sz w:val="22"/>
          <w:szCs w:val="22"/>
        </w:rPr>
        <w:t xml:space="preserve"> minimum performance </w:t>
      </w:r>
      <w:r>
        <w:rPr>
          <w:rFonts w:ascii="Arial" w:hAnsi="Arial" w:cs="Arial"/>
          <w:color w:val="auto"/>
          <w:sz w:val="22"/>
          <w:szCs w:val="22"/>
        </w:rPr>
        <w:t xml:space="preserve">benchmarks </w:t>
      </w:r>
      <w:r w:rsidRPr="009467C5">
        <w:rPr>
          <w:rFonts w:ascii="Arial" w:hAnsi="Arial" w:cs="Arial"/>
          <w:color w:val="auto"/>
          <w:sz w:val="22"/>
          <w:szCs w:val="22"/>
        </w:rPr>
        <w:t xml:space="preserve">in meeting the </w:t>
      </w:r>
      <w:r w:rsidRPr="0025411C">
        <w:rPr>
          <w:rFonts w:ascii="Arial" w:hAnsi="Arial" w:cs="Arial"/>
          <w:color w:val="auto"/>
          <w:sz w:val="22"/>
          <w:szCs w:val="22"/>
        </w:rPr>
        <w:t>CSG Standard</w:t>
      </w:r>
      <w:r w:rsidRPr="009467C5">
        <w:rPr>
          <w:rFonts w:ascii="Arial" w:hAnsi="Arial" w:cs="Arial"/>
          <w:color w:val="auto"/>
          <w:sz w:val="22"/>
          <w:szCs w:val="22"/>
        </w:rPr>
        <w:t xml:space="preserve"> with significant penalties to promote compliance; </w:t>
      </w:r>
    </w:p>
    <w:p w:rsidR="005C7268" w:rsidRPr="009467C5" w:rsidRDefault="005C7268" w:rsidP="005C7268">
      <w:pPr>
        <w:pStyle w:val="Default"/>
        <w:numPr>
          <w:ilvl w:val="0"/>
          <w:numId w:val="9"/>
        </w:numPr>
        <w:rPr>
          <w:rFonts w:ascii="Arial" w:hAnsi="Arial" w:cs="Arial"/>
          <w:color w:val="auto"/>
          <w:sz w:val="22"/>
          <w:szCs w:val="22"/>
        </w:rPr>
      </w:pPr>
      <w:r w:rsidRPr="009467C5">
        <w:rPr>
          <w:rFonts w:ascii="Arial" w:hAnsi="Arial" w:cs="Arial"/>
          <w:color w:val="auto"/>
          <w:sz w:val="22"/>
          <w:szCs w:val="22"/>
        </w:rPr>
        <w:t>clarifying the operation of provisions allowing providers to contract out of the CSG</w:t>
      </w:r>
      <w:r>
        <w:rPr>
          <w:rFonts w:ascii="Arial" w:hAnsi="Arial" w:cs="Arial"/>
          <w:color w:val="auto"/>
          <w:sz w:val="22"/>
          <w:szCs w:val="22"/>
        </w:rPr>
        <w:t xml:space="preserve"> Standard</w:t>
      </w:r>
      <w:r w:rsidRPr="009467C5">
        <w:rPr>
          <w:rFonts w:ascii="Arial" w:hAnsi="Arial" w:cs="Arial"/>
          <w:color w:val="auto"/>
          <w:sz w:val="22"/>
          <w:szCs w:val="22"/>
        </w:rPr>
        <w:t xml:space="preserve"> to ensure that the provider may only do so with the customer’s agreement; </w:t>
      </w:r>
    </w:p>
    <w:p w:rsidR="005C7268" w:rsidRPr="009467C5" w:rsidRDefault="005C7268" w:rsidP="005C7268">
      <w:pPr>
        <w:pStyle w:val="Default"/>
        <w:numPr>
          <w:ilvl w:val="0"/>
          <w:numId w:val="9"/>
        </w:numPr>
        <w:rPr>
          <w:rFonts w:ascii="Arial" w:hAnsi="Arial" w:cs="Arial"/>
          <w:color w:val="auto"/>
          <w:sz w:val="22"/>
          <w:szCs w:val="22"/>
        </w:rPr>
      </w:pPr>
      <w:r w:rsidRPr="009467C5">
        <w:rPr>
          <w:rFonts w:ascii="Arial" w:hAnsi="Arial" w:cs="Arial"/>
          <w:color w:val="auto"/>
          <w:sz w:val="22"/>
          <w:szCs w:val="22"/>
        </w:rPr>
        <w:t xml:space="preserve">enabling the ACMA to issue infringement notices; </w:t>
      </w:r>
      <w:r>
        <w:rPr>
          <w:rFonts w:ascii="Arial" w:hAnsi="Arial" w:cs="Arial"/>
          <w:color w:val="auto"/>
          <w:sz w:val="22"/>
          <w:szCs w:val="22"/>
        </w:rPr>
        <w:t>and</w:t>
      </w:r>
    </w:p>
    <w:p w:rsidR="005C7268" w:rsidRPr="009467C5" w:rsidRDefault="005C7268" w:rsidP="005C7268">
      <w:pPr>
        <w:pStyle w:val="Default"/>
        <w:numPr>
          <w:ilvl w:val="0"/>
          <w:numId w:val="9"/>
        </w:numPr>
        <w:rPr>
          <w:rFonts w:ascii="Arial" w:hAnsi="Arial" w:cs="Arial"/>
          <w:color w:val="auto"/>
          <w:sz w:val="22"/>
          <w:szCs w:val="22"/>
        </w:rPr>
      </w:pPr>
      <w:proofErr w:type="gramStart"/>
      <w:r w:rsidRPr="009467C5">
        <w:rPr>
          <w:rFonts w:ascii="Arial" w:hAnsi="Arial" w:cs="Arial"/>
          <w:color w:val="auto"/>
          <w:sz w:val="22"/>
          <w:szCs w:val="22"/>
        </w:rPr>
        <w:t>requiring</w:t>
      </w:r>
      <w:proofErr w:type="gramEnd"/>
      <w:r w:rsidRPr="009467C5">
        <w:rPr>
          <w:rFonts w:ascii="Arial" w:hAnsi="Arial" w:cs="Arial"/>
          <w:color w:val="auto"/>
          <w:sz w:val="22"/>
          <w:szCs w:val="22"/>
        </w:rPr>
        <w:t xml:space="preserve"> providers </w:t>
      </w:r>
      <w:r>
        <w:rPr>
          <w:rFonts w:ascii="Arial" w:hAnsi="Arial" w:cs="Arial"/>
          <w:color w:val="auto"/>
          <w:sz w:val="22"/>
          <w:szCs w:val="22"/>
        </w:rPr>
        <w:t>who do not</w:t>
      </w:r>
      <w:r w:rsidRPr="009467C5">
        <w:rPr>
          <w:rFonts w:ascii="Arial" w:hAnsi="Arial" w:cs="Arial"/>
          <w:color w:val="auto"/>
          <w:sz w:val="22"/>
          <w:szCs w:val="22"/>
        </w:rPr>
        <w:t xml:space="preserve"> offer a Priority Assistance service </w:t>
      </w:r>
      <w:r>
        <w:rPr>
          <w:rFonts w:ascii="Arial" w:hAnsi="Arial" w:cs="Arial"/>
          <w:color w:val="auto"/>
          <w:sz w:val="22"/>
          <w:szCs w:val="22"/>
        </w:rPr>
        <w:t>to</w:t>
      </w:r>
      <w:r w:rsidRPr="009467C5">
        <w:rPr>
          <w:rFonts w:ascii="Arial" w:hAnsi="Arial" w:cs="Arial"/>
          <w:color w:val="auto"/>
          <w:sz w:val="22"/>
          <w:szCs w:val="22"/>
        </w:rPr>
        <w:t xml:space="preserve"> inform customers of providers from whom the customer can purchase a priority assistance service if they require it. </w:t>
      </w:r>
    </w:p>
    <w:p w:rsidR="005C7268" w:rsidRDefault="005C7268" w:rsidP="005C7268">
      <w:pPr>
        <w:pStyle w:val="Default"/>
        <w:rPr>
          <w:sz w:val="23"/>
          <w:szCs w:val="23"/>
        </w:rPr>
      </w:pPr>
    </w:p>
    <w:p w:rsidR="005C7268" w:rsidRPr="00A51D42" w:rsidRDefault="008430EC" w:rsidP="005C7268">
      <w:pPr>
        <w:pStyle w:val="ACMANumberedList"/>
        <w:autoSpaceDE/>
        <w:autoSpaceDN/>
        <w:adjustRightInd/>
        <w:spacing w:before="20" w:after="20"/>
        <w:rPr>
          <w:sz w:val="22"/>
          <w:szCs w:val="22"/>
        </w:rPr>
      </w:pPr>
      <w:r>
        <w:rPr>
          <w:sz w:val="22"/>
          <w:szCs w:val="22"/>
        </w:rPr>
        <w:t>As noted, t</w:t>
      </w:r>
      <w:r w:rsidR="005C7268" w:rsidRPr="00A51D42">
        <w:rPr>
          <w:sz w:val="22"/>
          <w:szCs w:val="22"/>
        </w:rPr>
        <w:t>he CCS Act amended the</w:t>
      </w:r>
      <w:r w:rsidR="005C7268">
        <w:rPr>
          <w:sz w:val="22"/>
          <w:szCs w:val="22"/>
        </w:rPr>
        <w:t xml:space="preserve"> TCPSS Act </w:t>
      </w:r>
      <w:r w:rsidR="005C7268" w:rsidRPr="00A51D42">
        <w:rPr>
          <w:sz w:val="22"/>
          <w:szCs w:val="22"/>
        </w:rPr>
        <w:t>to enable the Minister, by legislative instrument, to set minimum benchmarks concerning compliance with a section 115 retail performance standard (section 117B). The standard currently in force under section 115 is the</w:t>
      </w:r>
      <w:r w:rsidR="005C7268">
        <w:rPr>
          <w:sz w:val="22"/>
          <w:szCs w:val="22"/>
        </w:rPr>
        <w:t xml:space="preserve"> CSG Standard</w:t>
      </w:r>
      <w:r w:rsidR="005C7268" w:rsidRPr="00A51D42">
        <w:rPr>
          <w:sz w:val="22"/>
          <w:szCs w:val="22"/>
        </w:rPr>
        <w:t>.</w:t>
      </w:r>
    </w:p>
    <w:p w:rsidR="00667BC6" w:rsidRDefault="00667BC6" w:rsidP="00667BC6">
      <w:pPr>
        <w:pStyle w:val="ACMANumberedList"/>
        <w:autoSpaceDE/>
        <w:autoSpaceDN/>
        <w:adjustRightInd/>
        <w:spacing w:before="20" w:after="20"/>
        <w:rPr>
          <w:sz w:val="22"/>
          <w:szCs w:val="22"/>
        </w:rPr>
      </w:pPr>
    </w:p>
    <w:p w:rsidR="00667BC6" w:rsidRPr="00682824" w:rsidRDefault="00667BC6" w:rsidP="00667BC6">
      <w:pPr>
        <w:pStyle w:val="ACMANumberedList"/>
        <w:autoSpaceDE/>
        <w:autoSpaceDN/>
        <w:adjustRightInd/>
        <w:spacing w:before="20" w:after="20"/>
        <w:rPr>
          <w:b/>
          <w:i/>
          <w:sz w:val="22"/>
          <w:szCs w:val="22"/>
        </w:rPr>
      </w:pPr>
      <w:r w:rsidRPr="00682824">
        <w:rPr>
          <w:b/>
          <w:i/>
          <w:sz w:val="22"/>
          <w:szCs w:val="22"/>
        </w:rPr>
        <w:t xml:space="preserve">Retail </w:t>
      </w:r>
      <w:r w:rsidR="005C7268">
        <w:rPr>
          <w:b/>
          <w:i/>
          <w:sz w:val="22"/>
          <w:szCs w:val="22"/>
        </w:rPr>
        <w:t xml:space="preserve">CSG </w:t>
      </w:r>
      <w:r w:rsidR="005C7268" w:rsidRPr="00682824">
        <w:rPr>
          <w:b/>
          <w:i/>
          <w:sz w:val="22"/>
          <w:szCs w:val="22"/>
        </w:rPr>
        <w:t>Benchmarks</w:t>
      </w:r>
    </w:p>
    <w:p w:rsidR="00667BC6" w:rsidRDefault="00667BC6" w:rsidP="00667BC6">
      <w:pPr>
        <w:pStyle w:val="ACMANumberedList"/>
        <w:autoSpaceDE/>
        <w:autoSpaceDN/>
        <w:adjustRightInd/>
        <w:spacing w:before="20" w:after="20"/>
        <w:rPr>
          <w:sz w:val="22"/>
          <w:szCs w:val="22"/>
        </w:rPr>
      </w:pPr>
    </w:p>
    <w:p w:rsidR="005C7268" w:rsidRDefault="005C7268" w:rsidP="005C7268">
      <w:pPr>
        <w:pStyle w:val="ACMANumberedList"/>
        <w:autoSpaceDE/>
        <w:autoSpaceDN/>
        <w:adjustRightInd/>
        <w:spacing w:before="20" w:after="20"/>
        <w:rPr>
          <w:sz w:val="22"/>
          <w:szCs w:val="22"/>
        </w:rPr>
      </w:pPr>
      <w:r w:rsidRPr="00A51D42">
        <w:rPr>
          <w:sz w:val="22"/>
          <w:szCs w:val="22"/>
        </w:rPr>
        <w:t xml:space="preserve">In the </w:t>
      </w:r>
      <w:r w:rsidRPr="00740903">
        <w:rPr>
          <w:sz w:val="22"/>
          <w:szCs w:val="22"/>
        </w:rPr>
        <w:t>Retail CSG Benchmarks</w:t>
      </w:r>
      <w:r w:rsidRPr="008C7766">
        <w:rPr>
          <w:color w:val="000000"/>
          <w:sz w:val="22"/>
          <w:szCs w:val="22"/>
        </w:rPr>
        <w:t>,</w:t>
      </w:r>
      <w:r w:rsidRPr="00A51D42">
        <w:rPr>
          <w:sz w:val="22"/>
          <w:szCs w:val="22"/>
        </w:rPr>
        <w:t xml:space="preserve"> the Minister determined minimum retail performance benchmarks </w:t>
      </w:r>
      <w:r>
        <w:rPr>
          <w:sz w:val="22"/>
          <w:szCs w:val="22"/>
        </w:rPr>
        <w:t xml:space="preserve">applying from </w:t>
      </w:r>
      <w:r w:rsidRPr="001B7BF9">
        <w:rPr>
          <w:sz w:val="22"/>
          <w:szCs w:val="22"/>
        </w:rPr>
        <w:t>1 October 2011</w:t>
      </w:r>
      <w:r>
        <w:rPr>
          <w:sz w:val="22"/>
          <w:szCs w:val="22"/>
        </w:rPr>
        <w:t xml:space="preserve"> for </w:t>
      </w:r>
      <w:r w:rsidRPr="00A51D42">
        <w:rPr>
          <w:sz w:val="22"/>
          <w:szCs w:val="22"/>
        </w:rPr>
        <w:t xml:space="preserve">compliance by </w:t>
      </w:r>
      <w:r>
        <w:rPr>
          <w:sz w:val="22"/>
          <w:szCs w:val="22"/>
        </w:rPr>
        <w:t xml:space="preserve">specified </w:t>
      </w:r>
      <w:r w:rsidRPr="00A51D42">
        <w:rPr>
          <w:sz w:val="22"/>
          <w:szCs w:val="22"/>
        </w:rPr>
        <w:t xml:space="preserve">CSPs with the CSG Standard. Under subsection </w:t>
      </w:r>
      <w:proofErr w:type="gramStart"/>
      <w:r w:rsidRPr="00A51D42">
        <w:rPr>
          <w:sz w:val="22"/>
          <w:szCs w:val="22"/>
        </w:rPr>
        <w:t>117C(</w:t>
      </w:r>
      <w:proofErr w:type="gramEnd"/>
      <w:r w:rsidRPr="00A51D42">
        <w:rPr>
          <w:sz w:val="22"/>
          <w:szCs w:val="22"/>
        </w:rPr>
        <w:t>2) of the T</w:t>
      </w:r>
      <w:r>
        <w:rPr>
          <w:sz w:val="22"/>
          <w:szCs w:val="22"/>
        </w:rPr>
        <w:t>CPS</w:t>
      </w:r>
      <w:r w:rsidRPr="00A51D42">
        <w:rPr>
          <w:sz w:val="22"/>
          <w:szCs w:val="22"/>
        </w:rPr>
        <w:t xml:space="preserve">S Act, </w:t>
      </w:r>
      <w:r>
        <w:rPr>
          <w:sz w:val="22"/>
          <w:szCs w:val="22"/>
        </w:rPr>
        <w:t xml:space="preserve">a </w:t>
      </w:r>
      <w:r w:rsidRPr="00A51D42">
        <w:rPr>
          <w:sz w:val="22"/>
          <w:szCs w:val="22"/>
        </w:rPr>
        <w:t xml:space="preserve">CSP must meet or exceed the minimum retail performance benchmarks. </w:t>
      </w:r>
    </w:p>
    <w:p w:rsidR="00667BC6" w:rsidRPr="00A51D42" w:rsidRDefault="00667BC6" w:rsidP="00667BC6">
      <w:pPr>
        <w:pStyle w:val="ACMANumberedList"/>
        <w:autoSpaceDE/>
        <w:autoSpaceDN/>
        <w:adjustRightInd/>
        <w:spacing w:before="20" w:after="20"/>
        <w:rPr>
          <w:sz w:val="22"/>
          <w:szCs w:val="22"/>
        </w:rPr>
      </w:pPr>
    </w:p>
    <w:p w:rsidR="00667BC6" w:rsidRPr="00A9526F" w:rsidRDefault="00667BC6" w:rsidP="00667BC6">
      <w:pPr>
        <w:pStyle w:val="ACMANumberedList"/>
        <w:autoSpaceDE/>
        <w:autoSpaceDN/>
        <w:adjustRightInd/>
        <w:spacing w:before="20" w:after="20"/>
        <w:rPr>
          <w:sz w:val="22"/>
          <w:szCs w:val="22"/>
        </w:rPr>
      </w:pPr>
      <w:r w:rsidRPr="00185055">
        <w:rPr>
          <w:sz w:val="22"/>
          <w:szCs w:val="22"/>
        </w:rPr>
        <w:t xml:space="preserve">With the commencement of the </w:t>
      </w:r>
      <w:r w:rsidRPr="00185055">
        <w:rPr>
          <w:sz w:val="22"/>
        </w:rPr>
        <w:t xml:space="preserve">Retail CSG </w:t>
      </w:r>
      <w:r w:rsidRPr="00185055">
        <w:rPr>
          <w:sz w:val="22"/>
          <w:szCs w:val="22"/>
        </w:rPr>
        <w:t>Benchmarks, the ACMA</w:t>
      </w:r>
      <w:r w:rsidRPr="00A9526F">
        <w:rPr>
          <w:sz w:val="22"/>
          <w:szCs w:val="22"/>
        </w:rPr>
        <w:t xml:space="preserve"> has the power to take enforcement action where a CSP has failed to meet the benchmarks. </w:t>
      </w:r>
      <w:r w:rsidR="0063746D">
        <w:rPr>
          <w:sz w:val="22"/>
          <w:szCs w:val="22"/>
        </w:rPr>
        <w:t xml:space="preserve">In order to monitor </w:t>
      </w:r>
      <w:r w:rsidR="00B36DBD">
        <w:rPr>
          <w:sz w:val="22"/>
          <w:szCs w:val="22"/>
        </w:rPr>
        <w:t xml:space="preserve">performance and if necessary </w:t>
      </w:r>
      <w:r w:rsidR="0063746D">
        <w:rPr>
          <w:sz w:val="22"/>
          <w:szCs w:val="22"/>
        </w:rPr>
        <w:t xml:space="preserve">take enforcement action, the ACMA requires </w:t>
      </w:r>
      <w:r w:rsidR="008430EC">
        <w:rPr>
          <w:sz w:val="22"/>
          <w:szCs w:val="22"/>
        </w:rPr>
        <w:t xml:space="preserve">reliable </w:t>
      </w:r>
      <w:r w:rsidR="005C7268">
        <w:rPr>
          <w:sz w:val="22"/>
          <w:szCs w:val="22"/>
        </w:rPr>
        <w:t xml:space="preserve">records </w:t>
      </w:r>
      <w:r w:rsidR="0063746D">
        <w:rPr>
          <w:sz w:val="22"/>
          <w:szCs w:val="22"/>
        </w:rPr>
        <w:t xml:space="preserve">to be both kept and reported </w:t>
      </w:r>
      <w:r w:rsidR="005C7268">
        <w:rPr>
          <w:sz w:val="22"/>
          <w:szCs w:val="22"/>
        </w:rPr>
        <w:t xml:space="preserve">upon </w:t>
      </w:r>
      <w:r w:rsidR="0063746D">
        <w:rPr>
          <w:sz w:val="22"/>
          <w:szCs w:val="22"/>
        </w:rPr>
        <w:t xml:space="preserve">by industry. </w:t>
      </w:r>
      <w:r w:rsidRPr="00A9526F">
        <w:rPr>
          <w:sz w:val="22"/>
          <w:szCs w:val="22"/>
        </w:rPr>
        <w:t xml:space="preserve">The range of enforcement options for non-compliance </w:t>
      </w:r>
      <w:r w:rsidR="00B36DBD">
        <w:rPr>
          <w:sz w:val="22"/>
          <w:szCs w:val="22"/>
        </w:rPr>
        <w:t xml:space="preserve">with benchmarks and standards </w:t>
      </w:r>
      <w:r w:rsidRPr="00A9526F">
        <w:rPr>
          <w:sz w:val="22"/>
          <w:szCs w:val="22"/>
        </w:rPr>
        <w:t>includes formal warnings, infringement notices</w:t>
      </w:r>
      <w:r w:rsidRPr="00A9526F">
        <w:rPr>
          <w:rStyle w:val="FootnoteReference"/>
          <w:sz w:val="22"/>
          <w:szCs w:val="22"/>
        </w:rPr>
        <w:footnoteReference w:id="1"/>
      </w:r>
      <w:r w:rsidRPr="00A9526F">
        <w:rPr>
          <w:sz w:val="22"/>
          <w:szCs w:val="22"/>
        </w:rPr>
        <w:t xml:space="preserve">, remedial directions and </w:t>
      </w:r>
      <w:r w:rsidR="005C7268">
        <w:rPr>
          <w:sz w:val="22"/>
          <w:szCs w:val="22"/>
        </w:rPr>
        <w:t xml:space="preserve">commencing </w:t>
      </w:r>
      <w:r w:rsidRPr="00A9526F">
        <w:rPr>
          <w:sz w:val="22"/>
          <w:szCs w:val="22"/>
        </w:rPr>
        <w:t>civil penalty proceedings.</w:t>
      </w:r>
    </w:p>
    <w:p w:rsidR="00667BC6" w:rsidRDefault="00667BC6" w:rsidP="00667BC6">
      <w:pPr>
        <w:pStyle w:val="ACMANumberedList"/>
        <w:autoSpaceDE/>
        <w:autoSpaceDN/>
        <w:adjustRightInd/>
        <w:spacing w:before="20" w:after="20"/>
        <w:rPr>
          <w:sz w:val="22"/>
          <w:szCs w:val="22"/>
        </w:rPr>
      </w:pPr>
    </w:p>
    <w:p w:rsidR="00667BC6" w:rsidRDefault="005C7268" w:rsidP="00667BC6">
      <w:pPr>
        <w:pStyle w:val="ACMANumberedList"/>
        <w:autoSpaceDE/>
        <w:autoSpaceDN/>
        <w:adjustRightInd/>
        <w:spacing w:before="20" w:after="20"/>
        <w:rPr>
          <w:b/>
          <w:i/>
          <w:sz w:val="22"/>
          <w:szCs w:val="22"/>
        </w:rPr>
      </w:pPr>
      <w:r>
        <w:rPr>
          <w:b/>
          <w:i/>
          <w:sz w:val="22"/>
          <w:szCs w:val="22"/>
        </w:rPr>
        <w:t>The</w:t>
      </w:r>
      <w:r w:rsidR="00667BC6">
        <w:rPr>
          <w:b/>
          <w:i/>
          <w:sz w:val="22"/>
          <w:szCs w:val="22"/>
        </w:rPr>
        <w:t xml:space="preserve"> </w:t>
      </w:r>
      <w:r>
        <w:rPr>
          <w:b/>
          <w:i/>
          <w:sz w:val="22"/>
          <w:szCs w:val="22"/>
        </w:rPr>
        <w:t>R</w:t>
      </w:r>
      <w:r w:rsidR="00667BC6">
        <w:rPr>
          <w:b/>
          <w:i/>
          <w:sz w:val="22"/>
          <w:szCs w:val="22"/>
        </w:rPr>
        <w:t>ules</w:t>
      </w:r>
    </w:p>
    <w:p w:rsidR="00667BC6" w:rsidRDefault="00667BC6" w:rsidP="00667BC6">
      <w:pPr>
        <w:pStyle w:val="ACMANumberedList"/>
        <w:autoSpaceDE/>
        <w:autoSpaceDN/>
        <w:adjustRightInd/>
        <w:spacing w:before="20" w:after="20"/>
        <w:rPr>
          <w:sz w:val="22"/>
          <w:szCs w:val="22"/>
        </w:rPr>
      </w:pPr>
    </w:p>
    <w:p w:rsidR="001E170B" w:rsidRDefault="001E170B" w:rsidP="001E170B">
      <w:pPr>
        <w:pStyle w:val="ACMANumberedList"/>
        <w:autoSpaceDE/>
        <w:autoSpaceDN/>
        <w:adjustRightInd/>
        <w:spacing w:before="20" w:after="20"/>
        <w:rPr>
          <w:sz w:val="22"/>
          <w:szCs w:val="22"/>
        </w:rPr>
      </w:pPr>
      <w:r w:rsidRPr="00A51D42">
        <w:rPr>
          <w:sz w:val="22"/>
          <w:szCs w:val="22"/>
        </w:rPr>
        <w:t xml:space="preserve">In the </w:t>
      </w:r>
      <w:r w:rsidRPr="00740903">
        <w:rPr>
          <w:sz w:val="22"/>
          <w:szCs w:val="22"/>
        </w:rPr>
        <w:t>Retail CSG Benchmarks</w:t>
      </w:r>
      <w:r w:rsidRPr="008C7766">
        <w:rPr>
          <w:color w:val="000000"/>
          <w:sz w:val="22"/>
          <w:szCs w:val="22"/>
        </w:rPr>
        <w:t>,</w:t>
      </w:r>
      <w:r w:rsidRPr="00A51D42">
        <w:rPr>
          <w:sz w:val="22"/>
          <w:szCs w:val="22"/>
        </w:rPr>
        <w:t xml:space="preserve"> the Minister determined minimum retail performance benchmarks </w:t>
      </w:r>
      <w:r>
        <w:rPr>
          <w:sz w:val="22"/>
          <w:szCs w:val="22"/>
        </w:rPr>
        <w:t xml:space="preserve">applying from </w:t>
      </w:r>
      <w:r w:rsidRPr="001B7BF9">
        <w:rPr>
          <w:sz w:val="22"/>
          <w:szCs w:val="22"/>
        </w:rPr>
        <w:t>1 October 2011</w:t>
      </w:r>
      <w:r>
        <w:rPr>
          <w:sz w:val="22"/>
          <w:szCs w:val="22"/>
        </w:rPr>
        <w:t xml:space="preserve"> for </w:t>
      </w:r>
      <w:r w:rsidRPr="00A51D42">
        <w:rPr>
          <w:sz w:val="22"/>
          <w:szCs w:val="22"/>
        </w:rPr>
        <w:t xml:space="preserve">compliance by </w:t>
      </w:r>
      <w:r>
        <w:rPr>
          <w:sz w:val="22"/>
          <w:szCs w:val="22"/>
        </w:rPr>
        <w:t xml:space="preserve">specified </w:t>
      </w:r>
      <w:r w:rsidRPr="00A51D42">
        <w:rPr>
          <w:sz w:val="22"/>
          <w:szCs w:val="22"/>
        </w:rPr>
        <w:t xml:space="preserve">CSPs with the CSG </w:t>
      </w:r>
      <w:r w:rsidRPr="00A51D42">
        <w:rPr>
          <w:sz w:val="22"/>
          <w:szCs w:val="22"/>
        </w:rPr>
        <w:lastRenderedPageBreak/>
        <w:t xml:space="preserve">Standard. Under subsection </w:t>
      </w:r>
      <w:proofErr w:type="gramStart"/>
      <w:r w:rsidRPr="00A51D42">
        <w:rPr>
          <w:sz w:val="22"/>
          <w:szCs w:val="22"/>
        </w:rPr>
        <w:t>117C(</w:t>
      </w:r>
      <w:proofErr w:type="gramEnd"/>
      <w:r w:rsidRPr="00A51D42">
        <w:rPr>
          <w:sz w:val="22"/>
          <w:szCs w:val="22"/>
        </w:rPr>
        <w:t>2) of the T</w:t>
      </w:r>
      <w:r>
        <w:rPr>
          <w:sz w:val="22"/>
          <w:szCs w:val="22"/>
        </w:rPr>
        <w:t>CPS</w:t>
      </w:r>
      <w:r w:rsidRPr="00A51D42">
        <w:rPr>
          <w:sz w:val="22"/>
          <w:szCs w:val="22"/>
        </w:rPr>
        <w:t xml:space="preserve">S Act, </w:t>
      </w:r>
      <w:r>
        <w:rPr>
          <w:sz w:val="22"/>
          <w:szCs w:val="22"/>
        </w:rPr>
        <w:t xml:space="preserve">a </w:t>
      </w:r>
      <w:r w:rsidRPr="00A51D42">
        <w:rPr>
          <w:sz w:val="22"/>
          <w:szCs w:val="22"/>
        </w:rPr>
        <w:t xml:space="preserve">CSP must meet or exceed the minimum retail performance benchmarks. </w:t>
      </w:r>
    </w:p>
    <w:p w:rsidR="00064E76" w:rsidRDefault="00064E76" w:rsidP="00064E76">
      <w:pPr>
        <w:spacing w:after="0" w:line="240" w:lineRule="auto"/>
        <w:rPr>
          <w:rFonts w:ascii="Arial" w:hAnsi="Arial" w:cs="Arial"/>
        </w:rPr>
      </w:pPr>
    </w:p>
    <w:p w:rsidR="00165BBF" w:rsidRDefault="00165BBF" w:rsidP="00064E76">
      <w:pPr>
        <w:spacing w:after="0" w:line="240" w:lineRule="auto"/>
        <w:rPr>
          <w:rFonts w:ascii="Arial" w:hAnsi="Arial" w:cs="Arial"/>
        </w:rPr>
      </w:pPr>
      <w:r w:rsidRPr="00165BBF">
        <w:rPr>
          <w:rFonts w:ascii="Arial" w:hAnsi="Arial" w:cs="Arial"/>
        </w:rPr>
        <w:t xml:space="preserve">A </w:t>
      </w:r>
      <w:r w:rsidR="00385DB8">
        <w:rPr>
          <w:rFonts w:ascii="Arial" w:hAnsi="Arial" w:cs="Arial"/>
        </w:rPr>
        <w:t>CSP</w:t>
      </w:r>
      <w:r w:rsidRPr="00165BBF">
        <w:rPr>
          <w:rFonts w:ascii="Arial" w:hAnsi="Arial" w:cs="Arial"/>
        </w:rPr>
        <w:t xml:space="preserve"> is a </w:t>
      </w:r>
      <w:r w:rsidR="008430EC">
        <w:rPr>
          <w:rFonts w:ascii="Arial" w:hAnsi="Arial" w:cs="Arial"/>
        </w:rPr>
        <w:t>qualifying carriage service provider (</w:t>
      </w:r>
      <w:r w:rsidR="004B72EC">
        <w:rPr>
          <w:rFonts w:ascii="Arial" w:hAnsi="Arial" w:cs="Arial"/>
        </w:rPr>
        <w:t>QSP</w:t>
      </w:r>
      <w:r w:rsidR="008430EC">
        <w:rPr>
          <w:rFonts w:ascii="Arial" w:hAnsi="Arial" w:cs="Arial"/>
        </w:rPr>
        <w:t>)</w:t>
      </w:r>
      <w:r w:rsidR="004B72EC">
        <w:rPr>
          <w:rFonts w:ascii="Arial" w:hAnsi="Arial" w:cs="Arial"/>
        </w:rPr>
        <w:t xml:space="preserve"> </w:t>
      </w:r>
      <w:r w:rsidRPr="00165BBF">
        <w:rPr>
          <w:rFonts w:ascii="Arial" w:hAnsi="Arial" w:cs="Arial"/>
        </w:rPr>
        <w:t xml:space="preserve">for a benchmark period if, on the last day of the financial year preceding that benchmark period, the </w:t>
      </w:r>
      <w:r w:rsidR="00CB7D23">
        <w:rPr>
          <w:rFonts w:ascii="Arial" w:hAnsi="Arial" w:cs="Arial"/>
        </w:rPr>
        <w:t>CSP</w:t>
      </w:r>
      <w:r w:rsidRPr="00165BBF">
        <w:rPr>
          <w:rFonts w:ascii="Arial" w:hAnsi="Arial" w:cs="Arial"/>
        </w:rPr>
        <w:t xml:space="preserve"> supplied 100,000 CSG services or more where the carriage service provider was obliged to comply with any one or more of the performance standards in respect of the </w:t>
      </w:r>
      <w:r w:rsidR="00CB7D23">
        <w:rPr>
          <w:rFonts w:ascii="Arial" w:hAnsi="Arial" w:cs="Arial"/>
        </w:rPr>
        <w:t>CSP</w:t>
      </w:r>
      <w:r w:rsidRPr="00165BBF">
        <w:rPr>
          <w:rFonts w:ascii="Arial" w:hAnsi="Arial" w:cs="Arial"/>
        </w:rPr>
        <w:t>’s supply of those CSG services</w:t>
      </w:r>
      <w:r w:rsidR="00E27B11">
        <w:rPr>
          <w:rStyle w:val="FootnoteReference"/>
          <w:rFonts w:ascii="Arial" w:hAnsi="Arial" w:cs="Arial"/>
        </w:rPr>
        <w:footnoteReference w:id="2"/>
      </w:r>
      <w:r w:rsidRPr="00165BBF">
        <w:rPr>
          <w:rFonts w:ascii="Arial" w:hAnsi="Arial" w:cs="Arial"/>
        </w:rPr>
        <w:t>.</w:t>
      </w:r>
    </w:p>
    <w:p w:rsidR="00165BBF" w:rsidRPr="002D0831" w:rsidRDefault="00165BBF" w:rsidP="00064E76">
      <w:pPr>
        <w:spacing w:after="0" w:line="240" w:lineRule="auto"/>
        <w:rPr>
          <w:rFonts w:ascii="Arial" w:hAnsi="Arial" w:cs="Arial"/>
        </w:rPr>
      </w:pPr>
    </w:p>
    <w:p w:rsidR="00667BC6" w:rsidRPr="00A9526F" w:rsidRDefault="00667BC6" w:rsidP="00667BC6">
      <w:pPr>
        <w:pStyle w:val="ACMANumberedList"/>
        <w:autoSpaceDE/>
        <w:autoSpaceDN/>
        <w:adjustRightInd/>
        <w:spacing w:before="20" w:after="20"/>
        <w:rPr>
          <w:sz w:val="22"/>
          <w:szCs w:val="22"/>
        </w:rPr>
      </w:pPr>
      <w:r w:rsidRPr="00A9526F">
        <w:rPr>
          <w:sz w:val="22"/>
          <w:szCs w:val="22"/>
        </w:rPr>
        <w:t xml:space="preserve">Compliance with the Rules is a requirement of section 530 of the </w:t>
      </w:r>
      <w:r w:rsidR="00C4169B">
        <w:rPr>
          <w:sz w:val="22"/>
          <w:szCs w:val="22"/>
        </w:rPr>
        <w:t>Tel Act</w:t>
      </w:r>
      <w:r w:rsidRPr="00A9526F">
        <w:rPr>
          <w:sz w:val="22"/>
          <w:szCs w:val="22"/>
        </w:rPr>
        <w:t xml:space="preserve">, and making an incorrect record is an offence under section 531. The range of enforcement options for non-compliance includes formal warnings, infringement notices (subject to the Rules being a listed infringement notice provision by the ACMA for the purposes of subsection </w:t>
      </w:r>
      <w:proofErr w:type="gramStart"/>
      <w:r w:rsidRPr="00A9526F">
        <w:rPr>
          <w:sz w:val="22"/>
          <w:szCs w:val="22"/>
        </w:rPr>
        <w:t>572E(</w:t>
      </w:r>
      <w:proofErr w:type="gramEnd"/>
      <w:r w:rsidRPr="00A9526F">
        <w:rPr>
          <w:sz w:val="22"/>
          <w:szCs w:val="22"/>
        </w:rPr>
        <w:t xml:space="preserve">7) of the </w:t>
      </w:r>
      <w:r w:rsidR="00C4169B">
        <w:rPr>
          <w:sz w:val="22"/>
          <w:szCs w:val="22"/>
        </w:rPr>
        <w:t>Tel Act</w:t>
      </w:r>
      <w:r w:rsidRPr="00A9526F">
        <w:rPr>
          <w:sz w:val="22"/>
          <w:szCs w:val="22"/>
        </w:rPr>
        <w:t xml:space="preserve">), remedial directions and </w:t>
      </w:r>
      <w:r w:rsidR="004B72EC">
        <w:rPr>
          <w:sz w:val="22"/>
          <w:szCs w:val="22"/>
        </w:rPr>
        <w:t xml:space="preserve">initiating </w:t>
      </w:r>
      <w:r w:rsidRPr="00A9526F">
        <w:rPr>
          <w:sz w:val="22"/>
          <w:szCs w:val="22"/>
        </w:rPr>
        <w:t>civil penalty proceedings.</w:t>
      </w:r>
    </w:p>
    <w:p w:rsidR="00667BC6" w:rsidRDefault="00667BC6" w:rsidP="00667BC6">
      <w:pPr>
        <w:spacing w:after="0" w:line="240" w:lineRule="auto"/>
        <w:rPr>
          <w:rFonts w:ascii="Arial" w:hAnsi="Arial" w:cs="Arial"/>
        </w:rPr>
      </w:pPr>
    </w:p>
    <w:p w:rsidR="003D740B" w:rsidRDefault="003D740B" w:rsidP="003D740B">
      <w:pPr>
        <w:spacing w:after="0" w:line="240" w:lineRule="auto"/>
        <w:rPr>
          <w:rFonts w:ascii="Arial" w:hAnsi="Arial" w:cs="Arial"/>
          <w:i/>
        </w:rPr>
      </w:pPr>
      <w:r>
        <w:rPr>
          <w:rFonts w:ascii="Arial" w:hAnsi="Arial" w:cs="Arial"/>
          <w:i/>
        </w:rPr>
        <w:t xml:space="preserve">Reporting periods and level of disaggregation </w:t>
      </w:r>
    </w:p>
    <w:p w:rsidR="003D740B" w:rsidRDefault="003D740B" w:rsidP="003D740B">
      <w:pPr>
        <w:spacing w:after="0" w:line="240" w:lineRule="auto"/>
        <w:rPr>
          <w:rFonts w:ascii="Arial" w:hAnsi="Arial" w:cs="Arial"/>
        </w:rPr>
      </w:pPr>
    </w:p>
    <w:p w:rsidR="004F70ED" w:rsidRDefault="009B5991" w:rsidP="004F70ED">
      <w:pPr>
        <w:spacing w:after="0" w:line="240" w:lineRule="auto"/>
        <w:rPr>
          <w:rFonts w:ascii="Arial" w:hAnsi="Arial" w:cs="Arial"/>
        </w:rPr>
      </w:pPr>
      <w:r>
        <w:rPr>
          <w:rFonts w:ascii="Arial" w:hAnsi="Arial" w:cs="Arial"/>
          <w:color w:val="000000"/>
        </w:rPr>
        <w:t>Under the Rules, a</w:t>
      </w:r>
      <w:r w:rsidR="003D740B">
        <w:rPr>
          <w:rFonts w:ascii="Arial" w:hAnsi="Arial" w:cs="Arial"/>
          <w:color w:val="000000"/>
        </w:rPr>
        <w:t xml:space="preserve"> QSP </w:t>
      </w:r>
      <w:r w:rsidR="003D740B" w:rsidRPr="009F762E">
        <w:rPr>
          <w:rFonts w:ascii="Arial" w:hAnsi="Arial" w:cs="Arial"/>
          <w:color w:val="000000"/>
        </w:rPr>
        <w:t xml:space="preserve">must </w:t>
      </w:r>
      <w:r w:rsidR="003D740B">
        <w:rPr>
          <w:rFonts w:ascii="Arial" w:hAnsi="Arial" w:cs="Arial"/>
          <w:color w:val="000000"/>
        </w:rPr>
        <w:t xml:space="preserve">provide performance reports </w:t>
      </w:r>
      <w:r w:rsidR="003D740B" w:rsidRPr="009F762E">
        <w:rPr>
          <w:rFonts w:ascii="Arial" w:hAnsi="Arial" w:cs="Arial"/>
          <w:color w:val="000000"/>
        </w:rPr>
        <w:t xml:space="preserve">for each six month period ending on 31 December and 30 June. Unless otherwise agreed by the ACMA in writing, </w:t>
      </w:r>
      <w:r w:rsidR="003D740B">
        <w:rPr>
          <w:rFonts w:ascii="Arial" w:hAnsi="Arial" w:cs="Arial"/>
          <w:color w:val="000000"/>
        </w:rPr>
        <w:t xml:space="preserve">a QSP </w:t>
      </w:r>
      <w:r w:rsidR="003D740B" w:rsidRPr="009F762E">
        <w:rPr>
          <w:rFonts w:ascii="Arial" w:hAnsi="Arial" w:cs="Arial"/>
          <w:color w:val="000000"/>
        </w:rPr>
        <w:t xml:space="preserve">must provide reports to the ACMA within </w:t>
      </w:r>
      <w:r w:rsidR="006B637F">
        <w:rPr>
          <w:rFonts w:ascii="Arial" w:hAnsi="Arial" w:cs="Arial"/>
          <w:color w:val="000000"/>
        </w:rPr>
        <w:t>40</w:t>
      </w:r>
      <w:r w:rsidR="003D740B" w:rsidRPr="009F762E">
        <w:rPr>
          <w:rFonts w:ascii="Arial" w:hAnsi="Arial" w:cs="Arial"/>
          <w:color w:val="000000"/>
        </w:rPr>
        <w:t xml:space="preserve"> working days of the end of each six month period.</w:t>
      </w:r>
      <w:r w:rsidR="004F70ED" w:rsidRPr="004F70ED">
        <w:rPr>
          <w:rFonts w:ascii="Arial" w:hAnsi="Arial" w:cs="Arial"/>
        </w:rPr>
        <w:t xml:space="preserve"> </w:t>
      </w:r>
    </w:p>
    <w:p w:rsidR="004F70ED" w:rsidRDefault="004F70ED" w:rsidP="004F70ED">
      <w:pPr>
        <w:spacing w:after="0" w:line="240" w:lineRule="auto"/>
        <w:rPr>
          <w:rFonts w:ascii="Arial" w:hAnsi="Arial" w:cs="Arial"/>
        </w:rPr>
      </w:pPr>
    </w:p>
    <w:p w:rsidR="004F70ED" w:rsidRDefault="003D740B" w:rsidP="004F70ED">
      <w:pPr>
        <w:spacing w:after="0" w:line="240" w:lineRule="auto"/>
        <w:rPr>
          <w:rFonts w:ascii="Arial" w:hAnsi="Arial" w:cs="Arial"/>
        </w:rPr>
      </w:pPr>
      <w:r w:rsidRPr="004F2A3F">
        <w:rPr>
          <w:rFonts w:ascii="Arial" w:hAnsi="Arial" w:cs="Arial"/>
          <w:color w:val="000000"/>
        </w:rPr>
        <w:t xml:space="preserve">The bi-annual report must include the submission of two quarterly sets of data. That is, each report will contain data disaggregated for the preceding two financial quarters.  </w:t>
      </w:r>
    </w:p>
    <w:p w:rsidR="004F70ED" w:rsidRDefault="004F70ED" w:rsidP="004F70ED">
      <w:pPr>
        <w:spacing w:after="0" w:line="240" w:lineRule="auto"/>
        <w:rPr>
          <w:rFonts w:ascii="Arial" w:hAnsi="Arial" w:cs="Arial"/>
        </w:rPr>
      </w:pPr>
    </w:p>
    <w:p w:rsidR="004F70ED" w:rsidRDefault="003D740B" w:rsidP="004F70ED">
      <w:pPr>
        <w:spacing w:after="0" w:line="240" w:lineRule="auto"/>
        <w:rPr>
          <w:rFonts w:ascii="Arial" w:hAnsi="Arial" w:cs="Arial"/>
        </w:rPr>
      </w:pPr>
      <w:r w:rsidRPr="007C6705">
        <w:rPr>
          <w:rFonts w:ascii="Arial" w:hAnsi="Arial" w:cs="Arial"/>
        </w:rPr>
        <w:t xml:space="preserve">The Rules require </w:t>
      </w:r>
      <w:r>
        <w:rPr>
          <w:rFonts w:ascii="Arial" w:hAnsi="Arial" w:cs="Arial"/>
        </w:rPr>
        <w:t xml:space="preserve">some </w:t>
      </w:r>
      <w:r w:rsidR="001E170B">
        <w:rPr>
          <w:rFonts w:ascii="Arial" w:hAnsi="Arial" w:cs="Arial"/>
        </w:rPr>
        <w:t xml:space="preserve">of the reported information </w:t>
      </w:r>
      <w:r w:rsidRPr="007C6705">
        <w:rPr>
          <w:rFonts w:ascii="Arial" w:hAnsi="Arial" w:cs="Arial"/>
        </w:rPr>
        <w:t>to be disagg</w:t>
      </w:r>
      <w:r w:rsidRPr="00B17997">
        <w:rPr>
          <w:rFonts w:ascii="Arial" w:hAnsi="Arial" w:cs="Arial"/>
        </w:rPr>
        <w:t xml:space="preserve">regated into state or territory, national and community size classification (Urban, </w:t>
      </w:r>
      <w:r>
        <w:rPr>
          <w:rFonts w:ascii="Arial" w:hAnsi="Arial" w:cs="Arial"/>
        </w:rPr>
        <w:t xml:space="preserve">Major </w:t>
      </w:r>
      <w:r w:rsidRPr="00B17997">
        <w:rPr>
          <w:rFonts w:ascii="Arial" w:hAnsi="Arial" w:cs="Arial"/>
        </w:rPr>
        <w:t xml:space="preserve">Rural, </w:t>
      </w:r>
      <w:r>
        <w:rPr>
          <w:rFonts w:ascii="Arial" w:hAnsi="Arial" w:cs="Arial"/>
        </w:rPr>
        <w:t xml:space="preserve">Minor </w:t>
      </w:r>
      <w:r w:rsidRPr="00B17997">
        <w:rPr>
          <w:rFonts w:ascii="Arial" w:hAnsi="Arial" w:cs="Arial"/>
        </w:rPr>
        <w:t>Rural</w:t>
      </w:r>
      <w:r w:rsidR="006D6B54">
        <w:rPr>
          <w:rFonts w:ascii="Arial" w:hAnsi="Arial" w:cs="Arial"/>
        </w:rPr>
        <w:t>, Rural</w:t>
      </w:r>
      <w:r w:rsidRPr="00B17997">
        <w:rPr>
          <w:rFonts w:ascii="Arial" w:hAnsi="Arial" w:cs="Arial"/>
        </w:rPr>
        <w:t xml:space="preserve"> and Remote areas in accordance with the </w:t>
      </w:r>
      <w:r>
        <w:rPr>
          <w:rFonts w:ascii="Arial" w:hAnsi="Arial" w:cs="Arial"/>
        </w:rPr>
        <w:t xml:space="preserve">Retail CSG </w:t>
      </w:r>
      <w:r w:rsidRPr="00B17997">
        <w:rPr>
          <w:rFonts w:ascii="Arial" w:hAnsi="Arial" w:cs="Arial"/>
        </w:rPr>
        <w:t>Benchmarks definitions and ob</w:t>
      </w:r>
      <w:r>
        <w:rPr>
          <w:rFonts w:ascii="Arial" w:hAnsi="Arial" w:cs="Arial"/>
        </w:rPr>
        <w:t>ligations</w:t>
      </w:r>
      <w:r w:rsidRPr="007C6705">
        <w:rPr>
          <w:rFonts w:ascii="Arial" w:hAnsi="Arial" w:cs="Arial"/>
        </w:rPr>
        <w:t>).</w:t>
      </w:r>
      <w:r w:rsidR="004F70ED" w:rsidRPr="004F70ED">
        <w:rPr>
          <w:rFonts w:ascii="Arial" w:hAnsi="Arial" w:cs="Arial"/>
        </w:rPr>
        <w:t xml:space="preserve"> </w:t>
      </w:r>
    </w:p>
    <w:p w:rsidR="004F70ED" w:rsidRDefault="004F70ED" w:rsidP="004F70ED">
      <w:pPr>
        <w:spacing w:after="0" w:line="240" w:lineRule="auto"/>
        <w:rPr>
          <w:rFonts w:ascii="Arial" w:hAnsi="Arial" w:cs="Arial"/>
        </w:rPr>
      </w:pPr>
    </w:p>
    <w:p w:rsidR="003D740B" w:rsidRPr="00E04222" w:rsidRDefault="006B7E33" w:rsidP="003D740B">
      <w:pPr>
        <w:spacing w:after="0" w:line="240" w:lineRule="auto"/>
        <w:rPr>
          <w:rFonts w:ascii="Arial" w:hAnsi="Arial" w:cs="Arial"/>
          <w:i/>
        </w:rPr>
      </w:pPr>
      <w:r>
        <w:rPr>
          <w:rFonts w:ascii="Arial" w:hAnsi="Arial" w:cs="Arial"/>
          <w:i/>
        </w:rPr>
        <w:t>Fulfilment of Requests that overlap two reporting periods</w:t>
      </w:r>
    </w:p>
    <w:p w:rsidR="003D740B" w:rsidRDefault="003D740B" w:rsidP="003D740B">
      <w:pPr>
        <w:spacing w:after="0" w:line="240" w:lineRule="auto"/>
        <w:rPr>
          <w:rFonts w:ascii="Arial" w:hAnsi="Arial" w:cs="Arial"/>
        </w:rPr>
      </w:pPr>
    </w:p>
    <w:p w:rsidR="003D740B" w:rsidRPr="00E04222" w:rsidRDefault="003D740B" w:rsidP="003D740B">
      <w:pPr>
        <w:spacing w:after="0" w:line="240" w:lineRule="auto"/>
        <w:rPr>
          <w:rFonts w:ascii="Arial" w:hAnsi="Arial" w:cs="Arial"/>
          <w:color w:val="000000"/>
        </w:rPr>
      </w:pPr>
      <w:r w:rsidRPr="00E04222">
        <w:rPr>
          <w:rFonts w:ascii="Arial" w:hAnsi="Arial" w:cs="Arial"/>
          <w:color w:val="000000"/>
        </w:rPr>
        <w:t xml:space="preserve">Where </w:t>
      </w:r>
      <w:r w:rsidR="00385DB8">
        <w:rPr>
          <w:rFonts w:ascii="Arial" w:hAnsi="Arial" w:cs="Arial"/>
          <w:color w:val="000000"/>
        </w:rPr>
        <w:t xml:space="preserve">fulfilment of a CSG performance obligation </w:t>
      </w:r>
      <w:r w:rsidRPr="00E04222">
        <w:rPr>
          <w:rFonts w:ascii="Arial" w:hAnsi="Arial" w:cs="Arial"/>
          <w:color w:val="000000"/>
        </w:rPr>
        <w:t>(connection, fault rectification or appointment) spans two reporting periods, the performance for that specific job should be report</w:t>
      </w:r>
      <w:r w:rsidR="00070AC4">
        <w:rPr>
          <w:rFonts w:ascii="Arial" w:hAnsi="Arial" w:cs="Arial"/>
          <w:color w:val="000000"/>
        </w:rPr>
        <w:t>ed</w:t>
      </w:r>
      <w:r w:rsidRPr="00E04222">
        <w:rPr>
          <w:rFonts w:ascii="Arial" w:hAnsi="Arial" w:cs="Arial"/>
          <w:color w:val="000000"/>
        </w:rPr>
        <w:t xml:space="preserve"> in the later period.  </w:t>
      </w:r>
    </w:p>
    <w:p w:rsidR="003D740B" w:rsidRPr="00E82F06" w:rsidRDefault="003D740B" w:rsidP="003D740B">
      <w:pPr>
        <w:spacing w:after="0" w:line="240" w:lineRule="auto"/>
        <w:rPr>
          <w:rFonts w:ascii="Arial" w:hAnsi="Arial" w:cs="Arial"/>
          <w:color w:val="0000FF"/>
        </w:rPr>
      </w:pPr>
    </w:p>
    <w:p w:rsidR="001E170B" w:rsidRPr="006D0534" w:rsidRDefault="001E170B" w:rsidP="001E170B">
      <w:pPr>
        <w:spacing w:after="0" w:line="240" w:lineRule="auto"/>
        <w:rPr>
          <w:rFonts w:ascii="Arial" w:hAnsi="Arial" w:cs="Arial"/>
        </w:rPr>
      </w:pPr>
      <w:r w:rsidRPr="006D0534">
        <w:rPr>
          <w:rFonts w:ascii="Arial" w:hAnsi="Arial" w:cs="Arial"/>
        </w:rPr>
        <w:t>QSPs must send reports prepared under th</w:t>
      </w:r>
      <w:r>
        <w:rPr>
          <w:rFonts w:ascii="Arial" w:hAnsi="Arial" w:cs="Arial"/>
        </w:rPr>
        <w:t>e Rules</w:t>
      </w:r>
      <w:r w:rsidRPr="006D0534">
        <w:rPr>
          <w:rFonts w:ascii="Arial" w:hAnsi="Arial" w:cs="Arial"/>
        </w:rPr>
        <w:t xml:space="preserve"> to an email address </w:t>
      </w:r>
      <w:r>
        <w:rPr>
          <w:rFonts w:ascii="Arial" w:hAnsi="Arial" w:cs="Arial"/>
        </w:rPr>
        <w:t>published on the ACMA’s website</w:t>
      </w:r>
      <w:r w:rsidRPr="006D0534">
        <w:rPr>
          <w:rFonts w:ascii="Arial" w:hAnsi="Arial" w:cs="Arial"/>
        </w:rPr>
        <w:t xml:space="preserve"> as well as </w:t>
      </w:r>
      <w:r>
        <w:rPr>
          <w:rFonts w:ascii="Arial" w:hAnsi="Arial" w:cs="Arial"/>
        </w:rPr>
        <w:t>provide</w:t>
      </w:r>
      <w:r w:rsidRPr="006D0534">
        <w:rPr>
          <w:rFonts w:ascii="Arial" w:hAnsi="Arial" w:cs="Arial"/>
        </w:rPr>
        <w:t xml:space="preserve"> a hard copy </w:t>
      </w:r>
      <w:r>
        <w:rPr>
          <w:rFonts w:ascii="Arial" w:hAnsi="Arial" w:cs="Arial"/>
        </w:rPr>
        <w:t xml:space="preserve">(hand </w:t>
      </w:r>
      <w:r w:rsidRPr="006D0534">
        <w:rPr>
          <w:rFonts w:ascii="Arial" w:hAnsi="Arial" w:cs="Arial"/>
        </w:rPr>
        <w:t>deliver</w:t>
      </w:r>
      <w:r>
        <w:rPr>
          <w:rFonts w:ascii="Arial" w:hAnsi="Arial" w:cs="Arial"/>
        </w:rPr>
        <w:t>ed</w:t>
      </w:r>
      <w:r w:rsidRPr="006D0534">
        <w:rPr>
          <w:rFonts w:ascii="Arial" w:hAnsi="Arial" w:cs="Arial"/>
        </w:rPr>
        <w:t xml:space="preserve"> or </w:t>
      </w:r>
      <w:r>
        <w:rPr>
          <w:rFonts w:ascii="Arial" w:hAnsi="Arial" w:cs="Arial"/>
        </w:rPr>
        <w:t xml:space="preserve">by registered </w:t>
      </w:r>
      <w:r w:rsidRPr="006D0534">
        <w:rPr>
          <w:rFonts w:ascii="Arial" w:hAnsi="Arial" w:cs="Arial"/>
        </w:rPr>
        <w:t>post</w:t>
      </w:r>
      <w:r>
        <w:rPr>
          <w:rFonts w:ascii="Arial" w:hAnsi="Arial" w:cs="Arial"/>
        </w:rPr>
        <w:t xml:space="preserve"> to an office of the ACMA)</w:t>
      </w:r>
      <w:r w:rsidRPr="006D0534">
        <w:rPr>
          <w:rFonts w:ascii="Arial" w:hAnsi="Arial" w:cs="Arial"/>
        </w:rPr>
        <w:t xml:space="preserve">. </w:t>
      </w:r>
    </w:p>
    <w:p w:rsidR="00165E4B" w:rsidRPr="00FD3282" w:rsidRDefault="00165E4B" w:rsidP="00667BC6">
      <w:pPr>
        <w:rPr>
          <w:rFonts w:ascii="Arial" w:hAnsi="Arial" w:cs="Arial"/>
          <w:color w:val="FF0000"/>
        </w:rPr>
      </w:pPr>
    </w:p>
    <w:p w:rsidR="00667BC6" w:rsidRPr="00377DBC" w:rsidRDefault="00667BC6" w:rsidP="00667BC6">
      <w:pPr>
        <w:rPr>
          <w:rFonts w:ascii="Arial" w:hAnsi="Arial" w:cs="Arial"/>
          <w:sz w:val="28"/>
          <w:szCs w:val="28"/>
        </w:rPr>
      </w:pPr>
      <w:r w:rsidRPr="00377DBC">
        <w:rPr>
          <w:rFonts w:ascii="Arial" w:hAnsi="Arial" w:cs="Arial"/>
          <w:sz w:val="28"/>
          <w:szCs w:val="28"/>
        </w:rPr>
        <w:t>Consultation</w:t>
      </w:r>
    </w:p>
    <w:p w:rsidR="00667BC6" w:rsidRPr="00C07C23" w:rsidRDefault="00667BC6" w:rsidP="00667BC6">
      <w:pPr>
        <w:spacing w:after="0" w:line="240" w:lineRule="auto"/>
        <w:rPr>
          <w:rFonts w:ascii="Arial" w:hAnsi="Arial" w:cs="Arial"/>
        </w:rPr>
      </w:pPr>
      <w:r w:rsidRPr="00C07C23">
        <w:rPr>
          <w:rFonts w:ascii="Arial" w:hAnsi="Arial" w:cs="Arial"/>
        </w:rPr>
        <w:t xml:space="preserve">Section 17 of the </w:t>
      </w:r>
      <w:r w:rsidRPr="00A33B86">
        <w:rPr>
          <w:rFonts w:ascii="Arial" w:hAnsi="Arial" w:cs="Arial"/>
          <w:i/>
        </w:rPr>
        <w:t>Legislative Instruments Act 2003</w:t>
      </w:r>
      <w:r w:rsidRPr="00C07C23">
        <w:rPr>
          <w:rFonts w:ascii="Arial" w:hAnsi="Arial" w:cs="Arial"/>
        </w:rPr>
        <w:t xml:space="preserve"> (the LIA) requires </w:t>
      </w:r>
      <w:r w:rsidR="001E170B">
        <w:rPr>
          <w:rFonts w:ascii="Arial" w:hAnsi="Arial" w:cs="Arial"/>
        </w:rPr>
        <w:t xml:space="preserve">that before making a legislative instrument, </w:t>
      </w:r>
      <w:r w:rsidRPr="00C07C23">
        <w:rPr>
          <w:rFonts w:ascii="Arial" w:hAnsi="Arial" w:cs="Arial"/>
        </w:rPr>
        <w:t xml:space="preserve">the ACMA </w:t>
      </w:r>
      <w:r w:rsidR="001E170B">
        <w:rPr>
          <w:rFonts w:ascii="Arial" w:hAnsi="Arial" w:cs="Arial"/>
        </w:rPr>
        <w:t>must</w:t>
      </w:r>
      <w:r w:rsidRPr="00C07C23">
        <w:rPr>
          <w:rFonts w:ascii="Arial" w:hAnsi="Arial" w:cs="Arial"/>
        </w:rPr>
        <w:t xml:space="preserve"> </w:t>
      </w:r>
      <w:r w:rsidR="001E170B">
        <w:rPr>
          <w:rFonts w:ascii="Arial" w:hAnsi="Arial" w:cs="Arial"/>
        </w:rPr>
        <w:t xml:space="preserve">be </w:t>
      </w:r>
      <w:r w:rsidRPr="00C07C23">
        <w:rPr>
          <w:rFonts w:ascii="Arial" w:hAnsi="Arial" w:cs="Arial"/>
        </w:rPr>
        <w:t xml:space="preserve">satisfied that any consultation it considers to be appropriate and that is reasonably practicable to undertake has been undertaken. </w:t>
      </w:r>
    </w:p>
    <w:p w:rsidR="00667BC6" w:rsidRDefault="00667BC6" w:rsidP="00667BC6">
      <w:pPr>
        <w:spacing w:after="0" w:line="240" w:lineRule="auto"/>
        <w:rPr>
          <w:rFonts w:ascii="Arial" w:hAnsi="Arial" w:cs="Arial"/>
        </w:rPr>
      </w:pPr>
    </w:p>
    <w:p w:rsidR="00667BC6" w:rsidRPr="006D0534" w:rsidRDefault="00667BC6" w:rsidP="00667BC6">
      <w:pPr>
        <w:spacing w:after="0" w:line="240" w:lineRule="auto"/>
        <w:rPr>
          <w:rFonts w:ascii="Arial" w:hAnsi="Arial" w:cs="Arial"/>
        </w:rPr>
      </w:pPr>
      <w:r w:rsidRPr="00C07C23">
        <w:rPr>
          <w:rFonts w:ascii="Arial" w:hAnsi="Arial" w:cs="Arial"/>
        </w:rPr>
        <w:t>A consultation package with consultation paper and summary of the Rules was issued for public comment from</w:t>
      </w:r>
      <w:r w:rsidR="00E40028">
        <w:rPr>
          <w:rFonts w:ascii="Arial" w:hAnsi="Arial" w:cs="Arial"/>
        </w:rPr>
        <w:t xml:space="preserve"> 9 August 2011</w:t>
      </w:r>
      <w:r w:rsidRPr="00C07C23">
        <w:rPr>
          <w:rFonts w:ascii="Arial" w:hAnsi="Arial" w:cs="Arial"/>
        </w:rPr>
        <w:t xml:space="preserve"> </w:t>
      </w:r>
      <w:r>
        <w:rPr>
          <w:rFonts w:ascii="Arial" w:hAnsi="Arial" w:cs="Arial"/>
        </w:rPr>
        <w:t xml:space="preserve">to </w:t>
      </w:r>
      <w:r w:rsidR="00E40028">
        <w:rPr>
          <w:rFonts w:ascii="Arial" w:hAnsi="Arial" w:cs="Arial"/>
        </w:rPr>
        <w:t xml:space="preserve">6 September </w:t>
      </w:r>
      <w:r w:rsidRPr="00C07C23">
        <w:rPr>
          <w:rFonts w:ascii="Arial" w:hAnsi="Arial" w:cs="Arial"/>
        </w:rPr>
        <w:t xml:space="preserve">2011. The consultation package was </w:t>
      </w:r>
      <w:r w:rsidR="00F15901">
        <w:rPr>
          <w:rFonts w:ascii="Arial" w:hAnsi="Arial" w:cs="Arial"/>
        </w:rPr>
        <w:t xml:space="preserve">posted on the ACMA website on </w:t>
      </w:r>
      <w:r w:rsidR="00E40028">
        <w:rPr>
          <w:rFonts w:ascii="Arial" w:hAnsi="Arial" w:cs="Arial"/>
        </w:rPr>
        <w:t>9 August</w:t>
      </w:r>
      <w:r w:rsidR="00F15901">
        <w:rPr>
          <w:rFonts w:ascii="Arial" w:hAnsi="Arial" w:cs="Arial"/>
        </w:rPr>
        <w:t xml:space="preserve"> 2011 and specific contact was made </w:t>
      </w:r>
      <w:r w:rsidR="00F15901" w:rsidRPr="006D0534">
        <w:rPr>
          <w:rFonts w:ascii="Arial" w:hAnsi="Arial" w:cs="Arial"/>
        </w:rPr>
        <w:t xml:space="preserve">with </w:t>
      </w:r>
      <w:r w:rsidR="008F678C" w:rsidRPr="006D0534">
        <w:rPr>
          <w:rFonts w:ascii="Arial" w:hAnsi="Arial" w:cs="Arial"/>
        </w:rPr>
        <w:t xml:space="preserve">carriage service providers likely to be </w:t>
      </w:r>
      <w:r w:rsidR="00385DB8">
        <w:rPr>
          <w:rFonts w:ascii="Arial" w:hAnsi="Arial" w:cs="Arial"/>
        </w:rPr>
        <w:t>affect</w:t>
      </w:r>
      <w:r w:rsidR="008F678C" w:rsidRPr="006D0534">
        <w:rPr>
          <w:rFonts w:ascii="Arial" w:hAnsi="Arial" w:cs="Arial"/>
        </w:rPr>
        <w:t>ed by the Rules</w:t>
      </w:r>
      <w:r w:rsidR="00385DB8">
        <w:rPr>
          <w:rFonts w:ascii="Arial" w:hAnsi="Arial" w:cs="Arial"/>
        </w:rPr>
        <w:t>.</w:t>
      </w:r>
      <w:r w:rsidR="00231A67" w:rsidRPr="006D0534">
        <w:rPr>
          <w:rFonts w:ascii="Arial" w:hAnsi="Arial" w:cs="Arial"/>
        </w:rPr>
        <w:t xml:space="preserve"> </w:t>
      </w:r>
      <w:r w:rsidR="00385DB8">
        <w:rPr>
          <w:rFonts w:ascii="Arial" w:hAnsi="Arial" w:cs="Arial"/>
        </w:rPr>
        <w:t>T</w:t>
      </w:r>
      <w:r w:rsidR="00231A67" w:rsidRPr="006D0534">
        <w:rPr>
          <w:rFonts w:ascii="Arial" w:hAnsi="Arial" w:cs="Arial"/>
        </w:rPr>
        <w:t xml:space="preserve">he </w:t>
      </w:r>
      <w:r w:rsidR="00AC60E2" w:rsidRPr="006D0534">
        <w:rPr>
          <w:rFonts w:ascii="Arial" w:hAnsi="Arial" w:cs="Arial"/>
        </w:rPr>
        <w:t>Australian Communications Consumer Action Network (the peak consumer representative group)</w:t>
      </w:r>
      <w:r w:rsidR="00385DB8">
        <w:rPr>
          <w:rFonts w:ascii="Arial" w:hAnsi="Arial" w:cs="Arial"/>
        </w:rPr>
        <w:t xml:space="preserve"> was also consulted</w:t>
      </w:r>
      <w:r w:rsidR="00231A67" w:rsidRPr="006D0534">
        <w:rPr>
          <w:rFonts w:ascii="Arial" w:hAnsi="Arial" w:cs="Arial"/>
        </w:rPr>
        <w:t xml:space="preserve">. Alerts </w:t>
      </w:r>
      <w:r w:rsidR="00AC60E2" w:rsidRPr="006D0534">
        <w:rPr>
          <w:rFonts w:ascii="Arial" w:hAnsi="Arial" w:cs="Arial"/>
        </w:rPr>
        <w:t xml:space="preserve">regarding this consultation package </w:t>
      </w:r>
      <w:r w:rsidR="00231A67" w:rsidRPr="006D0534">
        <w:rPr>
          <w:rFonts w:ascii="Arial" w:hAnsi="Arial" w:cs="Arial"/>
        </w:rPr>
        <w:t xml:space="preserve">were also sent </w:t>
      </w:r>
      <w:r w:rsidR="00AC60E2" w:rsidRPr="006D0534">
        <w:rPr>
          <w:rFonts w:ascii="Arial" w:hAnsi="Arial" w:cs="Arial"/>
        </w:rPr>
        <w:t xml:space="preserve">to the Communications Alliance, </w:t>
      </w:r>
      <w:r w:rsidR="00AC60E2" w:rsidRPr="006D0534">
        <w:rPr>
          <w:rFonts w:ascii="Arial" w:hAnsi="Arial" w:cs="Arial"/>
        </w:rPr>
        <w:lastRenderedPageBreak/>
        <w:t>the Telecommunications Industry Ombudsman and</w:t>
      </w:r>
      <w:r w:rsidR="008F678C" w:rsidRPr="006D0534">
        <w:rPr>
          <w:rFonts w:ascii="Arial" w:hAnsi="Arial" w:cs="Arial"/>
        </w:rPr>
        <w:t xml:space="preserve"> </w:t>
      </w:r>
      <w:r w:rsidR="00AC60E2" w:rsidRPr="006D0534">
        <w:rPr>
          <w:rFonts w:ascii="Arial" w:hAnsi="Arial" w:cs="Arial"/>
        </w:rPr>
        <w:t>the Australian Competition and Consumer Commission</w:t>
      </w:r>
      <w:r w:rsidRPr="006D0534">
        <w:rPr>
          <w:rFonts w:ascii="Arial" w:hAnsi="Arial" w:cs="Arial"/>
        </w:rPr>
        <w:t xml:space="preserve">. </w:t>
      </w:r>
    </w:p>
    <w:p w:rsidR="00667BC6" w:rsidRDefault="00667BC6" w:rsidP="00667BC6">
      <w:pPr>
        <w:spacing w:after="0" w:line="240" w:lineRule="auto"/>
        <w:rPr>
          <w:rFonts w:ascii="Arial" w:hAnsi="Arial" w:cs="Arial"/>
        </w:rPr>
      </w:pPr>
    </w:p>
    <w:p w:rsidR="00F822C1" w:rsidRDefault="008F678C" w:rsidP="00F822C1">
      <w:pPr>
        <w:spacing w:after="0" w:line="240" w:lineRule="auto"/>
        <w:rPr>
          <w:rFonts w:ascii="Arial" w:hAnsi="Arial" w:cs="Arial"/>
        </w:rPr>
      </w:pPr>
      <w:r w:rsidRPr="006B637F">
        <w:rPr>
          <w:rFonts w:ascii="Arial" w:hAnsi="Arial" w:cs="Arial"/>
        </w:rPr>
        <w:t>Submissions received raised a number of issues.</w:t>
      </w:r>
      <w:r>
        <w:rPr>
          <w:rFonts w:ascii="Arial" w:hAnsi="Arial" w:cs="Arial"/>
          <w:color w:val="FF0000"/>
        </w:rPr>
        <w:t xml:space="preserve"> </w:t>
      </w:r>
      <w:r w:rsidR="00F822C1" w:rsidRPr="00723E9D">
        <w:rPr>
          <w:rFonts w:ascii="Arial" w:hAnsi="Arial" w:cs="Arial"/>
        </w:rPr>
        <w:t xml:space="preserve">Some elements of the submissions involved matters that were outside the scope of the consultation </w:t>
      </w:r>
      <w:r>
        <w:rPr>
          <w:rFonts w:ascii="Arial" w:hAnsi="Arial" w:cs="Arial"/>
        </w:rPr>
        <w:t xml:space="preserve">or related to Ministerial instruments and could not be considered in relation to the development of the final instrument. </w:t>
      </w:r>
      <w:r w:rsidR="003F2943" w:rsidRPr="00723E9D">
        <w:rPr>
          <w:rFonts w:ascii="Arial" w:hAnsi="Arial" w:cs="Arial"/>
        </w:rPr>
        <w:t xml:space="preserve"> </w:t>
      </w:r>
    </w:p>
    <w:p w:rsidR="006D0534" w:rsidRDefault="006D0534" w:rsidP="00F822C1">
      <w:pPr>
        <w:spacing w:after="0" w:line="240" w:lineRule="auto"/>
        <w:rPr>
          <w:rFonts w:ascii="Arial" w:hAnsi="Arial" w:cs="Arial"/>
        </w:rPr>
      </w:pPr>
    </w:p>
    <w:p w:rsidR="008F678C" w:rsidRDefault="008F678C" w:rsidP="00F822C1">
      <w:pPr>
        <w:spacing w:after="0" w:line="240" w:lineRule="auto"/>
        <w:rPr>
          <w:rFonts w:ascii="Arial" w:hAnsi="Arial" w:cs="Arial"/>
        </w:rPr>
      </w:pPr>
      <w:r>
        <w:rPr>
          <w:rFonts w:ascii="Arial" w:hAnsi="Arial" w:cs="Arial"/>
        </w:rPr>
        <w:t>Key issues arising from the consultat</w:t>
      </w:r>
      <w:r w:rsidR="006D0534">
        <w:rPr>
          <w:rFonts w:ascii="Arial" w:hAnsi="Arial" w:cs="Arial"/>
        </w:rPr>
        <w:t>i</w:t>
      </w:r>
      <w:r>
        <w:rPr>
          <w:rFonts w:ascii="Arial" w:hAnsi="Arial" w:cs="Arial"/>
        </w:rPr>
        <w:t>on and the ACMA’s response are as follows:</w:t>
      </w:r>
    </w:p>
    <w:p w:rsidR="00335C08" w:rsidRDefault="00335C08" w:rsidP="00F822C1">
      <w:pPr>
        <w:spacing w:after="0" w:line="240" w:lineRule="auto"/>
        <w:rPr>
          <w:rFonts w:ascii="Arial" w:hAnsi="Arial" w:cs="Arial"/>
        </w:rPr>
      </w:pPr>
    </w:p>
    <w:p w:rsidR="008F678C" w:rsidRDefault="008F678C" w:rsidP="008F678C">
      <w:pPr>
        <w:numPr>
          <w:ilvl w:val="0"/>
          <w:numId w:val="20"/>
        </w:numPr>
        <w:spacing w:after="0" w:line="240" w:lineRule="auto"/>
        <w:rPr>
          <w:rFonts w:ascii="Arial" w:hAnsi="Arial" w:cs="Arial"/>
        </w:rPr>
      </w:pPr>
      <w:r>
        <w:rPr>
          <w:rFonts w:ascii="Arial" w:hAnsi="Arial" w:cs="Arial"/>
          <w:i/>
        </w:rPr>
        <w:t xml:space="preserve">The need for state/territory disaggregation of data </w:t>
      </w:r>
      <w:r>
        <w:rPr>
          <w:rFonts w:ascii="Arial" w:hAnsi="Arial" w:cs="Arial"/>
        </w:rPr>
        <w:t xml:space="preserve">was queried given that the CSG Retail Benchmarks relate to national performance. The ACMA has retained this requirement in the final instrument as this data is required for the ACMA’s reporting and compliance monitoring functions. The data required replicates the data sets </w:t>
      </w:r>
      <w:r w:rsidR="00385DB8">
        <w:rPr>
          <w:rFonts w:ascii="Arial" w:hAnsi="Arial" w:cs="Arial"/>
        </w:rPr>
        <w:t xml:space="preserve">currently </w:t>
      </w:r>
      <w:r>
        <w:rPr>
          <w:rFonts w:ascii="Arial" w:hAnsi="Arial" w:cs="Arial"/>
        </w:rPr>
        <w:t xml:space="preserve">collected by the ACMA </w:t>
      </w:r>
      <w:r w:rsidR="00385DB8">
        <w:rPr>
          <w:rFonts w:ascii="Arial" w:hAnsi="Arial" w:cs="Arial"/>
        </w:rPr>
        <w:t xml:space="preserve">from industry </w:t>
      </w:r>
      <w:r>
        <w:rPr>
          <w:rFonts w:ascii="Arial" w:hAnsi="Arial" w:cs="Arial"/>
        </w:rPr>
        <w:t>under informal arrangements;</w:t>
      </w:r>
    </w:p>
    <w:p w:rsidR="008F678C" w:rsidRPr="008F678C" w:rsidRDefault="008F678C" w:rsidP="008F678C">
      <w:pPr>
        <w:numPr>
          <w:ilvl w:val="0"/>
          <w:numId w:val="20"/>
        </w:numPr>
        <w:spacing w:after="0" w:line="240" w:lineRule="auto"/>
        <w:rPr>
          <w:rFonts w:ascii="Arial" w:hAnsi="Arial" w:cs="Arial"/>
        </w:rPr>
      </w:pPr>
      <w:r>
        <w:rPr>
          <w:rFonts w:ascii="Arial" w:hAnsi="Arial" w:cs="Arial"/>
          <w:i/>
        </w:rPr>
        <w:t xml:space="preserve">The need for quarterly data was questioned </w:t>
      </w:r>
      <w:r>
        <w:rPr>
          <w:rFonts w:ascii="Arial" w:hAnsi="Arial" w:cs="Arial"/>
        </w:rPr>
        <w:t xml:space="preserve">with submitters asserting that the provision of data sets showing six monthly </w:t>
      </w:r>
      <w:proofErr w:type="gramStart"/>
      <w:r>
        <w:rPr>
          <w:rFonts w:ascii="Arial" w:hAnsi="Arial" w:cs="Arial"/>
        </w:rPr>
        <w:t>performance</w:t>
      </w:r>
      <w:proofErr w:type="gramEnd"/>
      <w:r>
        <w:rPr>
          <w:rFonts w:ascii="Arial" w:hAnsi="Arial" w:cs="Arial"/>
        </w:rPr>
        <w:t xml:space="preserve"> would be adequate for monitoring purposes. The ACMA has retained this requirement in the final instrument to</w:t>
      </w:r>
      <w:r w:rsidRPr="008F678C">
        <w:rPr>
          <w:rFonts w:ascii="Arial" w:hAnsi="Arial" w:cs="Arial"/>
        </w:rPr>
        <w:t xml:space="preserve"> facilitate the continuation of trend analysis including seasonal fluctuations particularly in Minor Rural and Remote areas. The issue of seasonal fluctuations that affect the annual figures may advantage the QSP, and may also have a bearing whether enforcement action should be taken</w:t>
      </w:r>
      <w:r>
        <w:rPr>
          <w:rFonts w:ascii="Arial" w:hAnsi="Arial" w:cs="Arial"/>
        </w:rPr>
        <w:t>;</w:t>
      </w:r>
    </w:p>
    <w:p w:rsidR="008F678C" w:rsidRDefault="008F678C" w:rsidP="008F678C">
      <w:pPr>
        <w:numPr>
          <w:ilvl w:val="0"/>
          <w:numId w:val="20"/>
        </w:numPr>
        <w:spacing w:after="0" w:line="240" w:lineRule="auto"/>
        <w:rPr>
          <w:rFonts w:ascii="Arial" w:hAnsi="Arial" w:cs="Arial"/>
        </w:rPr>
      </w:pPr>
      <w:r>
        <w:rPr>
          <w:rFonts w:ascii="Arial" w:hAnsi="Arial" w:cs="Arial"/>
          <w:i/>
        </w:rPr>
        <w:t xml:space="preserve">The time allowed for submission of reporting </w:t>
      </w:r>
      <w:r>
        <w:rPr>
          <w:rFonts w:ascii="Arial" w:hAnsi="Arial" w:cs="Arial"/>
        </w:rPr>
        <w:t>was questioned with submitters seeking that this be extended from 30 to 40 working days. The ACMA has adjusted the final instrument to provide 40 working days for the submission of reporting;</w:t>
      </w:r>
    </w:p>
    <w:p w:rsidR="008F678C" w:rsidRDefault="008F678C" w:rsidP="008F678C">
      <w:pPr>
        <w:numPr>
          <w:ilvl w:val="0"/>
          <w:numId w:val="20"/>
        </w:numPr>
        <w:spacing w:after="0" w:line="240" w:lineRule="auto"/>
        <w:rPr>
          <w:rFonts w:ascii="Arial" w:hAnsi="Arial" w:cs="Arial"/>
        </w:rPr>
      </w:pPr>
      <w:r w:rsidRPr="008F678C">
        <w:rPr>
          <w:rFonts w:ascii="Arial" w:hAnsi="Arial" w:cs="Arial"/>
          <w:i/>
        </w:rPr>
        <w:t xml:space="preserve">The nomination of auditors and audit requirements </w:t>
      </w:r>
      <w:r w:rsidRPr="008F678C">
        <w:rPr>
          <w:rFonts w:ascii="Arial" w:hAnsi="Arial" w:cs="Arial"/>
        </w:rPr>
        <w:t>were queried. In response to this</w:t>
      </w:r>
      <w:r w:rsidR="002D002E">
        <w:rPr>
          <w:rFonts w:ascii="Arial" w:hAnsi="Arial" w:cs="Arial"/>
        </w:rPr>
        <w:t>,</w:t>
      </w:r>
      <w:r w:rsidRPr="008F678C">
        <w:rPr>
          <w:rFonts w:ascii="Arial" w:hAnsi="Arial" w:cs="Arial"/>
        </w:rPr>
        <w:t xml:space="preserve"> the ACMA has adjusted the drafting of the final instrument to allow for QSPs to nominate auditors for ACMA approval. The audit provisions of the final instrument also provide for audits</w:t>
      </w:r>
      <w:r w:rsidR="00D543DC">
        <w:rPr>
          <w:rFonts w:ascii="Arial" w:hAnsi="Arial" w:cs="Arial"/>
        </w:rPr>
        <w:t xml:space="preserve"> only</w:t>
      </w:r>
      <w:r w:rsidRPr="008F678C">
        <w:rPr>
          <w:rFonts w:ascii="Arial" w:hAnsi="Arial" w:cs="Arial"/>
        </w:rPr>
        <w:t xml:space="preserve"> in circumstances where the ACMA </w:t>
      </w:r>
      <w:r w:rsidR="00D543DC">
        <w:rPr>
          <w:rFonts w:ascii="Arial" w:hAnsi="Arial" w:cs="Arial"/>
        </w:rPr>
        <w:t xml:space="preserve">forms </w:t>
      </w:r>
      <w:r w:rsidR="008430EC">
        <w:rPr>
          <w:rFonts w:ascii="Arial" w:hAnsi="Arial" w:cs="Arial"/>
        </w:rPr>
        <w:t>a</w:t>
      </w:r>
      <w:r w:rsidR="00D543DC">
        <w:rPr>
          <w:rFonts w:ascii="Arial" w:hAnsi="Arial" w:cs="Arial"/>
        </w:rPr>
        <w:t xml:space="preserve"> view on reasonable grounds that an audit is necessary</w:t>
      </w:r>
      <w:r w:rsidRPr="008F678C">
        <w:rPr>
          <w:rFonts w:ascii="Arial" w:hAnsi="Arial" w:cs="Arial"/>
        </w:rPr>
        <w:t xml:space="preserve">; </w:t>
      </w:r>
    </w:p>
    <w:p w:rsidR="008F678C" w:rsidRPr="008F678C" w:rsidRDefault="008F678C" w:rsidP="008F678C">
      <w:pPr>
        <w:numPr>
          <w:ilvl w:val="0"/>
          <w:numId w:val="20"/>
        </w:numPr>
        <w:spacing w:after="0" w:line="240" w:lineRule="auto"/>
        <w:rPr>
          <w:rFonts w:ascii="Arial" w:hAnsi="Arial" w:cs="Arial"/>
        </w:rPr>
      </w:pPr>
      <w:r w:rsidRPr="008F678C">
        <w:rPr>
          <w:rFonts w:ascii="Arial" w:hAnsi="Arial" w:cs="Arial"/>
          <w:i/>
        </w:rPr>
        <w:t xml:space="preserve">The cost of adjustments to IT systems </w:t>
      </w:r>
      <w:r w:rsidRPr="008F678C">
        <w:rPr>
          <w:rFonts w:ascii="Arial" w:hAnsi="Arial" w:cs="Arial"/>
        </w:rPr>
        <w:t xml:space="preserve">was raised by several submitters. The ACMA acknowledges that there are likely to be costs relating to systems modifications. However, in drafting the instrument it has sought to replicate data sets that are already provided by QSPs and, where a new data requirement has been created, that any new reporting is essential to the ACMA’s </w:t>
      </w:r>
      <w:r w:rsidR="00D543DC">
        <w:rPr>
          <w:rFonts w:ascii="Arial" w:hAnsi="Arial" w:cs="Arial"/>
        </w:rPr>
        <w:t>monitoring of compliance with the CSG Standard and the Retail CSG Benchmarks</w:t>
      </w:r>
      <w:r w:rsidRPr="008F678C">
        <w:rPr>
          <w:rFonts w:ascii="Arial" w:hAnsi="Arial" w:cs="Arial"/>
        </w:rPr>
        <w:t>.</w:t>
      </w:r>
    </w:p>
    <w:p w:rsidR="00F822C1" w:rsidRPr="00723E9D" w:rsidRDefault="00F822C1" w:rsidP="00F822C1">
      <w:pPr>
        <w:spacing w:after="0" w:line="240" w:lineRule="auto"/>
        <w:rPr>
          <w:rFonts w:ascii="Arial" w:hAnsi="Arial" w:cs="Arial"/>
        </w:rPr>
      </w:pPr>
    </w:p>
    <w:p w:rsidR="004F70ED" w:rsidRDefault="00667BC6" w:rsidP="004F70ED">
      <w:pPr>
        <w:spacing w:after="0" w:line="240" w:lineRule="auto"/>
        <w:rPr>
          <w:rFonts w:ascii="Arial" w:hAnsi="Arial" w:cs="Arial"/>
        </w:rPr>
      </w:pPr>
      <w:r w:rsidRPr="002049C5">
        <w:rPr>
          <w:rFonts w:ascii="Arial" w:hAnsi="Arial" w:cs="Arial"/>
        </w:rPr>
        <w:t xml:space="preserve">Accordingly, the ACMA is satisfied that consultation has been conducted in accordance with the requirements of section 17 of the LIA. </w:t>
      </w:r>
    </w:p>
    <w:p w:rsidR="00667BC6" w:rsidRPr="00980F85" w:rsidRDefault="00667BC6" w:rsidP="00667BC6">
      <w:pPr>
        <w:autoSpaceDE w:val="0"/>
        <w:autoSpaceDN w:val="0"/>
        <w:adjustRightInd w:val="0"/>
        <w:spacing w:after="0" w:line="240" w:lineRule="auto"/>
        <w:rPr>
          <w:rFonts w:ascii="Arial" w:hAnsi="Arial" w:cs="Arial"/>
          <w:color w:val="FF0000"/>
        </w:rPr>
      </w:pPr>
    </w:p>
    <w:p w:rsidR="00667BC6" w:rsidRPr="00377DBC" w:rsidRDefault="00667BC6" w:rsidP="00667BC6">
      <w:pPr>
        <w:rPr>
          <w:rFonts w:ascii="Arial" w:hAnsi="Arial" w:cs="Arial"/>
          <w:sz w:val="28"/>
          <w:szCs w:val="28"/>
        </w:rPr>
      </w:pPr>
      <w:r w:rsidRPr="00377DBC">
        <w:rPr>
          <w:rFonts w:ascii="Arial" w:hAnsi="Arial" w:cs="Arial"/>
          <w:sz w:val="28"/>
          <w:szCs w:val="28"/>
        </w:rPr>
        <w:t>Regulation Impact</w:t>
      </w:r>
    </w:p>
    <w:p w:rsidR="00667BC6" w:rsidRPr="00BA2C4E" w:rsidRDefault="00667BC6" w:rsidP="00667BC6">
      <w:pPr>
        <w:autoSpaceDE w:val="0"/>
        <w:autoSpaceDN w:val="0"/>
        <w:adjustRightInd w:val="0"/>
        <w:spacing w:after="0" w:line="240" w:lineRule="auto"/>
        <w:rPr>
          <w:rFonts w:ascii="Arial" w:hAnsi="Arial"/>
          <w:lang w:eastAsia="en-AU"/>
        </w:rPr>
      </w:pPr>
      <w:r>
        <w:rPr>
          <w:rFonts w:ascii="Arial" w:hAnsi="Arial" w:cs="Arial"/>
          <w:lang w:eastAsia="en-AU"/>
        </w:rPr>
        <w:t xml:space="preserve">The Office of Best Practice Regulation has considered the matter and formed an opinion that the </w:t>
      </w:r>
      <w:r w:rsidRPr="00D543DC">
        <w:rPr>
          <w:rFonts w:ascii="Arial" w:hAnsi="Arial" w:cs="Arial"/>
          <w:lang w:eastAsia="en-AU"/>
        </w:rPr>
        <w:t>Rules</w:t>
      </w:r>
      <w:r>
        <w:rPr>
          <w:rFonts w:ascii="Arial" w:hAnsi="Arial" w:cs="Arial"/>
          <w:lang w:eastAsia="en-AU"/>
        </w:rPr>
        <w:t xml:space="preserve"> will have minor and machinery impact</w:t>
      </w:r>
      <w:r w:rsidR="00E7164A">
        <w:rPr>
          <w:rFonts w:ascii="Arial" w:hAnsi="Arial" w:cs="Arial"/>
          <w:lang w:eastAsia="en-AU"/>
        </w:rPr>
        <w:t xml:space="preserve"> on industry</w:t>
      </w:r>
      <w:r w:rsidRPr="00BA2C4E">
        <w:rPr>
          <w:rFonts w:ascii="Arial" w:hAnsi="Arial" w:cs="Arial"/>
          <w:lang w:eastAsia="en-AU"/>
        </w:rPr>
        <w:t xml:space="preserve">. The OBPR </w:t>
      </w:r>
      <w:r w:rsidRPr="00BA2C4E">
        <w:rPr>
          <w:rFonts w:ascii="Arial" w:hAnsi="Arial"/>
          <w:lang w:eastAsia="en-AU"/>
        </w:rPr>
        <w:t>RIS exemption number is ID 12699.</w:t>
      </w:r>
    </w:p>
    <w:p w:rsidR="00667BC6" w:rsidRDefault="00667BC6" w:rsidP="00667BC6">
      <w:pPr>
        <w:pStyle w:val="ACMANumberedList"/>
        <w:rPr>
          <w:sz w:val="22"/>
          <w:szCs w:val="22"/>
        </w:rPr>
      </w:pPr>
    </w:p>
    <w:p w:rsidR="00667BC6" w:rsidRPr="00377DBC" w:rsidRDefault="00667BC6" w:rsidP="00667BC6">
      <w:pPr>
        <w:rPr>
          <w:rFonts w:ascii="Arial" w:hAnsi="Arial" w:cs="Arial"/>
          <w:b/>
          <w:sz w:val="28"/>
          <w:szCs w:val="28"/>
        </w:rPr>
      </w:pPr>
      <w:r>
        <w:rPr>
          <w:rFonts w:ascii="Arial" w:hAnsi="Arial" w:cs="Arial"/>
          <w:b/>
          <w:sz w:val="28"/>
          <w:szCs w:val="28"/>
        </w:rPr>
        <w:br w:type="page"/>
      </w:r>
      <w:r w:rsidRPr="00377DBC">
        <w:rPr>
          <w:rFonts w:ascii="Arial" w:hAnsi="Arial" w:cs="Arial"/>
          <w:b/>
          <w:sz w:val="28"/>
          <w:szCs w:val="28"/>
        </w:rPr>
        <w:lastRenderedPageBreak/>
        <w:t>Detail</w:t>
      </w:r>
      <w:r>
        <w:rPr>
          <w:rFonts w:ascii="Arial" w:hAnsi="Arial" w:cs="Arial"/>
          <w:b/>
          <w:sz w:val="28"/>
          <w:szCs w:val="28"/>
        </w:rPr>
        <w:t xml:space="preserve">s </w:t>
      </w:r>
      <w:r w:rsidRPr="00377DBC">
        <w:rPr>
          <w:rFonts w:ascii="Arial" w:hAnsi="Arial" w:cs="Arial"/>
          <w:b/>
          <w:sz w:val="28"/>
          <w:szCs w:val="28"/>
        </w:rPr>
        <w:t xml:space="preserve">of the </w:t>
      </w:r>
      <w:r w:rsidRPr="00A9216D">
        <w:rPr>
          <w:rFonts w:ascii="Arial" w:hAnsi="Arial" w:cs="Arial"/>
          <w:b/>
          <w:sz w:val="28"/>
          <w:szCs w:val="28"/>
        </w:rPr>
        <w:t>Telecommunications (Customer Service Guarantee</w:t>
      </w:r>
      <w:r w:rsidR="006D0534">
        <w:rPr>
          <w:rFonts w:ascii="Arial" w:hAnsi="Arial" w:cs="Arial"/>
          <w:b/>
          <w:sz w:val="28"/>
          <w:szCs w:val="28"/>
        </w:rPr>
        <w:t>)</w:t>
      </w:r>
      <w:r w:rsidRPr="00A9216D">
        <w:rPr>
          <w:rFonts w:ascii="Arial" w:hAnsi="Arial" w:cs="Arial"/>
          <w:b/>
          <w:sz w:val="28"/>
          <w:szCs w:val="28"/>
        </w:rPr>
        <w:t xml:space="preserve"> Record-</w:t>
      </w:r>
      <w:r w:rsidR="006D0534">
        <w:rPr>
          <w:rFonts w:ascii="Arial" w:hAnsi="Arial" w:cs="Arial"/>
          <w:b/>
          <w:sz w:val="28"/>
          <w:szCs w:val="28"/>
        </w:rPr>
        <w:t>K</w:t>
      </w:r>
      <w:r w:rsidRPr="00A9216D">
        <w:rPr>
          <w:rFonts w:ascii="Arial" w:hAnsi="Arial" w:cs="Arial"/>
          <w:b/>
          <w:sz w:val="28"/>
          <w:szCs w:val="28"/>
        </w:rPr>
        <w:t xml:space="preserve">eeping Rules 2011 </w:t>
      </w:r>
    </w:p>
    <w:p w:rsidR="00667BC6" w:rsidRDefault="00667BC6" w:rsidP="00667BC6">
      <w:pPr>
        <w:rPr>
          <w:rFonts w:ascii="Arial" w:hAnsi="Arial" w:cs="Arial"/>
        </w:rPr>
      </w:pPr>
    </w:p>
    <w:p w:rsidR="00667BC6" w:rsidRPr="00190D1C" w:rsidRDefault="00667BC6" w:rsidP="00667BC6">
      <w:pPr>
        <w:jc w:val="center"/>
        <w:rPr>
          <w:b/>
          <w:sz w:val="30"/>
          <w:szCs w:val="28"/>
        </w:rPr>
      </w:pPr>
      <w:r w:rsidRPr="00190D1C">
        <w:rPr>
          <w:b/>
          <w:sz w:val="30"/>
          <w:szCs w:val="28"/>
        </w:rPr>
        <w:t>Notes on Sections</w:t>
      </w:r>
    </w:p>
    <w:p w:rsidR="00CC3131" w:rsidRPr="00875E8D" w:rsidRDefault="00CC3131" w:rsidP="00CC3131">
      <w:pPr>
        <w:pStyle w:val="Heading3"/>
        <w:tabs>
          <w:tab w:val="left" w:pos="1620"/>
        </w:tabs>
        <w:rPr>
          <w:rFonts w:ascii="Arial" w:hAnsi="Arial" w:cs="Arial"/>
          <w:sz w:val="28"/>
          <w:szCs w:val="28"/>
        </w:rPr>
      </w:pPr>
      <w:r w:rsidRPr="001B5C36">
        <w:rPr>
          <w:rFonts w:ascii="Arial" w:hAnsi="Arial" w:cs="Arial"/>
          <w:sz w:val="28"/>
          <w:szCs w:val="28"/>
        </w:rPr>
        <w:t>Part 1</w:t>
      </w:r>
      <w:r w:rsidRPr="001B5C36">
        <w:rPr>
          <w:rFonts w:ascii="Arial" w:hAnsi="Arial" w:cs="Arial"/>
          <w:sz w:val="28"/>
          <w:szCs w:val="28"/>
        </w:rPr>
        <w:tab/>
        <w:t>Introduction</w:t>
      </w:r>
    </w:p>
    <w:p w:rsidR="00CC3131" w:rsidRPr="008B07F9" w:rsidRDefault="00CC3131" w:rsidP="00CC3131">
      <w:pPr>
        <w:pStyle w:val="Heading3"/>
        <w:tabs>
          <w:tab w:val="left" w:pos="1620"/>
        </w:tabs>
        <w:rPr>
          <w:rFonts w:ascii="Arial" w:hAnsi="Arial" w:cs="Arial"/>
          <w:i/>
          <w:sz w:val="28"/>
          <w:szCs w:val="28"/>
        </w:rPr>
      </w:pPr>
      <w:r w:rsidRPr="008B07F9">
        <w:rPr>
          <w:rFonts w:ascii="Arial" w:hAnsi="Arial" w:cs="Arial"/>
          <w:i/>
          <w:sz w:val="28"/>
          <w:szCs w:val="28"/>
        </w:rPr>
        <w:t>Section 1</w:t>
      </w:r>
      <w:r w:rsidRPr="008B07F9">
        <w:rPr>
          <w:rFonts w:ascii="Arial" w:hAnsi="Arial" w:cs="Arial"/>
          <w:i/>
          <w:sz w:val="28"/>
          <w:szCs w:val="28"/>
        </w:rPr>
        <w:tab/>
        <w:t xml:space="preserve">Name of </w:t>
      </w:r>
      <w:r>
        <w:rPr>
          <w:rFonts w:ascii="Arial" w:hAnsi="Arial" w:cs="Arial"/>
          <w:i/>
          <w:sz w:val="28"/>
          <w:szCs w:val="28"/>
        </w:rPr>
        <w:t>Rules</w:t>
      </w:r>
    </w:p>
    <w:p w:rsidR="00CC3131" w:rsidRPr="00A73C36" w:rsidRDefault="00CC3131" w:rsidP="00CC3131">
      <w:pPr>
        <w:spacing w:after="0" w:line="240" w:lineRule="auto"/>
        <w:rPr>
          <w:rFonts w:ascii="Arial" w:hAnsi="Arial" w:cs="Arial"/>
        </w:rPr>
      </w:pPr>
      <w:r w:rsidRPr="00A73C36">
        <w:rPr>
          <w:rFonts w:ascii="Arial" w:hAnsi="Arial" w:cs="Arial"/>
        </w:rPr>
        <w:t xml:space="preserve">This section provides that the title of the Rules is the </w:t>
      </w:r>
      <w:r w:rsidRPr="00A73C36">
        <w:rPr>
          <w:rFonts w:ascii="Arial" w:hAnsi="Arial" w:cs="Arial"/>
          <w:i/>
        </w:rPr>
        <w:t>Telecommunications (Customer Service Guarantee) Record-Keeping Rules 2011</w:t>
      </w:r>
      <w:r w:rsidRPr="00A73C36">
        <w:rPr>
          <w:rFonts w:ascii="Arial" w:hAnsi="Arial" w:cs="Arial"/>
        </w:rPr>
        <w:t>.</w:t>
      </w:r>
    </w:p>
    <w:p w:rsidR="00CC3131" w:rsidRPr="00D46674" w:rsidRDefault="00CC3131" w:rsidP="00CC3131">
      <w:pPr>
        <w:pStyle w:val="Heading3"/>
        <w:tabs>
          <w:tab w:val="left" w:pos="1620"/>
        </w:tabs>
        <w:spacing w:after="120"/>
        <w:rPr>
          <w:rFonts w:ascii="Arial" w:hAnsi="Arial" w:cs="Arial"/>
          <w:i/>
          <w:color w:val="000000"/>
          <w:sz w:val="28"/>
          <w:szCs w:val="28"/>
        </w:rPr>
      </w:pPr>
      <w:r w:rsidRPr="009244EC">
        <w:rPr>
          <w:rFonts w:ascii="Arial" w:hAnsi="Arial" w:cs="Arial"/>
          <w:i/>
          <w:sz w:val="28"/>
          <w:szCs w:val="28"/>
        </w:rPr>
        <w:t>Section 2</w:t>
      </w:r>
      <w:r w:rsidRPr="009244EC">
        <w:rPr>
          <w:rFonts w:ascii="Arial" w:hAnsi="Arial" w:cs="Arial"/>
          <w:i/>
          <w:sz w:val="28"/>
          <w:szCs w:val="28"/>
        </w:rPr>
        <w:tab/>
        <w:t>Commencement</w:t>
      </w:r>
    </w:p>
    <w:p w:rsidR="00CC3131" w:rsidRPr="00A73C36" w:rsidRDefault="00CC3131" w:rsidP="00CC3131">
      <w:pPr>
        <w:spacing w:after="0" w:line="240" w:lineRule="auto"/>
        <w:rPr>
          <w:rFonts w:ascii="Arial" w:hAnsi="Arial" w:cs="Arial"/>
        </w:rPr>
      </w:pPr>
      <w:r w:rsidRPr="00A73C36">
        <w:rPr>
          <w:rFonts w:ascii="Arial" w:hAnsi="Arial" w:cs="Arial"/>
        </w:rPr>
        <w:t xml:space="preserve">This section provides for the Rules to commence on 1 October 2011 or the day after registration </w:t>
      </w:r>
      <w:r w:rsidR="008430EC">
        <w:rPr>
          <w:rFonts w:ascii="Arial" w:hAnsi="Arial" w:cs="Arial"/>
        </w:rPr>
        <w:t>on</w:t>
      </w:r>
      <w:r w:rsidR="008430EC" w:rsidRPr="00A73C36">
        <w:rPr>
          <w:rFonts w:ascii="Arial" w:hAnsi="Arial" w:cs="Arial"/>
        </w:rPr>
        <w:t xml:space="preserve"> </w:t>
      </w:r>
      <w:r w:rsidRPr="00A73C36">
        <w:rPr>
          <w:rFonts w:ascii="Arial" w:hAnsi="Arial" w:cs="Arial"/>
        </w:rPr>
        <w:t>the Federal Register of Legislative Instruments</w:t>
      </w:r>
      <w:r>
        <w:rPr>
          <w:rFonts w:ascii="Arial" w:hAnsi="Arial" w:cs="Arial"/>
        </w:rPr>
        <w:t>, whichever last occurs</w:t>
      </w:r>
      <w:r w:rsidRPr="00A73C36">
        <w:rPr>
          <w:rFonts w:ascii="Arial" w:hAnsi="Arial" w:cs="Arial"/>
        </w:rPr>
        <w:t xml:space="preserve">. </w:t>
      </w:r>
    </w:p>
    <w:p w:rsidR="00CC3131" w:rsidRPr="00964BB8" w:rsidRDefault="00CC3131" w:rsidP="00CC3131">
      <w:pPr>
        <w:pStyle w:val="Heading3"/>
        <w:tabs>
          <w:tab w:val="left" w:pos="1620"/>
        </w:tabs>
        <w:spacing w:after="120"/>
        <w:rPr>
          <w:rFonts w:ascii="Arial" w:hAnsi="Arial" w:cs="Arial"/>
          <w:i/>
          <w:color w:val="000000"/>
          <w:sz w:val="28"/>
          <w:szCs w:val="28"/>
        </w:rPr>
      </w:pPr>
      <w:r>
        <w:rPr>
          <w:rFonts w:ascii="Arial" w:hAnsi="Arial" w:cs="Arial"/>
          <w:i/>
          <w:sz w:val="28"/>
          <w:szCs w:val="28"/>
        </w:rPr>
        <w:t>Section 3</w:t>
      </w:r>
      <w:r w:rsidRPr="00964BB8">
        <w:rPr>
          <w:rFonts w:ascii="Arial" w:hAnsi="Arial" w:cs="Arial"/>
          <w:i/>
          <w:sz w:val="28"/>
          <w:szCs w:val="28"/>
        </w:rPr>
        <w:tab/>
        <w:t>Definitions</w:t>
      </w:r>
    </w:p>
    <w:p w:rsidR="00CC3131" w:rsidRPr="00A73C36" w:rsidRDefault="00CC3131" w:rsidP="00CC3131">
      <w:pPr>
        <w:spacing w:after="0" w:line="240" w:lineRule="auto"/>
        <w:rPr>
          <w:rFonts w:ascii="Arial" w:hAnsi="Arial" w:cs="Arial"/>
        </w:rPr>
      </w:pPr>
      <w:r w:rsidRPr="00A73C36">
        <w:rPr>
          <w:rFonts w:ascii="Arial" w:hAnsi="Arial" w:cs="Arial"/>
        </w:rPr>
        <w:t xml:space="preserve">This section defines words and expressions used in the Rules. Unless the contrary </w:t>
      </w:r>
      <w:r w:rsidR="008430EC">
        <w:rPr>
          <w:rFonts w:ascii="Arial" w:hAnsi="Arial" w:cs="Arial"/>
        </w:rPr>
        <w:t xml:space="preserve">intention </w:t>
      </w:r>
      <w:r w:rsidRPr="00A73C36">
        <w:rPr>
          <w:rFonts w:ascii="Arial" w:hAnsi="Arial" w:cs="Arial"/>
        </w:rPr>
        <w:t xml:space="preserve">appears, expressions used in </w:t>
      </w:r>
      <w:r w:rsidR="008430EC">
        <w:rPr>
          <w:rFonts w:ascii="Arial" w:hAnsi="Arial" w:cs="Arial"/>
        </w:rPr>
        <w:t xml:space="preserve">the </w:t>
      </w:r>
      <w:r w:rsidR="009B5991">
        <w:rPr>
          <w:rFonts w:ascii="Arial" w:hAnsi="Arial" w:cs="Arial"/>
        </w:rPr>
        <w:t xml:space="preserve">Rules </w:t>
      </w:r>
      <w:r w:rsidRPr="00A73C36">
        <w:rPr>
          <w:rFonts w:ascii="Arial" w:hAnsi="Arial" w:cs="Arial"/>
        </w:rPr>
        <w:t>have the meaning</w:t>
      </w:r>
      <w:r>
        <w:rPr>
          <w:rFonts w:ascii="Arial" w:hAnsi="Arial" w:cs="Arial"/>
        </w:rPr>
        <w:t>s</w:t>
      </w:r>
      <w:r w:rsidRPr="00A73C36">
        <w:rPr>
          <w:rFonts w:ascii="Arial" w:hAnsi="Arial" w:cs="Arial"/>
        </w:rPr>
        <w:t xml:space="preserve"> </w:t>
      </w:r>
      <w:r>
        <w:rPr>
          <w:rFonts w:ascii="Arial" w:hAnsi="Arial" w:cs="Arial"/>
        </w:rPr>
        <w:t>given to them in</w:t>
      </w:r>
      <w:r w:rsidRPr="00A73C36">
        <w:rPr>
          <w:rFonts w:ascii="Arial" w:hAnsi="Arial" w:cs="Arial"/>
        </w:rPr>
        <w:t xml:space="preserve"> the Tel Act, the Retail CSG Benchmarks or the CSG Standard.</w:t>
      </w:r>
    </w:p>
    <w:p w:rsidR="00CC3131" w:rsidRDefault="00CC3131" w:rsidP="00CC3131">
      <w:pPr>
        <w:pStyle w:val="Heading3"/>
        <w:tabs>
          <w:tab w:val="left" w:pos="1620"/>
        </w:tabs>
        <w:spacing w:after="120"/>
        <w:rPr>
          <w:rFonts w:ascii="Arial" w:hAnsi="Arial" w:cs="Arial"/>
          <w:i/>
          <w:sz w:val="28"/>
          <w:szCs w:val="28"/>
        </w:rPr>
      </w:pPr>
      <w:r>
        <w:rPr>
          <w:rFonts w:ascii="Arial" w:hAnsi="Arial" w:cs="Arial"/>
          <w:i/>
          <w:sz w:val="28"/>
          <w:szCs w:val="28"/>
        </w:rPr>
        <w:t>Section 4</w:t>
      </w:r>
      <w:r w:rsidRPr="00964BB8">
        <w:rPr>
          <w:rFonts w:ascii="Arial" w:hAnsi="Arial" w:cs="Arial"/>
          <w:i/>
          <w:sz w:val="28"/>
          <w:szCs w:val="28"/>
        </w:rPr>
        <w:tab/>
      </w:r>
      <w:r w:rsidRPr="00BA3778">
        <w:rPr>
          <w:rFonts w:ascii="Arial" w:hAnsi="Arial" w:cs="Arial"/>
          <w:i/>
          <w:sz w:val="28"/>
          <w:szCs w:val="28"/>
        </w:rPr>
        <w:t>Qualifying carriage service providers</w:t>
      </w:r>
    </w:p>
    <w:p w:rsidR="00CC3131" w:rsidRPr="00A73C36" w:rsidRDefault="00CC3131" w:rsidP="00CC3131">
      <w:pPr>
        <w:spacing w:after="0" w:line="240" w:lineRule="auto"/>
        <w:rPr>
          <w:rFonts w:ascii="Arial" w:hAnsi="Arial" w:cs="Arial"/>
        </w:rPr>
      </w:pPr>
      <w:r w:rsidRPr="00A73C36">
        <w:rPr>
          <w:rFonts w:ascii="Arial" w:hAnsi="Arial" w:cs="Arial"/>
        </w:rPr>
        <w:t xml:space="preserve">This section defines a qualifying carriage service provider </w:t>
      </w:r>
      <w:r>
        <w:rPr>
          <w:rFonts w:ascii="Arial" w:hAnsi="Arial" w:cs="Arial"/>
        </w:rPr>
        <w:t>for a benchmark period</w:t>
      </w:r>
      <w:r w:rsidRPr="00A73C36">
        <w:rPr>
          <w:rFonts w:ascii="Arial" w:hAnsi="Arial" w:cs="Arial"/>
        </w:rPr>
        <w:t xml:space="preserve"> (</w:t>
      </w:r>
      <w:r w:rsidRPr="001B5C36">
        <w:rPr>
          <w:rFonts w:ascii="Arial" w:hAnsi="Arial" w:cs="Arial"/>
          <w:b/>
          <w:i/>
        </w:rPr>
        <w:t>QSP</w:t>
      </w:r>
      <w:r w:rsidRPr="00A73C36">
        <w:rPr>
          <w:rFonts w:ascii="Arial" w:hAnsi="Arial" w:cs="Arial"/>
        </w:rPr>
        <w:t>)</w:t>
      </w:r>
      <w:r>
        <w:rPr>
          <w:rFonts w:ascii="Arial" w:hAnsi="Arial" w:cs="Arial"/>
        </w:rPr>
        <w:t xml:space="preserve">, using a definition which corresponds </w:t>
      </w:r>
      <w:r w:rsidRPr="00A73C36">
        <w:rPr>
          <w:rFonts w:ascii="Arial" w:hAnsi="Arial" w:cs="Arial"/>
        </w:rPr>
        <w:t xml:space="preserve">with </w:t>
      </w:r>
      <w:r>
        <w:rPr>
          <w:rFonts w:ascii="Arial" w:hAnsi="Arial" w:cs="Arial"/>
        </w:rPr>
        <w:t xml:space="preserve">section 4 of </w:t>
      </w:r>
      <w:r w:rsidRPr="00A73C36">
        <w:rPr>
          <w:rFonts w:ascii="Arial" w:hAnsi="Arial" w:cs="Arial"/>
        </w:rPr>
        <w:t>the Retail CSG Benchmarks, as having supplied 100,000 or more CSG services on the last day of the financial year preceding th</w:t>
      </w:r>
      <w:r>
        <w:rPr>
          <w:rFonts w:ascii="Arial" w:hAnsi="Arial" w:cs="Arial"/>
        </w:rPr>
        <w:t>at</w:t>
      </w:r>
      <w:r w:rsidRPr="00A73C36">
        <w:rPr>
          <w:rFonts w:ascii="Arial" w:hAnsi="Arial" w:cs="Arial"/>
        </w:rPr>
        <w:t xml:space="preserve"> benchmark period where it was obliged to comply with CSG performance standards.</w:t>
      </w:r>
    </w:p>
    <w:p w:rsidR="00CC3131" w:rsidRDefault="00CC3131" w:rsidP="00CC3131">
      <w:pPr>
        <w:pStyle w:val="Heading3"/>
        <w:tabs>
          <w:tab w:val="left" w:pos="1620"/>
        </w:tabs>
        <w:spacing w:after="120"/>
        <w:rPr>
          <w:rFonts w:ascii="Arial" w:hAnsi="Arial" w:cs="Arial"/>
          <w:i/>
          <w:sz w:val="28"/>
          <w:szCs w:val="28"/>
        </w:rPr>
      </w:pPr>
      <w:r w:rsidRPr="00964BB8">
        <w:rPr>
          <w:rFonts w:ascii="Arial" w:hAnsi="Arial" w:cs="Arial"/>
          <w:i/>
          <w:sz w:val="28"/>
          <w:szCs w:val="28"/>
        </w:rPr>
        <w:t xml:space="preserve">Section </w:t>
      </w:r>
      <w:r>
        <w:rPr>
          <w:rFonts w:ascii="Arial" w:hAnsi="Arial" w:cs="Arial"/>
          <w:i/>
          <w:sz w:val="28"/>
          <w:szCs w:val="28"/>
        </w:rPr>
        <w:t>5</w:t>
      </w:r>
      <w:r w:rsidRPr="00964BB8">
        <w:rPr>
          <w:rFonts w:ascii="Arial" w:hAnsi="Arial" w:cs="Arial"/>
          <w:i/>
          <w:sz w:val="28"/>
          <w:szCs w:val="28"/>
        </w:rPr>
        <w:tab/>
      </w:r>
      <w:r>
        <w:rPr>
          <w:rFonts w:ascii="Arial" w:hAnsi="Arial" w:cs="Arial"/>
          <w:i/>
          <w:sz w:val="28"/>
          <w:szCs w:val="28"/>
        </w:rPr>
        <w:t>Nominated areas</w:t>
      </w:r>
    </w:p>
    <w:p w:rsidR="00CC3131" w:rsidRDefault="00CC3131" w:rsidP="00CC3131">
      <w:pPr>
        <w:spacing w:after="0" w:line="240" w:lineRule="auto"/>
        <w:rPr>
          <w:rFonts w:ascii="Arial" w:hAnsi="Arial" w:cs="Arial"/>
        </w:rPr>
      </w:pPr>
      <w:r>
        <w:rPr>
          <w:rFonts w:ascii="Arial" w:hAnsi="Arial" w:cs="Arial"/>
        </w:rPr>
        <w:t xml:space="preserve">By operation with </w:t>
      </w:r>
      <w:r w:rsidRPr="00A73C36">
        <w:rPr>
          <w:rFonts w:ascii="Arial" w:hAnsi="Arial" w:cs="Arial"/>
        </w:rPr>
        <w:t>Schedule 1</w:t>
      </w:r>
      <w:r>
        <w:rPr>
          <w:rFonts w:ascii="Arial" w:hAnsi="Arial" w:cs="Arial"/>
        </w:rPr>
        <w:t>,</w:t>
      </w:r>
      <w:r w:rsidRPr="00A73C36">
        <w:rPr>
          <w:rFonts w:ascii="Arial" w:hAnsi="Arial" w:cs="Arial"/>
        </w:rPr>
        <w:t xml:space="preserve"> </w:t>
      </w:r>
      <w:r>
        <w:rPr>
          <w:rFonts w:ascii="Arial" w:hAnsi="Arial" w:cs="Arial"/>
        </w:rPr>
        <w:t>t</w:t>
      </w:r>
      <w:r w:rsidRPr="00A73C36">
        <w:rPr>
          <w:rFonts w:ascii="Arial" w:hAnsi="Arial" w:cs="Arial"/>
        </w:rPr>
        <w:t xml:space="preserve">his section requires </w:t>
      </w:r>
      <w:r>
        <w:rPr>
          <w:rFonts w:ascii="Arial" w:hAnsi="Arial" w:cs="Arial"/>
        </w:rPr>
        <w:t xml:space="preserve">a </w:t>
      </w:r>
      <w:r w:rsidRPr="00A73C36">
        <w:rPr>
          <w:rFonts w:ascii="Arial" w:hAnsi="Arial" w:cs="Arial"/>
        </w:rPr>
        <w:t xml:space="preserve">QSP to </w:t>
      </w:r>
      <w:r>
        <w:rPr>
          <w:rFonts w:ascii="Arial" w:hAnsi="Arial" w:cs="Arial"/>
        </w:rPr>
        <w:t>disaggregate</w:t>
      </w:r>
      <w:r w:rsidRPr="00A73C36">
        <w:rPr>
          <w:rFonts w:ascii="Arial" w:hAnsi="Arial" w:cs="Arial"/>
        </w:rPr>
        <w:t xml:space="preserve"> </w:t>
      </w:r>
      <w:r>
        <w:rPr>
          <w:rFonts w:ascii="Arial" w:hAnsi="Arial" w:cs="Arial"/>
        </w:rPr>
        <w:t xml:space="preserve">recorded </w:t>
      </w:r>
      <w:r w:rsidRPr="00A73C36">
        <w:rPr>
          <w:rFonts w:ascii="Arial" w:hAnsi="Arial" w:cs="Arial"/>
        </w:rPr>
        <w:t xml:space="preserve">data on a national basis </w:t>
      </w:r>
      <w:r>
        <w:rPr>
          <w:rFonts w:ascii="Arial" w:hAnsi="Arial" w:cs="Arial"/>
        </w:rPr>
        <w:t>and</w:t>
      </w:r>
      <w:r w:rsidRPr="00A73C36">
        <w:rPr>
          <w:rFonts w:ascii="Arial" w:hAnsi="Arial" w:cs="Arial"/>
        </w:rPr>
        <w:t xml:space="preserve"> on a state</w:t>
      </w:r>
      <w:r>
        <w:rPr>
          <w:rFonts w:ascii="Arial" w:hAnsi="Arial" w:cs="Arial"/>
        </w:rPr>
        <w:t xml:space="preserve"> or </w:t>
      </w:r>
      <w:r w:rsidRPr="00A73C36">
        <w:rPr>
          <w:rFonts w:ascii="Arial" w:hAnsi="Arial" w:cs="Arial"/>
        </w:rPr>
        <w:t>territory basis</w:t>
      </w:r>
      <w:r>
        <w:rPr>
          <w:rFonts w:ascii="Arial" w:hAnsi="Arial" w:cs="Arial"/>
        </w:rPr>
        <w:t xml:space="preserve"> when it reports to the ACMA under Part 4 of the Rules</w:t>
      </w:r>
      <w:r w:rsidRPr="00A73C36">
        <w:rPr>
          <w:rFonts w:ascii="Arial" w:hAnsi="Arial" w:cs="Arial"/>
        </w:rPr>
        <w:t>.</w:t>
      </w:r>
    </w:p>
    <w:p w:rsidR="00A55D32" w:rsidRPr="00A73C36" w:rsidRDefault="00A55D32" w:rsidP="00CC3131">
      <w:pPr>
        <w:spacing w:after="0" w:line="240" w:lineRule="auto"/>
        <w:rPr>
          <w:rFonts w:ascii="Arial" w:hAnsi="Arial" w:cs="Arial"/>
        </w:rPr>
      </w:pPr>
    </w:p>
    <w:p w:rsidR="00CC3131" w:rsidRPr="00875E8D" w:rsidRDefault="00CC3131" w:rsidP="00CC3131">
      <w:pPr>
        <w:pStyle w:val="Heading3"/>
        <w:tabs>
          <w:tab w:val="left" w:pos="1620"/>
        </w:tabs>
        <w:spacing w:after="120"/>
        <w:ind w:left="1701" w:hanging="1701"/>
        <w:rPr>
          <w:rFonts w:ascii="Arial" w:hAnsi="Arial" w:cs="Arial"/>
          <w:sz w:val="28"/>
          <w:szCs w:val="28"/>
        </w:rPr>
      </w:pPr>
      <w:r w:rsidRPr="001B5C36">
        <w:rPr>
          <w:rFonts w:ascii="Arial" w:hAnsi="Arial" w:cs="Arial"/>
          <w:sz w:val="28"/>
          <w:szCs w:val="28"/>
        </w:rPr>
        <w:t>Part 2</w:t>
      </w:r>
      <w:r w:rsidRPr="001B5C36">
        <w:rPr>
          <w:rFonts w:ascii="Arial" w:hAnsi="Arial" w:cs="Arial"/>
          <w:sz w:val="28"/>
          <w:szCs w:val="28"/>
        </w:rPr>
        <w:tab/>
      </w:r>
      <w:r w:rsidRPr="001B5C36">
        <w:rPr>
          <w:rFonts w:ascii="Arial" w:hAnsi="Arial" w:cs="Arial"/>
          <w:sz w:val="28"/>
          <w:szCs w:val="28"/>
        </w:rPr>
        <w:tab/>
        <w:t>Keeping of Records</w:t>
      </w:r>
    </w:p>
    <w:p w:rsidR="00CC3131" w:rsidRDefault="00CC3131" w:rsidP="00CC3131">
      <w:pPr>
        <w:pStyle w:val="Heading3"/>
        <w:tabs>
          <w:tab w:val="left" w:pos="1701"/>
        </w:tabs>
        <w:spacing w:after="120"/>
        <w:rPr>
          <w:rFonts w:ascii="Arial" w:eastAsia="Calibri" w:hAnsi="Arial" w:cs="Arial"/>
          <w:b w:val="0"/>
          <w:sz w:val="22"/>
          <w:szCs w:val="22"/>
          <w:lang w:eastAsia="en-US"/>
        </w:rPr>
      </w:pPr>
      <w:r>
        <w:rPr>
          <w:rFonts w:ascii="Arial" w:eastAsia="Calibri" w:hAnsi="Arial" w:cs="Arial"/>
          <w:b w:val="0"/>
          <w:sz w:val="22"/>
          <w:szCs w:val="22"/>
          <w:lang w:eastAsia="en-US"/>
        </w:rPr>
        <w:t xml:space="preserve">This Part deals with the recording by a QSP of its performance against certain Retail CSG Benchmarks requirements.  </w:t>
      </w:r>
      <w:r w:rsidRPr="001B5C36">
        <w:rPr>
          <w:rFonts w:ascii="Arial" w:eastAsia="Calibri" w:hAnsi="Arial" w:cs="Arial"/>
          <w:b w:val="0"/>
          <w:sz w:val="22"/>
          <w:szCs w:val="22"/>
          <w:lang w:eastAsia="en-US"/>
        </w:rPr>
        <w:t>As the Retail CSG Benchmarks only contain benchmarks in relation to CSG services, QSPs will have to ensure that their record-keeping systems are capable of differentiating between requests that relate to CSG services and requests that relate to enhanced call handling features (as defined in the CSG Standard).</w:t>
      </w:r>
    </w:p>
    <w:p w:rsidR="00CC3131" w:rsidRDefault="00CC3131" w:rsidP="00CC3131">
      <w:pPr>
        <w:pStyle w:val="Heading3"/>
        <w:tabs>
          <w:tab w:val="left" w:pos="1701"/>
        </w:tabs>
        <w:spacing w:after="120"/>
        <w:ind w:left="1701" w:hanging="1701"/>
        <w:rPr>
          <w:rFonts w:ascii="Arial" w:hAnsi="Arial" w:cs="Arial"/>
          <w:i/>
          <w:sz w:val="28"/>
          <w:szCs w:val="28"/>
        </w:rPr>
      </w:pPr>
      <w:r w:rsidRPr="00964BB8">
        <w:rPr>
          <w:rFonts w:ascii="Arial" w:hAnsi="Arial" w:cs="Arial"/>
          <w:i/>
          <w:sz w:val="28"/>
          <w:szCs w:val="28"/>
        </w:rPr>
        <w:t xml:space="preserve">Section </w:t>
      </w:r>
      <w:r>
        <w:rPr>
          <w:rFonts w:ascii="Arial" w:hAnsi="Arial" w:cs="Arial"/>
          <w:i/>
          <w:sz w:val="28"/>
          <w:szCs w:val="28"/>
        </w:rPr>
        <w:t>6</w:t>
      </w:r>
      <w:r w:rsidRPr="00964BB8">
        <w:rPr>
          <w:rFonts w:ascii="Arial" w:hAnsi="Arial" w:cs="Arial"/>
          <w:i/>
          <w:sz w:val="28"/>
          <w:szCs w:val="28"/>
        </w:rPr>
        <w:tab/>
      </w:r>
      <w:r w:rsidRPr="008835F0">
        <w:rPr>
          <w:rFonts w:ascii="Arial" w:hAnsi="Arial" w:cs="Arial"/>
          <w:i/>
          <w:sz w:val="28"/>
          <w:szCs w:val="28"/>
        </w:rPr>
        <w:t>Records relating to the number of CSG services supplied</w:t>
      </w:r>
    </w:p>
    <w:p w:rsidR="00CC3131" w:rsidRDefault="00CC3131" w:rsidP="00CC3131">
      <w:pPr>
        <w:spacing w:after="0" w:line="240" w:lineRule="auto"/>
        <w:rPr>
          <w:rFonts w:ascii="Arial" w:hAnsi="Arial" w:cs="Arial"/>
        </w:rPr>
      </w:pPr>
      <w:r>
        <w:rPr>
          <w:rFonts w:ascii="Arial" w:hAnsi="Arial" w:cs="Arial"/>
        </w:rPr>
        <w:t>This section deals with the recording by a QSP</w:t>
      </w:r>
      <w:r w:rsidRPr="00530632">
        <w:rPr>
          <w:rFonts w:ascii="Arial" w:hAnsi="Arial" w:cs="Arial"/>
        </w:rPr>
        <w:t xml:space="preserve"> </w:t>
      </w:r>
      <w:r>
        <w:rPr>
          <w:rFonts w:ascii="Arial" w:hAnsi="Arial" w:cs="Arial"/>
        </w:rPr>
        <w:t xml:space="preserve">of </w:t>
      </w:r>
      <w:r w:rsidRPr="00530632">
        <w:rPr>
          <w:rFonts w:ascii="Arial" w:hAnsi="Arial" w:cs="Arial"/>
        </w:rPr>
        <w:t xml:space="preserve">the </w:t>
      </w:r>
      <w:r>
        <w:rPr>
          <w:rFonts w:ascii="Arial" w:hAnsi="Arial" w:cs="Arial"/>
        </w:rPr>
        <w:t xml:space="preserve">total </w:t>
      </w:r>
      <w:r w:rsidRPr="00530632">
        <w:rPr>
          <w:rFonts w:ascii="Arial" w:hAnsi="Arial" w:cs="Arial"/>
        </w:rPr>
        <w:t xml:space="preserve">number of CSG services that </w:t>
      </w:r>
      <w:r>
        <w:rPr>
          <w:rFonts w:ascii="Arial" w:hAnsi="Arial" w:cs="Arial"/>
        </w:rPr>
        <w:t>it</w:t>
      </w:r>
      <w:r w:rsidRPr="00530632">
        <w:rPr>
          <w:rFonts w:ascii="Arial" w:hAnsi="Arial" w:cs="Arial"/>
        </w:rPr>
        <w:t xml:space="preserve"> supplied on </w:t>
      </w:r>
      <w:r>
        <w:rPr>
          <w:rFonts w:ascii="Arial" w:hAnsi="Arial" w:cs="Arial"/>
        </w:rPr>
        <w:t xml:space="preserve">the last day of </w:t>
      </w:r>
      <w:r w:rsidRPr="00530632">
        <w:rPr>
          <w:rFonts w:ascii="Arial" w:hAnsi="Arial" w:cs="Arial"/>
        </w:rPr>
        <w:t xml:space="preserve">each </w:t>
      </w:r>
      <w:r>
        <w:rPr>
          <w:rFonts w:ascii="Arial" w:hAnsi="Arial" w:cs="Arial"/>
        </w:rPr>
        <w:t xml:space="preserve">financial </w:t>
      </w:r>
      <w:r w:rsidRPr="00530632">
        <w:rPr>
          <w:rFonts w:ascii="Arial" w:hAnsi="Arial" w:cs="Arial"/>
        </w:rPr>
        <w:t>year</w:t>
      </w:r>
      <w:r>
        <w:rPr>
          <w:rFonts w:ascii="Arial" w:hAnsi="Arial" w:cs="Arial"/>
        </w:rPr>
        <w:t xml:space="preserve"> preceding a benchmark period</w:t>
      </w:r>
      <w:r w:rsidRPr="00530632">
        <w:rPr>
          <w:rFonts w:ascii="Arial" w:hAnsi="Arial" w:cs="Arial"/>
        </w:rPr>
        <w:t xml:space="preserve">.  This information will be relevant to establishing whether a </w:t>
      </w:r>
      <w:r>
        <w:rPr>
          <w:rFonts w:ascii="Arial" w:hAnsi="Arial" w:cs="Arial"/>
        </w:rPr>
        <w:t>carriage service provider</w:t>
      </w:r>
      <w:r w:rsidRPr="00530632">
        <w:rPr>
          <w:rFonts w:ascii="Arial" w:hAnsi="Arial" w:cs="Arial"/>
        </w:rPr>
        <w:t xml:space="preserve"> is a </w:t>
      </w:r>
      <w:r>
        <w:rPr>
          <w:rFonts w:ascii="Arial" w:hAnsi="Arial" w:cs="Arial"/>
        </w:rPr>
        <w:t>Q</w:t>
      </w:r>
      <w:r w:rsidRPr="00530632">
        <w:rPr>
          <w:rFonts w:ascii="Arial" w:hAnsi="Arial" w:cs="Arial"/>
        </w:rPr>
        <w:t>SP</w:t>
      </w:r>
      <w:r>
        <w:rPr>
          <w:rFonts w:ascii="Arial" w:hAnsi="Arial" w:cs="Arial"/>
        </w:rPr>
        <w:t xml:space="preserve"> under the definition at section 4 of the Rules and section 4 of the Retail CSG Benchmarks</w:t>
      </w:r>
      <w:r w:rsidRPr="00530632">
        <w:rPr>
          <w:rFonts w:ascii="Arial" w:hAnsi="Arial" w:cs="Arial"/>
        </w:rPr>
        <w:t>.</w:t>
      </w:r>
    </w:p>
    <w:p w:rsidR="00CC3131" w:rsidRPr="00964BB8" w:rsidRDefault="00CC3131" w:rsidP="00CC3131">
      <w:pPr>
        <w:pStyle w:val="Heading3"/>
        <w:tabs>
          <w:tab w:val="left" w:pos="1620"/>
        </w:tabs>
        <w:spacing w:after="120"/>
        <w:rPr>
          <w:rFonts w:ascii="Arial" w:hAnsi="Arial" w:cs="Arial"/>
          <w:i/>
          <w:color w:val="000000"/>
          <w:sz w:val="28"/>
          <w:szCs w:val="28"/>
        </w:rPr>
      </w:pPr>
      <w:r w:rsidRPr="00964BB8">
        <w:rPr>
          <w:rFonts w:ascii="Arial" w:hAnsi="Arial" w:cs="Arial"/>
          <w:i/>
          <w:sz w:val="28"/>
          <w:szCs w:val="28"/>
        </w:rPr>
        <w:lastRenderedPageBreak/>
        <w:t xml:space="preserve">Section </w:t>
      </w:r>
      <w:r>
        <w:rPr>
          <w:rFonts w:ascii="Arial" w:hAnsi="Arial" w:cs="Arial"/>
          <w:i/>
          <w:sz w:val="28"/>
          <w:szCs w:val="28"/>
        </w:rPr>
        <w:t>7</w:t>
      </w:r>
      <w:r w:rsidRPr="00964BB8">
        <w:rPr>
          <w:rFonts w:ascii="Arial" w:hAnsi="Arial" w:cs="Arial"/>
          <w:i/>
          <w:sz w:val="28"/>
          <w:szCs w:val="28"/>
        </w:rPr>
        <w:tab/>
      </w:r>
      <w:r w:rsidRPr="008835F0">
        <w:rPr>
          <w:rFonts w:ascii="Arial" w:hAnsi="Arial" w:cs="Arial"/>
          <w:i/>
          <w:sz w:val="28"/>
          <w:szCs w:val="28"/>
        </w:rPr>
        <w:t>Records relating to location-specific thresholds</w:t>
      </w:r>
    </w:p>
    <w:p w:rsidR="00CC3131" w:rsidRDefault="00CC3131" w:rsidP="00CC3131">
      <w:pPr>
        <w:spacing w:after="0" w:line="240" w:lineRule="auto"/>
        <w:rPr>
          <w:rFonts w:ascii="Arial" w:hAnsi="Arial" w:cs="Arial"/>
        </w:rPr>
      </w:pPr>
      <w:r w:rsidRPr="00A73C36">
        <w:rPr>
          <w:rFonts w:ascii="Arial" w:hAnsi="Arial" w:cs="Arial"/>
        </w:rPr>
        <w:t xml:space="preserve">This section </w:t>
      </w:r>
      <w:r>
        <w:rPr>
          <w:rFonts w:ascii="Arial" w:hAnsi="Arial" w:cs="Arial"/>
        </w:rPr>
        <w:t xml:space="preserve">deals with the recording </w:t>
      </w:r>
      <w:r w:rsidRPr="00A73C36">
        <w:rPr>
          <w:rFonts w:ascii="Arial" w:hAnsi="Arial" w:cs="Arial"/>
        </w:rPr>
        <w:t xml:space="preserve">by </w:t>
      </w:r>
      <w:r>
        <w:rPr>
          <w:rFonts w:ascii="Arial" w:hAnsi="Arial" w:cs="Arial"/>
        </w:rPr>
        <w:t xml:space="preserve">a </w:t>
      </w:r>
      <w:r w:rsidRPr="00A73C36">
        <w:rPr>
          <w:rFonts w:ascii="Arial" w:hAnsi="Arial" w:cs="Arial"/>
        </w:rPr>
        <w:t xml:space="preserve">QSP </w:t>
      </w:r>
      <w:r>
        <w:rPr>
          <w:rFonts w:ascii="Arial" w:hAnsi="Arial" w:cs="Arial"/>
        </w:rPr>
        <w:t>of the number of CSG services that it supplied under</w:t>
      </w:r>
      <w:r w:rsidRPr="00A73C36">
        <w:rPr>
          <w:rFonts w:ascii="Arial" w:hAnsi="Arial" w:cs="Arial"/>
        </w:rPr>
        <w:t xml:space="preserve"> </w:t>
      </w:r>
      <w:r>
        <w:rPr>
          <w:rFonts w:ascii="Arial" w:hAnsi="Arial" w:cs="Arial"/>
        </w:rPr>
        <w:t xml:space="preserve">the following categories: </w:t>
      </w:r>
      <w:r w:rsidRPr="00A73C36">
        <w:rPr>
          <w:rFonts w:ascii="Arial" w:hAnsi="Arial" w:cs="Arial"/>
        </w:rPr>
        <w:t>urban, major rural, minor rural, rural and remote areas</w:t>
      </w:r>
      <w:r>
        <w:rPr>
          <w:rFonts w:ascii="Arial" w:hAnsi="Arial" w:cs="Arial"/>
        </w:rPr>
        <w:t xml:space="preserve"> (</w:t>
      </w:r>
      <w:r w:rsidRPr="00A73C36">
        <w:rPr>
          <w:rFonts w:ascii="Arial" w:hAnsi="Arial" w:cs="Arial"/>
        </w:rPr>
        <w:t>as defined in the Retail CSG Benchmarks</w:t>
      </w:r>
      <w:r>
        <w:rPr>
          <w:rFonts w:ascii="Arial" w:hAnsi="Arial" w:cs="Arial"/>
        </w:rPr>
        <w:t>)</w:t>
      </w:r>
      <w:r w:rsidRPr="00A73C36">
        <w:rPr>
          <w:rFonts w:ascii="Arial" w:hAnsi="Arial" w:cs="Arial"/>
        </w:rPr>
        <w:t xml:space="preserve">. </w:t>
      </w:r>
    </w:p>
    <w:p w:rsidR="00CC3131" w:rsidRPr="00A73C36" w:rsidRDefault="00CC3131" w:rsidP="00CC3131">
      <w:pPr>
        <w:spacing w:after="0" w:line="240" w:lineRule="auto"/>
        <w:rPr>
          <w:rFonts w:ascii="Arial" w:hAnsi="Arial" w:cs="Arial"/>
        </w:rPr>
      </w:pPr>
    </w:p>
    <w:p w:rsidR="00CC3131" w:rsidRPr="00A73C36" w:rsidRDefault="00CC3131" w:rsidP="00CC3131">
      <w:pPr>
        <w:spacing w:after="0" w:line="240" w:lineRule="auto"/>
        <w:rPr>
          <w:rFonts w:ascii="Arial" w:hAnsi="Arial" w:cs="Arial"/>
        </w:rPr>
      </w:pPr>
      <w:r w:rsidRPr="00A73C36">
        <w:rPr>
          <w:rFonts w:ascii="Arial" w:hAnsi="Arial" w:cs="Arial"/>
        </w:rPr>
        <w:t>This relates to section 5 of the Retail CSG Benchmarks</w:t>
      </w:r>
      <w:r>
        <w:rPr>
          <w:rFonts w:ascii="Arial" w:hAnsi="Arial" w:cs="Arial"/>
        </w:rPr>
        <w:t>,</w:t>
      </w:r>
      <w:r w:rsidRPr="00A73C36">
        <w:rPr>
          <w:rFonts w:ascii="Arial" w:hAnsi="Arial" w:cs="Arial"/>
        </w:rPr>
        <w:t xml:space="preserve"> </w:t>
      </w:r>
      <w:r>
        <w:rPr>
          <w:rFonts w:ascii="Arial" w:hAnsi="Arial" w:cs="Arial"/>
        </w:rPr>
        <w:t>which</w:t>
      </w:r>
      <w:r w:rsidRPr="00A73C36">
        <w:rPr>
          <w:rFonts w:ascii="Arial" w:hAnsi="Arial" w:cs="Arial"/>
        </w:rPr>
        <w:t xml:space="preserve"> provides that a CSP meets a geographic area services threshold </w:t>
      </w:r>
      <w:r>
        <w:rPr>
          <w:rFonts w:ascii="Arial" w:hAnsi="Arial" w:cs="Arial"/>
        </w:rPr>
        <w:t xml:space="preserve">for a benchmark period </w:t>
      </w:r>
      <w:r w:rsidRPr="00A73C36">
        <w:rPr>
          <w:rFonts w:ascii="Arial" w:hAnsi="Arial" w:cs="Arial"/>
        </w:rPr>
        <w:t xml:space="preserve">if, on the last day of the financial year preceding </w:t>
      </w:r>
      <w:r>
        <w:rPr>
          <w:rFonts w:ascii="Arial" w:hAnsi="Arial" w:cs="Arial"/>
        </w:rPr>
        <w:t>the</w:t>
      </w:r>
      <w:r w:rsidRPr="00A73C36">
        <w:rPr>
          <w:rFonts w:ascii="Arial" w:hAnsi="Arial" w:cs="Arial"/>
        </w:rPr>
        <w:t xml:space="preserve"> benchmark period, it supplied the specified number of CSG services in the relevant area as follows:</w:t>
      </w:r>
    </w:p>
    <w:p w:rsidR="00CC3131" w:rsidRPr="00494A58" w:rsidRDefault="00CC3131" w:rsidP="00CC3131">
      <w:pPr>
        <w:numPr>
          <w:ilvl w:val="0"/>
          <w:numId w:val="20"/>
        </w:numPr>
        <w:spacing w:after="0" w:line="240" w:lineRule="auto"/>
        <w:rPr>
          <w:rFonts w:ascii="Arial" w:hAnsi="Arial" w:cs="Arial"/>
        </w:rPr>
      </w:pPr>
      <w:r w:rsidRPr="00494A58">
        <w:rPr>
          <w:rFonts w:ascii="Arial" w:hAnsi="Arial" w:cs="Arial"/>
        </w:rPr>
        <w:t xml:space="preserve"> in an urban area – 10,000 CSG services;</w:t>
      </w:r>
    </w:p>
    <w:p w:rsidR="00CC3131" w:rsidRPr="00494A58" w:rsidRDefault="00CC3131" w:rsidP="00CC3131">
      <w:pPr>
        <w:numPr>
          <w:ilvl w:val="0"/>
          <w:numId w:val="20"/>
        </w:numPr>
        <w:spacing w:after="0" w:line="240" w:lineRule="auto"/>
        <w:rPr>
          <w:rFonts w:ascii="Arial" w:hAnsi="Arial" w:cs="Arial"/>
        </w:rPr>
      </w:pPr>
      <w:r w:rsidRPr="00494A58">
        <w:rPr>
          <w:rFonts w:ascii="Arial" w:hAnsi="Arial" w:cs="Arial"/>
        </w:rPr>
        <w:t xml:space="preserve"> in a major rural area – 1,000 CSG services;</w:t>
      </w:r>
    </w:p>
    <w:p w:rsidR="00CC3131" w:rsidRPr="00494A58" w:rsidRDefault="00CC3131" w:rsidP="00CC3131">
      <w:pPr>
        <w:numPr>
          <w:ilvl w:val="0"/>
          <w:numId w:val="20"/>
        </w:numPr>
        <w:spacing w:after="0" w:line="240" w:lineRule="auto"/>
        <w:rPr>
          <w:rFonts w:ascii="Arial" w:hAnsi="Arial" w:cs="Arial"/>
        </w:rPr>
      </w:pPr>
      <w:r w:rsidRPr="00494A58">
        <w:rPr>
          <w:rFonts w:ascii="Arial" w:hAnsi="Arial" w:cs="Arial"/>
        </w:rPr>
        <w:t xml:space="preserve"> in a minor rural area – 1,000 CSG services;</w:t>
      </w:r>
    </w:p>
    <w:p w:rsidR="00CC3131" w:rsidRDefault="00CC3131" w:rsidP="00CC3131">
      <w:pPr>
        <w:numPr>
          <w:ilvl w:val="0"/>
          <w:numId w:val="20"/>
        </w:numPr>
        <w:spacing w:after="0" w:line="240" w:lineRule="auto"/>
        <w:rPr>
          <w:rFonts w:ascii="Arial" w:hAnsi="Arial" w:cs="Arial"/>
        </w:rPr>
      </w:pPr>
      <w:r w:rsidRPr="00494A58">
        <w:rPr>
          <w:rFonts w:ascii="Arial" w:hAnsi="Arial" w:cs="Arial"/>
        </w:rPr>
        <w:t xml:space="preserve"> in a rural area – 1,000 CSG services; and</w:t>
      </w:r>
    </w:p>
    <w:p w:rsidR="00CC3131" w:rsidRPr="00150D84" w:rsidRDefault="00CC3131" w:rsidP="00CC3131">
      <w:pPr>
        <w:numPr>
          <w:ilvl w:val="0"/>
          <w:numId w:val="20"/>
        </w:numPr>
        <w:spacing w:after="0" w:line="240" w:lineRule="auto"/>
        <w:rPr>
          <w:rFonts w:ascii="Arial" w:hAnsi="Arial" w:cs="Arial"/>
        </w:rPr>
      </w:pPr>
      <w:r>
        <w:rPr>
          <w:rFonts w:ascii="Arial" w:hAnsi="Arial" w:cs="Arial"/>
        </w:rPr>
        <w:t xml:space="preserve"> </w:t>
      </w:r>
      <w:proofErr w:type="gramStart"/>
      <w:r w:rsidRPr="00150D84">
        <w:rPr>
          <w:rFonts w:ascii="Arial" w:hAnsi="Arial" w:cs="Arial"/>
        </w:rPr>
        <w:t>in</w:t>
      </w:r>
      <w:proofErr w:type="gramEnd"/>
      <w:r w:rsidRPr="00150D84">
        <w:rPr>
          <w:rFonts w:ascii="Arial" w:hAnsi="Arial" w:cs="Arial"/>
        </w:rPr>
        <w:t xml:space="preserve"> a remote area – 500 CSG services.</w:t>
      </w:r>
    </w:p>
    <w:p w:rsidR="00CC3131" w:rsidRDefault="00CC3131" w:rsidP="00CC3131">
      <w:pPr>
        <w:pStyle w:val="Heading3"/>
        <w:tabs>
          <w:tab w:val="left" w:pos="1620"/>
        </w:tabs>
        <w:spacing w:after="120"/>
        <w:rPr>
          <w:rFonts w:ascii="Arial" w:hAnsi="Arial" w:cs="Arial"/>
          <w:i/>
          <w:sz w:val="28"/>
          <w:szCs w:val="28"/>
        </w:rPr>
      </w:pPr>
      <w:r w:rsidRPr="00964BB8">
        <w:rPr>
          <w:rFonts w:ascii="Arial" w:hAnsi="Arial" w:cs="Arial"/>
          <w:i/>
          <w:sz w:val="28"/>
          <w:szCs w:val="28"/>
        </w:rPr>
        <w:t xml:space="preserve">Section </w:t>
      </w:r>
      <w:r>
        <w:rPr>
          <w:rFonts w:ascii="Arial" w:hAnsi="Arial" w:cs="Arial"/>
          <w:i/>
          <w:sz w:val="28"/>
          <w:szCs w:val="28"/>
        </w:rPr>
        <w:t>8</w:t>
      </w:r>
      <w:r w:rsidRPr="003047F0">
        <w:rPr>
          <w:rFonts w:ascii="Arial" w:hAnsi="Arial" w:cs="Arial"/>
          <w:i/>
          <w:sz w:val="28"/>
          <w:szCs w:val="28"/>
        </w:rPr>
        <w:tab/>
        <w:t xml:space="preserve">Records </w:t>
      </w:r>
      <w:r w:rsidRPr="00C27C0E">
        <w:rPr>
          <w:rFonts w:ascii="Arial" w:hAnsi="Arial" w:cs="Arial"/>
          <w:i/>
          <w:sz w:val="28"/>
          <w:szCs w:val="28"/>
        </w:rPr>
        <w:t>relating to in-place connection</w:t>
      </w:r>
      <w:r>
        <w:rPr>
          <w:rFonts w:ascii="Arial" w:hAnsi="Arial" w:cs="Arial"/>
          <w:i/>
          <w:sz w:val="28"/>
          <w:szCs w:val="28"/>
        </w:rPr>
        <w:t>s</w:t>
      </w:r>
      <w:r w:rsidRPr="00C27C0E">
        <w:rPr>
          <w:rFonts w:ascii="Arial" w:hAnsi="Arial" w:cs="Arial"/>
          <w:i/>
          <w:sz w:val="28"/>
          <w:szCs w:val="28"/>
        </w:rPr>
        <w:t xml:space="preserve"> </w:t>
      </w:r>
    </w:p>
    <w:p w:rsidR="00CC3131" w:rsidRDefault="00CC3131" w:rsidP="00CC3131">
      <w:pPr>
        <w:spacing w:after="0" w:line="240" w:lineRule="auto"/>
        <w:rPr>
          <w:rFonts w:ascii="Arial" w:hAnsi="Arial" w:cs="Arial"/>
        </w:rPr>
      </w:pPr>
      <w:r w:rsidRPr="00D727B0">
        <w:rPr>
          <w:rFonts w:ascii="Arial" w:hAnsi="Arial" w:cs="Arial"/>
        </w:rPr>
        <w:t>This section sets out the record</w:t>
      </w:r>
      <w:r>
        <w:rPr>
          <w:rFonts w:ascii="Arial" w:hAnsi="Arial" w:cs="Arial"/>
        </w:rPr>
        <w:t>-keep</w:t>
      </w:r>
      <w:r w:rsidRPr="00D727B0">
        <w:rPr>
          <w:rFonts w:ascii="Arial" w:hAnsi="Arial" w:cs="Arial"/>
        </w:rPr>
        <w:t xml:space="preserve">ing requirements </w:t>
      </w:r>
      <w:r>
        <w:rPr>
          <w:rFonts w:ascii="Arial" w:hAnsi="Arial" w:cs="Arial"/>
        </w:rPr>
        <w:t>for</w:t>
      </w:r>
      <w:r w:rsidRPr="00D727B0">
        <w:rPr>
          <w:rFonts w:ascii="Arial" w:hAnsi="Arial" w:cs="Arial"/>
        </w:rPr>
        <w:t xml:space="preserve"> a request by a customer to a QSP for a CSG service to be connected at a site that has an in-place connection.</w:t>
      </w:r>
    </w:p>
    <w:p w:rsidR="00CC3131" w:rsidRDefault="00CC3131" w:rsidP="00CC3131">
      <w:pPr>
        <w:spacing w:after="0" w:line="240" w:lineRule="auto"/>
        <w:rPr>
          <w:rFonts w:ascii="Arial" w:hAnsi="Arial" w:cs="Arial"/>
        </w:rPr>
      </w:pPr>
    </w:p>
    <w:p w:rsidR="00CC3131" w:rsidRPr="00D727B0" w:rsidRDefault="00CC3131" w:rsidP="00CC3131">
      <w:pPr>
        <w:spacing w:after="0" w:line="240" w:lineRule="auto"/>
        <w:rPr>
          <w:rFonts w:ascii="Arial" w:hAnsi="Arial" w:cs="Arial"/>
        </w:rPr>
      </w:pPr>
      <w:r>
        <w:rPr>
          <w:rFonts w:ascii="Arial" w:hAnsi="Arial" w:cs="Arial"/>
        </w:rPr>
        <w:t>Amongst other record-keeping requirements, i</w:t>
      </w:r>
      <w:r w:rsidRPr="00D727B0">
        <w:rPr>
          <w:rFonts w:ascii="Arial" w:hAnsi="Arial" w:cs="Arial"/>
        </w:rPr>
        <w:t xml:space="preserve">f there is a failure to comply with the CSG Standard </w:t>
      </w:r>
      <w:r>
        <w:rPr>
          <w:rFonts w:ascii="Arial" w:hAnsi="Arial" w:cs="Arial"/>
        </w:rPr>
        <w:t xml:space="preserve">regarding such a request which is </w:t>
      </w:r>
      <w:r w:rsidRPr="00D727B0">
        <w:rPr>
          <w:rFonts w:ascii="Arial" w:hAnsi="Arial" w:cs="Arial"/>
        </w:rPr>
        <w:t xml:space="preserve">wholly or partly due to the acts or omissions of another CSP, </w:t>
      </w:r>
      <w:r>
        <w:rPr>
          <w:rFonts w:ascii="Arial" w:hAnsi="Arial" w:cs="Arial"/>
        </w:rPr>
        <w:t>certain information regarding that failure</w:t>
      </w:r>
      <w:r w:rsidRPr="00D727B0">
        <w:rPr>
          <w:rFonts w:ascii="Arial" w:hAnsi="Arial" w:cs="Arial"/>
        </w:rPr>
        <w:t xml:space="preserve"> must be recorded.</w:t>
      </w:r>
    </w:p>
    <w:p w:rsidR="00CC3131" w:rsidRDefault="00CC3131" w:rsidP="00CC3131">
      <w:pPr>
        <w:pStyle w:val="Heading3"/>
        <w:tabs>
          <w:tab w:val="left" w:pos="1620"/>
        </w:tabs>
        <w:spacing w:after="120"/>
        <w:rPr>
          <w:rFonts w:ascii="Arial" w:hAnsi="Arial" w:cs="Arial"/>
          <w:i/>
          <w:sz w:val="28"/>
          <w:szCs w:val="28"/>
        </w:rPr>
      </w:pPr>
      <w:r w:rsidRPr="00964BB8">
        <w:rPr>
          <w:rFonts w:ascii="Arial" w:hAnsi="Arial" w:cs="Arial"/>
          <w:i/>
          <w:sz w:val="28"/>
          <w:szCs w:val="28"/>
        </w:rPr>
        <w:t xml:space="preserve">Section </w:t>
      </w:r>
      <w:r>
        <w:rPr>
          <w:rFonts w:ascii="Arial" w:hAnsi="Arial" w:cs="Arial"/>
          <w:i/>
          <w:sz w:val="28"/>
          <w:szCs w:val="28"/>
        </w:rPr>
        <w:t>9</w:t>
      </w:r>
      <w:r w:rsidRPr="003047F0">
        <w:rPr>
          <w:rFonts w:ascii="Arial" w:hAnsi="Arial" w:cs="Arial"/>
          <w:i/>
          <w:sz w:val="28"/>
          <w:szCs w:val="28"/>
        </w:rPr>
        <w:tab/>
      </w:r>
      <w:r w:rsidRPr="00C121E2">
        <w:rPr>
          <w:rFonts w:ascii="Arial" w:hAnsi="Arial" w:cs="Arial"/>
          <w:i/>
          <w:sz w:val="28"/>
          <w:szCs w:val="28"/>
        </w:rPr>
        <w:t>Records relating to new connection</w:t>
      </w:r>
      <w:r>
        <w:rPr>
          <w:rFonts w:ascii="Arial" w:hAnsi="Arial" w:cs="Arial"/>
          <w:i/>
          <w:sz w:val="28"/>
          <w:szCs w:val="28"/>
        </w:rPr>
        <w:t>s</w:t>
      </w:r>
    </w:p>
    <w:p w:rsidR="00CC3131" w:rsidRPr="00D727B0" w:rsidRDefault="00CC3131" w:rsidP="00CC3131">
      <w:pPr>
        <w:spacing w:after="0" w:line="240" w:lineRule="auto"/>
        <w:rPr>
          <w:rFonts w:ascii="Arial" w:hAnsi="Arial" w:cs="Arial"/>
        </w:rPr>
      </w:pPr>
      <w:r w:rsidRPr="00D727B0">
        <w:rPr>
          <w:rFonts w:ascii="Arial" w:hAnsi="Arial" w:cs="Arial"/>
        </w:rPr>
        <w:t>This section sets out the record</w:t>
      </w:r>
      <w:r>
        <w:rPr>
          <w:rFonts w:ascii="Arial" w:hAnsi="Arial" w:cs="Arial"/>
        </w:rPr>
        <w:t>-keep</w:t>
      </w:r>
      <w:r w:rsidRPr="00D727B0">
        <w:rPr>
          <w:rFonts w:ascii="Arial" w:hAnsi="Arial" w:cs="Arial"/>
        </w:rPr>
        <w:t>ing requirements regarding a request by a customer to a QSP for a CSG service to be connected at a site that does not have an in-place connection.</w:t>
      </w:r>
    </w:p>
    <w:p w:rsidR="00CC3131" w:rsidRDefault="00CC3131" w:rsidP="00CC3131">
      <w:pPr>
        <w:spacing w:after="0" w:line="240" w:lineRule="auto"/>
        <w:rPr>
          <w:rFonts w:ascii="Arial" w:hAnsi="Arial" w:cs="Arial"/>
        </w:rPr>
      </w:pPr>
    </w:p>
    <w:p w:rsidR="00CC3131" w:rsidRPr="00D727B0" w:rsidRDefault="00CC3131" w:rsidP="00CC3131">
      <w:pPr>
        <w:spacing w:after="0" w:line="240" w:lineRule="auto"/>
        <w:rPr>
          <w:rFonts w:ascii="Arial" w:hAnsi="Arial" w:cs="Arial"/>
        </w:rPr>
      </w:pPr>
      <w:r>
        <w:rPr>
          <w:rFonts w:ascii="Arial" w:hAnsi="Arial" w:cs="Arial"/>
        </w:rPr>
        <w:t>Amongst other record-keeping requirements, i</w:t>
      </w:r>
      <w:r w:rsidRPr="00D727B0">
        <w:rPr>
          <w:rFonts w:ascii="Arial" w:hAnsi="Arial" w:cs="Arial"/>
        </w:rPr>
        <w:t xml:space="preserve">f there is a failure to comply with the CSG Standard </w:t>
      </w:r>
      <w:r>
        <w:rPr>
          <w:rFonts w:ascii="Arial" w:hAnsi="Arial" w:cs="Arial"/>
        </w:rPr>
        <w:t xml:space="preserve">regarding such a request which is </w:t>
      </w:r>
      <w:r w:rsidRPr="00D727B0">
        <w:rPr>
          <w:rFonts w:ascii="Arial" w:hAnsi="Arial" w:cs="Arial"/>
        </w:rPr>
        <w:t xml:space="preserve">wholly or partly due to the acts or omissions of another CSP, </w:t>
      </w:r>
      <w:r>
        <w:rPr>
          <w:rFonts w:ascii="Arial" w:hAnsi="Arial" w:cs="Arial"/>
        </w:rPr>
        <w:t>certain information regarding that failure</w:t>
      </w:r>
      <w:r w:rsidRPr="00D727B0">
        <w:rPr>
          <w:rFonts w:ascii="Arial" w:hAnsi="Arial" w:cs="Arial"/>
        </w:rPr>
        <w:t xml:space="preserve"> must be recorded.</w:t>
      </w:r>
    </w:p>
    <w:p w:rsidR="00CC3131" w:rsidRPr="00986418" w:rsidRDefault="00CC3131" w:rsidP="00CC3131">
      <w:pPr>
        <w:pStyle w:val="Heading3"/>
        <w:tabs>
          <w:tab w:val="left" w:pos="1701"/>
        </w:tabs>
        <w:spacing w:after="120"/>
        <w:ind w:left="1701" w:hanging="1701"/>
        <w:rPr>
          <w:rFonts w:ascii="Arial" w:hAnsi="Arial" w:cs="Arial"/>
          <w:i/>
          <w:sz w:val="28"/>
          <w:szCs w:val="28"/>
        </w:rPr>
      </w:pPr>
      <w:r>
        <w:rPr>
          <w:rFonts w:ascii="Arial" w:hAnsi="Arial" w:cs="Arial"/>
          <w:i/>
          <w:sz w:val="28"/>
          <w:szCs w:val="28"/>
        </w:rPr>
        <w:t>Section 10</w:t>
      </w:r>
      <w:r>
        <w:rPr>
          <w:rFonts w:ascii="Arial" w:hAnsi="Arial" w:cs="Arial"/>
          <w:i/>
          <w:sz w:val="28"/>
          <w:szCs w:val="28"/>
        </w:rPr>
        <w:tab/>
        <w:t>Records relating to reports of faults or service difficulties</w:t>
      </w:r>
    </w:p>
    <w:p w:rsidR="00CC3131" w:rsidRDefault="00CC3131" w:rsidP="00CC3131">
      <w:pPr>
        <w:spacing w:after="0" w:line="240" w:lineRule="auto"/>
        <w:rPr>
          <w:rFonts w:ascii="Arial" w:hAnsi="Arial" w:cs="Arial"/>
        </w:rPr>
      </w:pPr>
      <w:r w:rsidRPr="00D727B0">
        <w:rPr>
          <w:rFonts w:ascii="Arial" w:hAnsi="Arial" w:cs="Arial"/>
        </w:rPr>
        <w:t>This section sets out the record</w:t>
      </w:r>
      <w:r>
        <w:rPr>
          <w:rFonts w:ascii="Arial" w:hAnsi="Arial" w:cs="Arial"/>
        </w:rPr>
        <w:t>-keep</w:t>
      </w:r>
      <w:r w:rsidRPr="00D727B0">
        <w:rPr>
          <w:rFonts w:ascii="Arial" w:hAnsi="Arial" w:cs="Arial"/>
        </w:rPr>
        <w:t xml:space="preserve">ing requirements regarding a fault or service difficulty report made by a customer to a QSP. </w:t>
      </w:r>
    </w:p>
    <w:p w:rsidR="00CC3131" w:rsidRDefault="00CC3131" w:rsidP="00CC3131">
      <w:pPr>
        <w:spacing w:after="0" w:line="240" w:lineRule="auto"/>
        <w:rPr>
          <w:rFonts w:ascii="Arial" w:hAnsi="Arial" w:cs="Arial"/>
        </w:rPr>
      </w:pPr>
    </w:p>
    <w:p w:rsidR="00CC3131" w:rsidRPr="00D727B0" w:rsidRDefault="00CC3131" w:rsidP="00CC3131">
      <w:pPr>
        <w:spacing w:after="0" w:line="240" w:lineRule="auto"/>
        <w:rPr>
          <w:rFonts w:ascii="Arial" w:hAnsi="Arial" w:cs="Arial"/>
        </w:rPr>
      </w:pPr>
      <w:r>
        <w:rPr>
          <w:rFonts w:ascii="Arial" w:hAnsi="Arial" w:cs="Arial"/>
        </w:rPr>
        <w:t>Amongst other record-keeping requirements, i</w:t>
      </w:r>
      <w:r w:rsidRPr="00D727B0">
        <w:rPr>
          <w:rFonts w:ascii="Arial" w:hAnsi="Arial" w:cs="Arial"/>
        </w:rPr>
        <w:t xml:space="preserve">f there is a failure to comply with the CSG Standard </w:t>
      </w:r>
      <w:r>
        <w:rPr>
          <w:rFonts w:ascii="Arial" w:hAnsi="Arial" w:cs="Arial"/>
        </w:rPr>
        <w:t xml:space="preserve">regarding such a report which is </w:t>
      </w:r>
      <w:r w:rsidRPr="00D727B0">
        <w:rPr>
          <w:rFonts w:ascii="Arial" w:hAnsi="Arial" w:cs="Arial"/>
        </w:rPr>
        <w:t xml:space="preserve">wholly or partly due to the acts or omissions of another CSP, </w:t>
      </w:r>
      <w:r>
        <w:rPr>
          <w:rFonts w:ascii="Arial" w:hAnsi="Arial" w:cs="Arial"/>
        </w:rPr>
        <w:t>certain information regarding that failure</w:t>
      </w:r>
      <w:r w:rsidRPr="00D727B0">
        <w:rPr>
          <w:rFonts w:ascii="Arial" w:hAnsi="Arial" w:cs="Arial"/>
        </w:rPr>
        <w:t xml:space="preserve"> must be recorded.</w:t>
      </w:r>
    </w:p>
    <w:p w:rsidR="00CC3131" w:rsidRDefault="00CC3131" w:rsidP="00CC3131">
      <w:pPr>
        <w:spacing w:after="0" w:line="240" w:lineRule="auto"/>
        <w:rPr>
          <w:rFonts w:ascii="Arial" w:hAnsi="Arial" w:cs="Arial"/>
        </w:rPr>
      </w:pPr>
    </w:p>
    <w:p w:rsidR="00CC3131" w:rsidRPr="00D727B0" w:rsidRDefault="00CC3131" w:rsidP="00CC3131">
      <w:pPr>
        <w:spacing w:after="0" w:line="240" w:lineRule="auto"/>
        <w:rPr>
          <w:rFonts w:ascii="Arial" w:hAnsi="Arial" w:cs="Arial"/>
        </w:rPr>
      </w:pPr>
      <w:r w:rsidRPr="00D727B0">
        <w:rPr>
          <w:rFonts w:ascii="Arial" w:hAnsi="Arial" w:cs="Arial"/>
        </w:rPr>
        <w:t xml:space="preserve">This section </w:t>
      </w:r>
      <w:r>
        <w:rPr>
          <w:rFonts w:ascii="Arial" w:hAnsi="Arial" w:cs="Arial"/>
        </w:rPr>
        <w:t>defines a “</w:t>
      </w:r>
      <w:r w:rsidRPr="00DD46F0">
        <w:rPr>
          <w:rFonts w:ascii="Arial" w:hAnsi="Arial" w:cs="Arial"/>
        </w:rPr>
        <w:t>fault or service difficulty report</w:t>
      </w:r>
      <w:r>
        <w:rPr>
          <w:rFonts w:ascii="Arial" w:hAnsi="Arial" w:cs="Arial"/>
        </w:rPr>
        <w:t xml:space="preserve">” </w:t>
      </w:r>
      <w:r w:rsidRPr="00D727B0">
        <w:rPr>
          <w:rFonts w:ascii="Arial" w:hAnsi="Arial" w:cs="Arial"/>
        </w:rPr>
        <w:t>so as not to include enhanced call handling feature</w:t>
      </w:r>
      <w:r>
        <w:rPr>
          <w:rFonts w:ascii="Arial" w:hAnsi="Arial" w:cs="Arial"/>
        </w:rPr>
        <w:t>s,</w:t>
      </w:r>
      <w:r w:rsidRPr="00D727B0">
        <w:rPr>
          <w:rFonts w:ascii="Arial" w:hAnsi="Arial" w:cs="Arial"/>
        </w:rPr>
        <w:t xml:space="preserve"> which </w:t>
      </w:r>
      <w:r>
        <w:rPr>
          <w:rFonts w:ascii="Arial" w:hAnsi="Arial" w:cs="Arial"/>
        </w:rPr>
        <w:t>are</w:t>
      </w:r>
      <w:r w:rsidRPr="00D727B0">
        <w:rPr>
          <w:rFonts w:ascii="Arial" w:hAnsi="Arial" w:cs="Arial"/>
        </w:rPr>
        <w:t xml:space="preserve"> excluded under subsection 7(3) of the Retail CSG Benchmarks.</w:t>
      </w:r>
    </w:p>
    <w:p w:rsidR="00CC3131" w:rsidRPr="008F15B4" w:rsidRDefault="00CC3131" w:rsidP="00CC3131">
      <w:pPr>
        <w:pStyle w:val="Heading3"/>
        <w:tabs>
          <w:tab w:val="left" w:pos="1701"/>
        </w:tabs>
        <w:spacing w:after="120"/>
        <w:ind w:left="1701" w:hanging="1701"/>
        <w:rPr>
          <w:rFonts w:ascii="Arial" w:hAnsi="Arial" w:cs="Arial"/>
          <w:i/>
          <w:sz w:val="28"/>
          <w:szCs w:val="28"/>
        </w:rPr>
      </w:pPr>
      <w:r w:rsidRPr="008F15B4">
        <w:rPr>
          <w:rFonts w:ascii="Arial" w:hAnsi="Arial" w:cs="Arial"/>
          <w:i/>
          <w:sz w:val="28"/>
          <w:szCs w:val="28"/>
        </w:rPr>
        <w:t xml:space="preserve">Section </w:t>
      </w:r>
      <w:r>
        <w:rPr>
          <w:rFonts w:ascii="Arial" w:hAnsi="Arial" w:cs="Arial"/>
          <w:i/>
          <w:sz w:val="28"/>
          <w:szCs w:val="28"/>
        </w:rPr>
        <w:t>11</w:t>
      </w:r>
      <w:r w:rsidRPr="008F15B4">
        <w:rPr>
          <w:rFonts w:ascii="Arial" w:hAnsi="Arial" w:cs="Arial"/>
          <w:i/>
          <w:sz w:val="28"/>
          <w:szCs w:val="28"/>
        </w:rPr>
        <w:tab/>
        <w:t>Records relating to the making and keeping of appointments</w:t>
      </w:r>
    </w:p>
    <w:p w:rsidR="00CC3131" w:rsidRDefault="00CC3131" w:rsidP="00CC3131">
      <w:pPr>
        <w:spacing w:after="0" w:line="240" w:lineRule="auto"/>
        <w:rPr>
          <w:rFonts w:ascii="Arial" w:hAnsi="Arial" w:cs="Arial"/>
        </w:rPr>
      </w:pPr>
      <w:r w:rsidRPr="00D727B0">
        <w:rPr>
          <w:rFonts w:ascii="Arial" w:hAnsi="Arial" w:cs="Arial"/>
        </w:rPr>
        <w:t>This section sets out the record</w:t>
      </w:r>
      <w:r>
        <w:rPr>
          <w:rFonts w:ascii="Arial" w:hAnsi="Arial" w:cs="Arial"/>
        </w:rPr>
        <w:t>-keep</w:t>
      </w:r>
      <w:r w:rsidRPr="00D727B0">
        <w:rPr>
          <w:rFonts w:ascii="Arial" w:hAnsi="Arial" w:cs="Arial"/>
        </w:rPr>
        <w:t xml:space="preserve">ing requirements regarding a connection or rectification appointment involving a QSP. </w:t>
      </w:r>
    </w:p>
    <w:p w:rsidR="00CC3131" w:rsidRDefault="00CC3131" w:rsidP="00CC3131">
      <w:pPr>
        <w:spacing w:after="0" w:line="240" w:lineRule="auto"/>
        <w:rPr>
          <w:rFonts w:ascii="Arial" w:hAnsi="Arial" w:cs="Arial"/>
        </w:rPr>
      </w:pPr>
    </w:p>
    <w:p w:rsidR="00CC3131" w:rsidRDefault="00CC3131" w:rsidP="00CC3131">
      <w:pPr>
        <w:spacing w:after="0" w:line="240" w:lineRule="auto"/>
        <w:rPr>
          <w:rFonts w:ascii="Arial" w:hAnsi="Arial" w:cs="Arial"/>
        </w:rPr>
      </w:pPr>
      <w:r>
        <w:rPr>
          <w:rFonts w:ascii="Arial" w:hAnsi="Arial" w:cs="Arial"/>
        </w:rPr>
        <w:lastRenderedPageBreak/>
        <w:t>Amongst other record-keeping requirements, i</w:t>
      </w:r>
      <w:r w:rsidRPr="00D727B0">
        <w:rPr>
          <w:rFonts w:ascii="Arial" w:hAnsi="Arial" w:cs="Arial"/>
        </w:rPr>
        <w:t xml:space="preserve">f there is a failure to comply with the CSG Standard </w:t>
      </w:r>
      <w:r>
        <w:rPr>
          <w:rFonts w:ascii="Arial" w:hAnsi="Arial" w:cs="Arial"/>
        </w:rPr>
        <w:t xml:space="preserve">regarding such an appointment which is </w:t>
      </w:r>
      <w:r w:rsidRPr="00D727B0">
        <w:rPr>
          <w:rFonts w:ascii="Arial" w:hAnsi="Arial" w:cs="Arial"/>
        </w:rPr>
        <w:t xml:space="preserve">wholly or partly due to the acts or omissions of another CSP, </w:t>
      </w:r>
      <w:r>
        <w:rPr>
          <w:rFonts w:ascii="Arial" w:hAnsi="Arial" w:cs="Arial"/>
        </w:rPr>
        <w:t>certain information regarding that failure</w:t>
      </w:r>
      <w:r w:rsidRPr="00D727B0">
        <w:rPr>
          <w:rFonts w:ascii="Arial" w:hAnsi="Arial" w:cs="Arial"/>
        </w:rPr>
        <w:t xml:space="preserve"> must be recorded.</w:t>
      </w:r>
    </w:p>
    <w:p w:rsidR="00CC3131" w:rsidRDefault="00CC3131" w:rsidP="00CC3131">
      <w:pPr>
        <w:spacing w:after="0" w:line="240" w:lineRule="auto"/>
        <w:rPr>
          <w:rFonts w:ascii="Arial" w:hAnsi="Arial" w:cs="Arial"/>
        </w:rPr>
      </w:pPr>
    </w:p>
    <w:p w:rsidR="00CC3131" w:rsidRDefault="00CC3131" w:rsidP="00CC3131">
      <w:pPr>
        <w:spacing w:after="0" w:line="240" w:lineRule="auto"/>
        <w:rPr>
          <w:rFonts w:ascii="Arial" w:hAnsi="Arial" w:cs="Arial"/>
        </w:rPr>
      </w:pPr>
    </w:p>
    <w:p w:rsidR="00CC3131" w:rsidRDefault="00CC3131" w:rsidP="00CC3131">
      <w:pPr>
        <w:pStyle w:val="Heading3"/>
        <w:tabs>
          <w:tab w:val="left" w:pos="1620"/>
        </w:tabs>
        <w:spacing w:after="120"/>
        <w:ind w:left="1701" w:hanging="1701"/>
        <w:rPr>
          <w:rFonts w:ascii="Arial" w:hAnsi="Arial" w:cs="Arial"/>
          <w:sz w:val="28"/>
          <w:szCs w:val="28"/>
        </w:rPr>
      </w:pPr>
      <w:r w:rsidRPr="001B5C36">
        <w:rPr>
          <w:rFonts w:ascii="Arial" w:hAnsi="Arial" w:cs="Arial"/>
          <w:sz w:val="28"/>
          <w:szCs w:val="28"/>
        </w:rPr>
        <w:t>Part 3</w:t>
      </w:r>
      <w:r w:rsidRPr="001B5C36">
        <w:rPr>
          <w:rFonts w:ascii="Arial" w:hAnsi="Arial" w:cs="Arial"/>
          <w:sz w:val="28"/>
          <w:szCs w:val="28"/>
        </w:rPr>
        <w:tab/>
      </w:r>
      <w:r w:rsidRPr="001B5C36">
        <w:rPr>
          <w:rFonts w:ascii="Arial" w:hAnsi="Arial" w:cs="Arial"/>
          <w:sz w:val="28"/>
          <w:szCs w:val="28"/>
        </w:rPr>
        <w:tab/>
        <w:t>Retention of Records</w:t>
      </w:r>
    </w:p>
    <w:p w:rsidR="00CC3131" w:rsidRPr="00335C08" w:rsidRDefault="00CC3131" w:rsidP="00CC3131">
      <w:pPr>
        <w:pStyle w:val="Heading3"/>
        <w:tabs>
          <w:tab w:val="left" w:pos="1701"/>
        </w:tabs>
        <w:spacing w:after="120"/>
        <w:ind w:left="1701" w:hanging="1701"/>
        <w:rPr>
          <w:rFonts w:ascii="Arial" w:hAnsi="Arial" w:cs="Arial"/>
          <w:i/>
          <w:sz w:val="28"/>
          <w:szCs w:val="28"/>
        </w:rPr>
      </w:pPr>
      <w:r w:rsidRPr="00335C08">
        <w:rPr>
          <w:rFonts w:ascii="Arial" w:hAnsi="Arial" w:cs="Arial"/>
          <w:i/>
          <w:sz w:val="28"/>
          <w:szCs w:val="28"/>
        </w:rPr>
        <w:t>Section 12</w:t>
      </w:r>
      <w:r w:rsidRPr="00335C08">
        <w:rPr>
          <w:rFonts w:ascii="Arial" w:hAnsi="Arial" w:cs="Arial"/>
          <w:i/>
          <w:sz w:val="28"/>
          <w:szCs w:val="28"/>
        </w:rPr>
        <w:tab/>
        <w:t>Period for retention of records</w:t>
      </w:r>
    </w:p>
    <w:p w:rsidR="00CC3131" w:rsidRDefault="00CC3131" w:rsidP="00CC3131">
      <w:pPr>
        <w:spacing w:after="0" w:line="240" w:lineRule="auto"/>
        <w:rPr>
          <w:rFonts w:ascii="Arial" w:hAnsi="Arial" w:cs="Arial"/>
        </w:rPr>
      </w:pPr>
      <w:r>
        <w:rPr>
          <w:rFonts w:ascii="Arial" w:hAnsi="Arial" w:cs="Arial"/>
        </w:rPr>
        <w:t xml:space="preserve">A </w:t>
      </w:r>
      <w:r w:rsidRPr="00D727B0">
        <w:rPr>
          <w:rFonts w:ascii="Arial" w:hAnsi="Arial" w:cs="Arial"/>
        </w:rPr>
        <w:t xml:space="preserve">QSP </w:t>
      </w:r>
      <w:r>
        <w:rPr>
          <w:rFonts w:ascii="Arial" w:hAnsi="Arial" w:cs="Arial"/>
        </w:rPr>
        <w:t>is</w:t>
      </w:r>
      <w:r w:rsidRPr="00D727B0">
        <w:rPr>
          <w:rFonts w:ascii="Arial" w:hAnsi="Arial" w:cs="Arial"/>
        </w:rPr>
        <w:t xml:space="preserve"> required to retain records </w:t>
      </w:r>
      <w:r>
        <w:rPr>
          <w:rFonts w:ascii="Arial" w:hAnsi="Arial" w:cs="Arial"/>
        </w:rPr>
        <w:t xml:space="preserve">for a benchmark period </w:t>
      </w:r>
      <w:r w:rsidRPr="00D727B0">
        <w:rPr>
          <w:rFonts w:ascii="Arial" w:hAnsi="Arial" w:cs="Arial"/>
        </w:rPr>
        <w:t xml:space="preserve">for two years from the end of the benchmark period. </w:t>
      </w:r>
    </w:p>
    <w:p w:rsidR="00CC3131" w:rsidRDefault="00CC3131" w:rsidP="00CC3131">
      <w:pPr>
        <w:spacing w:after="0" w:line="240" w:lineRule="auto"/>
        <w:rPr>
          <w:rFonts w:ascii="Arial" w:hAnsi="Arial" w:cs="Arial"/>
        </w:rPr>
      </w:pPr>
    </w:p>
    <w:p w:rsidR="00CC3131" w:rsidRPr="00D727B0" w:rsidRDefault="00CC3131" w:rsidP="00CC3131">
      <w:pPr>
        <w:spacing w:after="0" w:line="240" w:lineRule="auto"/>
        <w:rPr>
          <w:rFonts w:ascii="Arial" w:hAnsi="Arial" w:cs="Arial"/>
        </w:rPr>
      </w:pPr>
    </w:p>
    <w:p w:rsidR="00CC3131" w:rsidRDefault="00CC3131" w:rsidP="00CC3131">
      <w:pPr>
        <w:pStyle w:val="Heading3"/>
        <w:tabs>
          <w:tab w:val="left" w:pos="1620"/>
        </w:tabs>
        <w:spacing w:after="120"/>
        <w:ind w:left="1701" w:hanging="1701"/>
        <w:rPr>
          <w:rFonts w:ascii="Arial" w:hAnsi="Arial" w:cs="Arial"/>
          <w:b w:val="0"/>
          <w:sz w:val="28"/>
          <w:szCs w:val="28"/>
        </w:rPr>
      </w:pPr>
      <w:r w:rsidRPr="001B5C36">
        <w:rPr>
          <w:rFonts w:ascii="Arial" w:hAnsi="Arial" w:cs="Arial"/>
          <w:sz w:val="28"/>
          <w:szCs w:val="28"/>
        </w:rPr>
        <w:t>Part 4</w:t>
      </w:r>
      <w:r w:rsidRPr="001B5C36">
        <w:rPr>
          <w:rFonts w:ascii="Arial" w:hAnsi="Arial" w:cs="Arial"/>
          <w:sz w:val="28"/>
          <w:szCs w:val="28"/>
        </w:rPr>
        <w:tab/>
      </w:r>
      <w:r w:rsidRPr="001B5C36">
        <w:rPr>
          <w:rFonts w:ascii="Arial" w:hAnsi="Arial" w:cs="Arial"/>
          <w:sz w:val="28"/>
          <w:szCs w:val="28"/>
        </w:rPr>
        <w:tab/>
        <w:t>Reporting</w:t>
      </w:r>
    </w:p>
    <w:p w:rsidR="00CC3131" w:rsidRPr="00F12CA0" w:rsidRDefault="00CC3131" w:rsidP="00CC3131">
      <w:pPr>
        <w:tabs>
          <w:tab w:val="left" w:pos="1701"/>
        </w:tabs>
        <w:rPr>
          <w:rFonts w:ascii="Arial" w:hAnsi="Arial" w:cs="Arial"/>
          <w:b/>
          <w:color w:val="000000"/>
        </w:rPr>
      </w:pPr>
      <w:r w:rsidRPr="00F12CA0">
        <w:rPr>
          <w:rFonts w:ascii="Arial" w:hAnsi="Arial" w:cs="Arial"/>
          <w:b/>
          <w:i/>
          <w:sz w:val="28"/>
          <w:szCs w:val="28"/>
        </w:rPr>
        <w:t xml:space="preserve">Section </w:t>
      </w:r>
      <w:r>
        <w:rPr>
          <w:rFonts w:ascii="Arial" w:hAnsi="Arial" w:cs="Arial"/>
          <w:b/>
          <w:i/>
          <w:sz w:val="28"/>
          <w:szCs w:val="28"/>
        </w:rPr>
        <w:t>13</w:t>
      </w:r>
      <w:r w:rsidRPr="00F12CA0">
        <w:rPr>
          <w:rFonts w:ascii="Arial" w:hAnsi="Arial" w:cs="Arial"/>
          <w:b/>
          <w:i/>
          <w:sz w:val="28"/>
          <w:szCs w:val="28"/>
        </w:rPr>
        <w:tab/>
        <w:t>Requirement to prepare compliance reports</w:t>
      </w:r>
    </w:p>
    <w:p w:rsidR="00CC3131" w:rsidRDefault="00CC3131" w:rsidP="00CC3131">
      <w:pPr>
        <w:spacing w:after="0" w:line="240" w:lineRule="auto"/>
        <w:rPr>
          <w:rFonts w:ascii="Arial" w:hAnsi="Arial" w:cs="Arial"/>
        </w:rPr>
      </w:pPr>
      <w:r>
        <w:rPr>
          <w:rFonts w:ascii="Arial" w:hAnsi="Arial" w:cs="Arial"/>
        </w:rPr>
        <w:t>This section sets out the frequency of reporting which a QSP must follow.</w:t>
      </w:r>
      <w:r w:rsidRPr="00D727B0">
        <w:rPr>
          <w:rFonts w:ascii="Arial" w:hAnsi="Arial" w:cs="Arial"/>
        </w:rPr>
        <w:t xml:space="preserve">  </w:t>
      </w:r>
    </w:p>
    <w:p w:rsidR="00CC3131" w:rsidRDefault="00CC3131" w:rsidP="00CC3131">
      <w:pPr>
        <w:spacing w:after="0" w:line="240" w:lineRule="auto"/>
        <w:rPr>
          <w:rFonts w:ascii="Arial" w:hAnsi="Arial" w:cs="Arial"/>
        </w:rPr>
      </w:pPr>
    </w:p>
    <w:p w:rsidR="00CC3131" w:rsidRDefault="00CC3131" w:rsidP="00CC3131">
      <w:pPr>
        <w:spacing w:after="0" w:line="240" w:lineRule="auto"/>
        <w:rPr>
          <w:rFonts w:ascii="Arial" w:hAnsi="Arial" w:cs="Arial"/>
        </w:rPr>
      </w:pPr>
      <w:r w:rsidRPr="00D727B0">
        <w:rPr>
          <w:rFonts w:ascii="Arial" w:hAnsi="Arial" w:cs="Arial"/>
        </w:rPr>
        <w:t xml:space="preserve">The information to be included in the compliance reports is contained in Schedule 1, and the required format is set out in Schedule 2. </w:t>
      </w:r>
    </w:p>
    <w:p w:rsidR="00CC3131" w:rsidRPr="00D727B0" w:rsidRDefault="00CC3131" w:rsidP="00CC3131">
      <w:pPr>
        <w:spacing w:after="0" w:line="240" w:lineRule="auto"/>
        <w:rPr>
          <w:rFonts w:ascii="Arial" w:hAnsi="Arial" w:cs="Arial"/>
        </w:rPr>
      </w:pPr>
    </w:p>
    <w:p w:rsidR="00CC3131" w:rsidRDefault="00CC3131" w:rsidP="00CC3131">
      <w:pPr>
        <w:tabs>
          <w:tab w:val="left" w:pos="1701"/>
        </w:tabs>
        <w:ind w:left="1701" w:hanging="1701"/>
        <w:rPr>
          <w:rFonts w:ascii="Arial" w:hAnsi="Arial" w:cs="Arial"/>
          <w:b/>
          <w:i/>
          <w:sz w:val="28"/>
          <w:szCs w:val="28"/>
        </w:rPr>
      </w:pPr>
      <w:r w:rsidRPr="00877AA6">
        <w:rPr>
          <w:rFonts w:ascii="Arial" w:hAnsi="Arial" w:cs="Arial"/>
          <w:b/>
          <w:i/>
          <w:sz w:val="28"/>
          <w:szCs w:val="28"/>
        </w:rPr>
        <w:t>Section 14</w:t>
      </w:r>
      <w:r>
        <w:rPr>
          <w:rFonts w:ascii="Arial" w:hAnsi="Arial" w:cs="Arial"/>
          <w:b/>
          <w:i/>
          <w:sz w:val="28"/>
          <w:szCs w:val="28"/>
        </w:rPr>
        <w:tab/>
      </w:r>
      <w:r w:rsidRPr="00911F77">
        <w:rPr>
          <w:rFonts w:ascii="Arial" w:hAnsi="Arial" w:cs="Arial"/>
          <w:b/>
          <w:i/>
          <w:sz w:val="28"/>
          <w:szCs w:val="28"/>
        </w:rPr>
        <w:t>Requirement to give compliance reports to the ACMA</w:t>
      </w:r>
    </w:p>
    <w:p w:rsidR="00CC3131" w:rsidRPr="00877AA6" w:rsidRDefault="00CC3131" w:rsidP="00CC3131">
      <w:pPr>
        <w:tabs>
          <w:tab w:val="left" w:pos="0"/>
        </w:tabs>
        <w:rPr>
          <w:rFonts w:ascii="Arial" w:hAnsi="Arial" w:cs="Arial"/>
          <w:b/>
          <w:color w:val="000000"/>
        </w:rPr>
      </w:pPr>
      <w:r>
        <w:rPr>
          <w:rFonts w:ascii="Arial" w:hAnsi="Arial" w:cs="Arial"/>
        </w:rPr>
        <w:t xml:space="preserve">This section sets out the timing and method for a </w:t>
      </w:r>
      <w:r w:rsidRPr="00D727B0">
        <w:rPr>
          <w:rFonts w:ascii="Arial" w:hAnsi="Arial" w:cs="Arial"/>
        </w:rPr>
        <w:t>QSP</w:t>
      </w:r>
      <w:r>
        <w:rPr>
          <w:rFonts w:ascii="Arial" w:hAnsi="Arial" w:cs="Arial"/>
        </w:rPr>
        <w:t xml:space="preserve"> to give a compliance report to the ACMA</w:t>
      </w:r>
      <w:r w:rsidRPr="006D0534">
        <w:rPr>
          <w:rFonts w:ascii="Arial" w:hAnsi="Arial" w:cs="Arial"/>
        </w:rPr>
        <w:t>.</w:t>
      </w:r>
      <w:r>
        <w:rPr>
          <w:rFonts w:ascii="Arial" w:hAnsi="Arial" w:cs="Arial"/>
        </w:rPr>
        <w:t xml:space="preserve"> </w:t>
      </w:r>
      <w:r w:rsidR="005C7408" w:rsidRPr="00D727B0">
        <w:rPr>
          <w:rFonts w:ascii="Arial" w:hAnsi="Arial" w:cs="Arial"/>
        </w:rPr>
        <w:t>QSPs are required</w:t>
      </w:r>
      <w:r w:rsidR="005C7408">
        <w:rPr>
          <w:rFonts w:ascii="Arial" w:hAnsi="Arial" w:cs="Arial"/>
        </w:rPr>
        <w:t xml:space="preserve"> give compliance reports to the ACMA no later than 40 working days after the end of the relevant reporting period </w:t>
      </w:r>
      <w:r w:rsidR="005C7408" w:rsidRPr="00D727B0">
        <w:rPr>
          <w:rFonts w:ascii="Arial" w:hAnsi="Arial" w:cs="Arial"/>
        </w:rPr>
        <w:t xml:space="preserve">or such </w:t>
      </w:r>
      <w:r w:rsidR="005C7408">
        <w:rPr>
          <w:rFonts w:ascii="Arial" w:hAnsi="Arial" w:cs="Arial"/>
        </w:rPr>
        <w:t>later</w:t>
      </w:r>
      <w:r w:rsidR="005C7408" w:rsidRPr="00D727B0">
        <w:rPr>
          <w:rFonts w:ascii="Arial" w:hAnsi="Arial" w:cs="Arial"/>
        </w:rPr>
        <w:t xml:space="preserve"> time </w:t>
      </w:r>
      <w:r w:rsidR="009B5991">
        <w:rPr>
          <w:rFonts w:ascii="Arial" w:hAnsi="Arial" w:cs="Arial"/>
        </w:rPr>
        <w:t>as agreed in writing</w:t>
      </w:r>
      <w:r w:rsidR="005C7408" w:rsidRPr="00D727B0">
        <w:rPr>
          <w:rFonts w:ascii="Arial" w:hAnsi="Arial" w:cs="Arial"/>
        </w:rPr>
        <w:t xml:space="preserve"> by the ACMA</w:t>
      </w:r>
      <w:r w:rsidR="005C7408">
        <w:rPr>
          <w:rFonts w:ascii="Arial" w:hAnsi="Arial" w:cs="Arial"/>
        </w:rPr>
        <w:t xml:space="preserve">. The compliance reports must be sent by email to an address advised by the ACMA on its website. It must also be delivered by hand or by registered post. The ACMA may agree in writing to the delivery of a compliance report in an electronic format </w:t>
      </w:r>
      <w:r w:rsidR="005C7408" w:rsidRPr="006D0534">
        <w:rPr>
          <w:rFonts w:ascii="Arial" w:hAnsi="Arial" w:cs="Arial"/>
        </w:rPr>
        <w:t>(</w:t>
      </w:r>
      <w:r w:rsidR="009B5991">
        <w:rPr>
          <w:rFonts w:ascii="Arial" w:hAnsi="Arial" w:cs="Arial"/>
        </w:rPr>
        <w:t xml:space="preserve">for example stored on a </w:t>
      </w:r>
      <w:r w:rsidR="005C7408" w:rsidRPr="006D0534">
        <w:rPr>
          <w:rFonts w:ascii="Arial" w:hAnsi="Arial" w:cs="Arial"/>
        </w:rPr>
        <w:t>CD or DVD).</w:t>
      </w:r>
      <w:r w:rsidR="005C7408">
        <w:rPr>
          <w:rFonts w:ascii="Arial" w:hAnsi="Arial" w:cs="Arial"/>
        </w:rPr>
        <w:t xml:space="preserve"> </w:t>
      </w:r>
    </w:p>
    <w:p w:rsidR="00CC3131" w:rsidRDefault="00CC3131" w:rsidP="00CC3131">
      <w:pPr>
        <w:spacing w:after="0" w:line="240" w:lineRule="auto"/>
        <w:rPr>
          <w:rFonts w:ascii="Arial" w:hAnsi="Arial" w:cs="Arial"/>
        </w:rPr>
      </w:pPr>
    </w:p>
    <w:p w:rsidR="00CC3131" w:rsidRDefault="00CC3131" w:rsidP="00CC3131">
      <w:pPr>
        <w:pStyle w:val="Heading3"/>
        <w:tabs>
          <w:tab w:val="left" w:pos="1620"/>
        </w:tabs>
        <w:spacing w:after="120"/>
        <w:ind w:left="1701" w:hanging="1701"/>
        <w:rPr>
          <w:rFonts w:ascii="Arial" w:hAnsi="Arial" w:cs="Arial"/>
          <w:b w:val="0"/>
          <w:sz w:val="28"/>
          <w:szCs w:val="28"/>
        </w:rPr>
      </w:pPr>
      <w:r w:rsidRPr="001B5C36">
        <w:rPr>
          <w:rFonts w:ascii="Arial" w:hAnsi="Arial" w:cs="Arial"/>
          <w:sz w:val="28"/>
          <w:szCs w:val="28"/>
        </w:rPr>
        <w:t>Part 5</w:t>
      </w:r>
      <w:r w:rsidRPr="001B5C36">
        <w:rPr>
          <w:rFonts w:ascii="Arial" w:hAnsi="Arial" w:cs="Arial"/>
          <w:sz w:val="28"/>
          <w:szCs w:val="28"/>
        </w:rPr>
        <w:tab/>
      </w:r>
      <w:r w:rsidRPr="001B5C36">
        <w:rPr>
          <w:rFonts w:ascii="Arial" w:hAnsi="Arial" w:cs="Arial"/>
          <w:sz w:val="28"/>
          <w:szCs w:val="28"/>
        </w:rPr>
        <w:tab/>
        <w:t>Audit</w:t>
      </w:r>
    </w:p>
    <w:p w:rsidR="00CC3131" w:rsidRPr="00877AA6" w:rsidRDefault="00CC3131" w:rsidP="00CC3131">
      <w:pPr>
        <w:tabs>
          <w:tab w:val="left" w:pos="1701"/>
        </w:tabs>
        <w:rPr>
          <w:rFonts w:ascii="Arial" w:hAnsi="Arial" w:cs="Arial"/>
          <w:b/>
          <w:color w:val="000000"/>
        </w:rPr>
      </w:pPr>
      <w:r w:rsidRPr="00877AA6">
        <w:rPr>
          <w:rFonts w:ascii="Arial" w:hAnsi="Arial" w:cs="Arial"/>
          <w:b/>
          <w:i/>
          <w:sz w:val="28"/>
          <w:szCs w:val="28"/>
        </w:rPr>
        <w:t>Section 1</w:t>
      </w:r>
      <w:r>
        <w:rPr>
          <w:rFonts w:ascii="Arial" w:hAnsi="Arial" w:cs="Arial"/>
          <w:b/>
          <w:i/>
          <w:sz w:val="28"/>
          <w:szCs w:val="28"/>
        </w:rPr>
        <w:t>5</w:t>
      </w:r>
      <w:r>
        <w:rPr>
          <w:rFonts w:ascii="Arial" w:hAnsi="Arial" w:cs="Arial"/>
          <w:b/>
          <w:i/>
          <w:sz w:val="28"/>
          <w:szCs w:val="28"/>
        </w:rPr>
        <w:tab/>
      </w:r>
      <w:r w:rsidRPr="00877AA6">
        <w:rPr>
          <w:rFonts w:ascii="Arial" w:hAnsi="Arial" w:cs="Arial"/>
          <w:b/>
          <w:i/>
          <w:sz w:val="28"/>
          <w:szCs w:val="28"/>
        </w:rPr>
        <w:t>Auditing of compliance with the Rules</w:t>
      </w:r>
    </w:p>
    <w:p w:rsidR="00CC3131" w:rsidRDefault="00CC3131" w:rsidP="00CC3131">
      <w:pPr>
        <w:spacing w:after="0" w:line="240" w:lineRule="auto"/>
        <w:rPr>
          <w:rFonts w:ascii="Arial" w:hAnsi="Arial" w:cs="Arial"/>
        </w:rPr>
      </w:pPr>
      <w:r w:rsidRPr="00D727B0">
        <w:rPr>
          <w:rFonts w:ascii="Arial" w:hAnsi="Arial" w:cs="Arial"/>
        </w:rPr>
        <w:t xml:space="preserve">If the ACMA forms a view on reasonable grounds that an audit is necessary, it may write to a QSP requiring it to engage an auditor to conduct an audit of the QSP’s compliance with the Rules. If the ACMA forms a view on reasonable grounds that the initial audit is inadequate, it may require a follow-up audit. </w:t>
      </w:r>
    </w:p>
    <w:p w:rsidR="00CC3131" w:rsidRPr="00D727B0" w:rsidRDefault="00CC3131" w:rsidP="00CC3131">
      <w:pPr>
        <w:spacing w:after="0" w:line="240" w:lineRule="auto"/>
        <w:rPr>
          <w:rFonts w:ascii="Arial" w:hAnsi="Arial" w:cs="Arial"/>
        </w:rPr>
      </w:pPr>
    </w:p>
    <w:p w:rsidR="00CC3131" w:rsidRDefault="00CC3131" w:rsidP="00CC3131">
      <w:pPr>
        <w:keepNext/>
        <w:tabs>
          <w:tab w:val="left" w:pos="1701"/>
        </w:tabs>
        <w:rPr>
          <w:rFonts w:ascii="Arial" w:hAnsi="Arial" w:cs="Arial"/>
          <w:b/>
          <w:color w:val="000000"/>
        </w:rPr>
      </w:pPr>
      <w:r w:rsidRPr="00877AA6">
        <w:rPr>
          <w:rFonts w:ascii="Arial" w:hAnsi="Arial" w:cs="Arial"/>
          <w:b/>
          <w:i/>
          <w:sz w:val="28"/>
          <w:szCs w:val="28"/>
        </w:rPr>
        <w:t>Section 1</w:t>
      </w:r>
      <w:r>
        <w:rPr>
          <w:rFonts w:ascii="Arial" w:hAnsi="Arial" w:cs="Arial"/>
          <w:b/>
          <w:i/>
          <w:sz w:val="28"/>
          <w:szCs w:val="28"/>
        </w:rPr>
        <w:t>6</w:t>
      </w:r>
      <w:r>
        <w:rPr>
          <w:rFonts w:ascii="Arial" w:hAnsi="Arial" w:cs="Arial"/>
          <w:b/>
          <w:i/>
          <w:sz w:val="28"/>
          <w:szCs w:val="28"/>
        </w:rPr>
        <w:tab/>
      </w:r>
      <w:r w:rsidRPr="00877AA6">
        <w:rPr>
          <w:rFonts w:ascii="Arial" w:hAnsi="Arial" w:cs="Arial"/>
          <w:b/>
          <w:i/>
          <w:sz w:val="28"/>
          <w:szCs w:val="28"/>
        </w:rPr>
        <w:t>Audit terms of reference</w:t>
      </w:r>
    </w:p>
    <w:p w:rsidR="00CC3131" w:rsidRDefault="00CC3131" w:rsidP="00CC3131">
      <w:pPr>
        <w:keepNext/>
        <w:spacing w:after="0" w:line="240" w:lineRule="auto"/>
        <w:rPr>
          <w:rFonts w:ascii="Arial" w:hAnsi="Arial" w:cs="Arial"/>
        </w:rPr>
      </w:pPr>
      <w:r w:rsidRPr="00D727B0">
        <w:rPr>
          <w:rFonts w:ascii="Arial" w:hAnsi="Arial" w:cs="Arial"/>
        </w:rPr>
        <w:t xml:space="preserve">A QSP </w:t>
      </w:r>
      <w:r>
        <w:rPr>
          <w:rFonts w:ascii="Arial" w:hAnsi="Arial" w:cs="Arial"/>
        </w:rPr>
        <w:t xml:space="preserve">that has received an audit notice </w:t>
      </w:r>
      <w:r w:rsidRPr="00D727B0">
        <w:rPr>
          <w:rFonts w:ascii="Arial" w:hAnsi="Arial" w:cs="Arial"/>
        </w:rPr>
        <w:t xml:space="preserve">is required to provide draft terms of reference </w:t>
      </w:r>
      <w:r>
        <w:rPr>
          <w:rFonts w:ascii="Arial" w:hAnsi="Arial" w:cs="Arial"/>
        </w:rPr>
        <w:t xml:space="preserve">for the audit </w:t>
      </w:r>
      <w:r w:rsidRPr="00D727B0">
        <w:rPr>
          <w:rFonts w:ascii="Arial" w:hAnsi="Arial" w:cs="Arial"/>
        </w:rPr>
        <w:t>to the ACMA</w:t>
      </w:r>
      <w:r>
        <w:rPr>
          <w:rFonts w:ascii="Arial" w:hAnsi="Arial" w:cs="Arial"/>
        </w:rPr>
        <w:t xml:space="preserve"> for approval</w:t>
      </w:r>
      <w:r w:rsidRPr="00D727B0">
        <w:rPr>
          <w:rFonts w:ascii="Arial" w:hAnsi="Arial" w:cs="Arial"/>
        </w:rPr>
        <w:t>.</w:t>
      </w:r>
    </w:p>
    <w:p w:rsidR="00CC3131" w:rsidRPr="00D727B0" w:rsidRDefault="00CC3131" w:rsidP="00CC3131">
      <w:pPr>
        <w:spacing w:after="0" w:line="240" w:lineRule="auto"/>
        <w:rPr>
          <w:rFonts w:ascii="Arial" w:hAnsi="Arial" w:cs="Arial"/>
        </w:rPr>
      </w:pPr>
    </w:p>
    <w:p w:rsidR="00CC3131" w:rsidRPr="00D727B0" w:rsidRDefault="00CC3131" w:rsidP="00CC3131">
      <w:pPr>
        <w:spacing w:after="0" w:line="240" w:lineRule="auto"/>
        <w:rPr>
          <w:rFonts w:ascii="Arial" w:hAnsi="Arial" w:cs="Arial"/>
        </w:rPr>
      </w:pPr>
      <w:r>
        <w:rPr>
          <w:rFonts w:ascii="Arial" w:hAnsi="Arial" w:cs="Arial"/>
        </w:rPr>
        <w:t xml:space="preserve">The ACMA may require the QSP to make changes to the draft terms of reference.  </w:t>
      </w:r>
      <w:r w:rsidRPr="00D727B0">
        <w:rPr>
          <w:rFonts w:ascii="Arial" w:hAnsi="Arial" w:cs="Arial"/>
        </w:rPr>
        <w:t xml:space="preserve">If </w:t>
      </w:r>
      <w:r>
        <w:rPr>
          <w:rFonts w:ascii="Arial" w:hAnsi="Arial" w:cs="Arial"/>
        </w:rPr>
        <w:t>the revised</w:t>
      </w:r>
      <w:r w:rsidRPr="00D727B0">
        <w:rPr>
          <w:rFonts w:ascii="Arial" w:hAnsi="Arial" w:cs="Arial"/>
        </w:rPr>
        <w:t xml:space="preserve"> terms </w:t>
      </w:r>
      <w:r>
        <w:rPr>
          <w:rFonts w:ascii="Arial" w:hAnsi="Arial" w:cs="Arial"/>
        </w:rPr>
        <w:t xml:space="preserve">do not give effect to the changes required by the ACMA and </w:t>
      </w:r>
      <w:r w:rsidRPr="00D727B0">
        <w:rPr>
          <w:rFonts w:ascii="Arial" w:hAnsi="Arial" w:cs="Arial"/>
        </w:rPr>
        <w:t xml:space="preserve">are rejected, the ACMA </w:t>
      </w:r>
      <w:r>
        <w:rPr>
          <w:rFonts w:ascii="Arial" w:hAnsi="Arial" w:cs="Arial"/>
        </w:rPr>
        <w:t xml:space="preserve">may </w:t>
      </w:r>
      <w:r w:rsidRPr="00D727B0">
        <w:rPr>
          <w:rFonts w:ascii="Arial" w:hAnsi="Arial" w:cs="Arial"/>
        </w:rPr>
        <w:t>specif</w:t>
      </w:r>
      <w:r>
        <w:rPr>
          <w:rFonts w:ascii="Arial" w:hAnsi="Arial" w:cs="Arial"/>
        </w:rPr>
        <w:t>y the</w:t>
      </w:r>
      <w:r w:rsidRPr="00D727B0">
        <w:rPr>
          <w:rFonts w:ascii="Arial" w:hAnsi="Arial" w:cs="Arial"/>
        </w:rPr>
        <w:t xml:space="preserve"> terms of reference for the audit.</w:t>
      </w:r>
    </w:p>
    <w:p w:rsidR="00CC3131" w:rsidRDefault="00CC3131" w:rsidP="00CC3131">
      <w:pPr>
        <w:spacing w:after="0" w:line="240" w:lineRule="auto"/>
        <w:rPr>
          <w:rFonts w:ascii="Arial" w:hAnsi="Arial" w:cs="Arial"/>
        </w:rPr>
      </w:pPr>
    </w:p>
    <w:p w:rsidR="00CC3131" w:rsidRDefault="00CC3131" w:rsidP="00CC3131">
      <w:pPr>
        <w:spacing w:after="0" w:line="240" w:lineRule="auto"/>
        <w:rPr>
          <w:rFonts w:ascii="Arial" w:hAnsi="Arial" w:cs="Arial"/>
        </w:rPr>
      </w:pPr>
      <w:r w:rsidRPr="00D727B0">
        <w:rPr>
          <w:rFonts w:ascii="Arial" w:hAnsi="Arial" w:cs="Arial"/>
        </w:rPr>
        <w:lastRenderedPageBreak/>
        <w:t xml:space="preserve">This section </w:t>
      </w:r>
      <w:r>
        <w:rPr>
          <w:rFonts w:ascii="Arial" w:hAnsi="Arial" w:cs="Arial"/>
        </w:rPr>
        <w:t xml:space="preserve">specifies timescales for the above approval process as well as certain matters that must be included in </w:t>
      </w:r>
      <w:r w:rsidRPr="00D727B0">
        <w:rPr>
          <w:rFonts w:ascii="Arial" w:hAnsi="Arial" w:cs="Arial"/>
        </w:rPr>
        <w:t>the terms of reference and the objectives of the audit.</w:t>
      </w:r>
    </w:p>
    <w:p w:rsidR="00CC3131" w:rsidRPr="00D727B0" w:rsidRDefault="00CC3131" w:rsidP="00CC3131">
      <w:pPr>
        <w:spacing w:after="0" w:line="240" w:lineRule="auto"/>
        <w:rPr>
          <w:rFonts w:ascii="Arial" w:hAnsi="Arial" w:cs="Arial"/>
        </w:rPr>
      </w:pPr>
    </w:p>
    <w:p w:rsidR="00CC3131" w:rsidRDefault="00CC3131" w:rsidP="00CC3131">
      <w:pPr>
        <w:tabs>
          <w:tab w:val="left" w:pos="1701"/>
        </w:tabs>
        <w:rPr>
          <w:rFonts w:ascii="Arial" w:hAnsi="Arial" w:cs="Arial"/>
          <w:b/>
          <w:i/>
          <w:sz w:val="28"/>
          <w:szCs w:val="28"/>
        </w:rPr>
      </w:pPr>
      <w:r w:rsidRPr="00877AA6">
        <w:rPr>
          <w:rFonts w:ascii="Arial" w:hAnsi="Arial" w:cs="Arial"/>
          <w:b/>
          <w:i/>
          <w:sz w:val="28"/>
          <w:szCs w:val="28"/>
        </w:rPr>
        <w:t>Section 1</w:t>
      </w:r>
      <w:r>
        <w:rPr>
          <w:rFonts w:ascii="Arial" w:hAnsi="Arial" w:cs="Arial"/>
          <w:b/>
          <w:i/>
          <w:sz w:val="28"/>
          <w:szCs w:val="28"/>
        </w:rPr>
        <w:t>7</w:t>
      </w:r>
      <w:r>
        <w:rPr>
          <w:rFonts w:ascii="Arial" w:hAnsi="Arial" w:cs="Arial"/>
          <w:b/>
          <w:i/>
          <w:sz w:val="28"/>
          <w:szCs w:val="28"/>
        </w:rPr>
        <w:tab/>
      </w:r>
      <w:r w:rsidRPr="00877AA6">
        <w:rPr>
          <w:rFonts w:ascii="Arial" w:hAnsi="Arial" w:cs="Arial"/>
          <w:b/>
          <w:i/>
          <w:sz w:val="28"/>
          <w:szCs w:val="28"/>
        </w:rPr>
        <w:t>Nomination of auditor</w:t>
      </w:r>
    </w:p>
    <w:p w:rsidR="00CC3131" w:rsidRDefault="00CC3131" w:rsidP="00CC3131">
      <w:pPr>
        <w:spacing w:after="0" w:line="240" w:lineRule="auto"/>
        <w:rPr>
          <w:rFonts w:ascii="Arial" w:hAnsi="Arial" w:cs="Arial"/>
        </w:rPr>
      </w:pPr>
      <w:r w:rsidRPr="00D727B0">
        <w:rPr>
          <w:rFonts w:ascii="Arial" w:hAnsi="Arial" w:cs="Arial"/>
        </w:rPr>
        <w:t xml:space="preserve">A QSP </w:t>
      </w:r>
      <w:r>
        <w:rPr>
          <w:rFonts w:ascii="Arial" w:hAnsi="Arial" w:cs="Arial"/>
        </w:rPr>
        <w:t xml:space="preserve">that has received an audit notice </w:t>
      </w:r>
      <w:r w:rsidRPr="00D727B0">
        <w:rPr>
          <w:rFonts w:ascii="Arial" w:hAnsi="Arial" w:cs="Arial"/>
        </w:rPr>
        <w:t>is required to</w:t>
      </w:r>
      <w:r>
        <w:rPr>
          <w:rFonts w:ascii="Arial" w:hAnsi="Arial" w:cs="Arial"/>
        </w:rPr>
        <w:t xml:space="preserve"> provide its choice of</w:t>
      </w:r>
      <w:r w:rsidRPr="00D727B0">
        <w:rPr>
          <w:rFonts w:ascii="Arial" w:hAnsi="Arial" w:cs="Arial"/>
        </w:rPr>
        <w:t xml:space="preserve"> auditor </w:t>
      </w:r>
      <w:r>
        <w:rPr>
          <w:rFonts w:ascii="Arial" w:hAnsi="Arial" w:cs="Arial"/>
        </w:rPr>
        <w:t xml:space="preserve">to the ACMA for approval.  </w:t>
      </w:r>
    </w:p>
    <w:p w:rsidR="00CC3131" w:rsidRDefault="00CC3131" w:rsidP="00CC3131">
      <w:pPr>
        <w:spacing w:after="0" w:line="240" w:lineRule="auto"/>
        <w:rPr>
          <w:rFonts w:ascii="Arial" w:hAnsi="Arial" w:cs="Arial"/>
        </w:rPr>
      </w:pPr>
    </w:p>
    <w:p w:rsidR="00CC3131" w:rsidRDefault="00CC3131" w:rsidP="00CC3131">
      <w:pPr>
        <w:spacing w:after="0" w:line="240" w:lineRule="auto"/>
        <w:rPr>
          <w:rFonts w:ascii="Arial" w:hAnsi="Arial" w:cs="Arial"/>
        </w:rPr>
      </w:pPr>
      <w:r w:rsidRPr="00D727B0">
        <w:rPr>
          <w:rFonts w:ascii="Arial" w:hAnsi="Arial" w:cs="Arial"/>
        </w:rPr>
        <w:t xml:space="preserve">The ACMA </w:t>
      </w:r>
      <w:r>
        <w:rPr>
          <w:rFonts w:ascii="Arial" w:hAnsi="Arial" w:cs="Arial"/>
        </w:rPr>
        <w:t>may require</w:t>
      </w:r>
      <w:r w:rsidRPr="00D727B0">
        <w:rPr>
          <w:rFonts w:ascii="Arial" w:hAnsi="Arial" w:cs="Arial"/>
        </w:rPr>
        <w:t xml:space="preserve"> the QSP </w:t>
      </w:r>
      <w:r>
        <w:rPr>
          <w:rFonts w:ascii="Arial" w:hAnsi="Arial" w:cs="Arial"/>
        </w:rPr>
        <w:t>to</w:t>
      </w:r>
      <w:r w:rsidRPr="00D727B0">
        <w:rPr>
          <w:rFonts w:ascii="Arial" w:hAnsi="Arial" w:cs="Arial"/>
        </w:rPr>
        <w:t xml:space="preserve"> choose another auditor </w:t>
      </w:r>
      <w:r>
        <w:rPr>
          <w:rFonts w:ascii="Arial" w:hAnsi="Arial" w:cs="Arial"/>
        </w:rPr>
        <w:t>and</w:t>
      </w:r>
      <w:r w:rsidRPr="00D727B0">
        <w:rPr>
          <w:rFonts w:ascii="Arial" w:hAnsi="Arial" w:cs="Arial"/>
        </w:rPr>
        <w:t xml:space="preserve"> </w:t>
      </w:r>
      <w:r>
        <w:rPr>
          <w:rFonts w:ascii="Arial" w:hAnsi="Arial" w:cs="Arial"/>
        </w:rPr>
        <w:t>i</w:t>
      </w:r>
      <w:r w:rsidRPr="00D727B0">
        <w:rPr>
          <w:rFonts w:ascii="Arial" w:hAnsi="Arial" w:cs="Arial"/>
        </w:rPr>
        <w:t>f the ACMA rejects the second choice, it may specify an auditor to conduct the audit</w:t>
      </w:r>
      <w:r>
        <w:rPr>
          <w:rFonts w:ascii="Arial" w:hAnsi="Arial" w:cs="Arial"/>
        </w:rPr>
        <w:t>, or require the QSP to choose an auditor from a specified group of auditors</w:t>
      </w:r>
      <w:r w:rsidRPr="00D727B0">
        <w:rPr>
          <w:rFonts w:ascii="Arial" w:hAnsi="Arial" w:cs="Arial"/>
        </w:rPr>
        <w:t xml:space="preserve">. </w:t>
      </w:r>
    </w:p>
    <w:p w:rsidR="00CC3131" w:rsidRDefault="00CC3131" w:rsidP="00CC3131">
      <w:pPr>
        <w:spacing w:after="0" w:line="240" w:lineRule="auto"/>
        <w:rPr>
          <w:rFonts w:ascii="Arial" w:hAnsi="Arial" w:cs="Arial"/>
        </w:rPr>
      </w:pPr>
    </w:p>
    <w:p w:rsidR="00CC3131" w:rsidRDefault="00CC3131" w:rsidP="00CC3131">
      <w:pPr>
        <w:spacing w:after="0" w:line="240" w:lineRule="auto"/>
        <w:rPr>
          <w:rFonts w:ascii="Arial" w:hAnsi="Arial" w:cs="Arial"/>
        </w:rPr>
      </w:pPr>
      <w:r w:rsidRPr="00D727B0">
        <w:rPr>
          <w:rFonts w:ascii="Arial" w:hAnsi="Arial" w:cs="Arial"/>
        </w:rPr>
        <w:t xml:space="preserve">This section </w:t>
      </w:r>
      <w:r>
        <w:rPr>
          <w:rFonts w:ascii="Arial" w:hAnsi="Arial" w:cs="Arial"/>
        </w:rPr>
        <w:t>specifies timescales for the above approval process and sets out the QSP’s obligation to take steps to ensure that the audit achieves its purpose.</w:t>
      </w:r>
    </w:p>
    <w:p w:rsidR="00CC3131" w:rsidRPr="00D727B0" w:rsidRDefault="00CC3131" w:rsidP="00CC3131">
      <w:pPr>
        <w:spacing w:after="0" w:line="240" w:lineRule="auto"/>
        <w:rPr>
          <w:rFonts w:ascii="Arial" w:hAnsi="Arial" w:cs="Arial"/>
        </w:rPr>
      </w:pPr>
    </w:p>
    <w:p w:rsidR="00CC3131" w:rsidRDefault="00CC3131" w:rsidP="00CC3131">
      <w:pPr>
        <w:tabs>
          <w:tab w:val="left" w:pos="1701"/>
        </w:tabs>
        <w:ind w:left="1701" w:hanging="1701"/>
        <w:rPr>
          <w:rFonts w:ascii="Arial" w:hAnsi="Arial" w:cs="Arial"/>
          <w:b/>
          <w:i/>
          <w:sz w:val="28"/>
          <w:szCs w:val="28"/>
        </w:rPr>
      </w:pPr>
      <w:r w:rsidRPr="00877AA6">
        <w:rPr>
          <w:rFonts w:ascii="Arial" w:hAnsi="Arial" w:cs="Arial"/>
          <w:b/>
          <w:i/>
          <w:sz w:val="28"/>
          <w:szCs w:val="28"/>
        </w:rPr>
        <w:t>Section 1</w:t>
      </w:r>
      <w:r>
        <w:rPr>
          <w:rFonts w:ascii="Arial" w:hAnsi="Arial" w:cs="Arial"/>
          <w:b/>
          <w:i/>
          <w:sz w:val="28"/>
          <w:szCs w:val="28"/>
        </w:rPr>
        <w:t>8</w:t>
      </w:r>
      <w:r>
        <w:rPr>
          <w:rFonts w:ascii="Arial" w:hAnsi="Arial" w:cs="Arial"/>
          <w:b/>
          <w:i/>
          <w:sz w:val="28"/>
          <w:szCs w:val="28"/>
        </w:rPr>
        <w:tab/>
      </w:r>
      <w:r w:rsidRPr="006E0B58">
        <w:rPr>
          <w:rFonts w:ascii="Arial" w:hAnsi="Arial" w:cs="Arial"/>
          <w:b/>
          <w:i/>
          <w:sz w:val="28"/>
          <w:szCs w:val="28"/>
        </w:rPr>
        <w:t>Requirement to provide audit report to the ACMA</w:t>
      </w:r>
    </w:p>
    <w:p w:rsidR="00CC3131" w:rsidRDefault="00CC3131" w:rsidP="00CC3131">
      <w:pPr>
        <w:spacing w:after="0" w:line="240" w:lineRule="auto"/>
        <w:rPr>
          <w:rFonts w:ascii="Arial" w:hAnsi="Arial" w:cs="Arial"/>
        </w:rPr>
      </w:pPr>
      <w:r>
        <w:rPr>
          <w:rFonts w:ascii="Arial" w:hAnsi="Arial" w:cs="Arial"/>
        </w:rPr>
        <w:t>Where a QSP has been audited, t</w:t>
      </w:r>
      <w:r w:rsidRPr="00D727B0">
        <w:rPr>
          <w:rFonts w:ascii="Arial" w:hAnsi="Arial" w:cs="Arial"/>
        </w:rPr>
        <w:t>he QSP is required to submit a copy of the audit report to the ACMA within 14 days of its receipt, unless a longer period is allowed by the ACMA.</w:t>
      </w:r>
    </w:p>
    <w:p w:rsidR="00CC3131" w:rsidRDefault="00CC3131" w:rsidP="00CC3131">
      <w:pPr>
        <w:spacing w:after="0" w:line="240" w:lineRule="auto"/>
        <w:rPr>
          <w:rFonts w:ascii="Arial" w:hAnsi="Arial" w:cs="Arial"/>
        </w:rPr>
      </w:pPr>
    </w:p>
    <w:p w:rsidR="00CC3131" w:rsidRDefault="00CC3131" w:rsidP="00CC3131">
      <w:pPr>
        <w:spacing w:after="0" w:line="240" w:lineRule="auto"/>
        <w:rPr>
          <w:rFonts w:ascii="Arial" w:hAnsi="Arial" w:cs="Arial"/>
        </w:rPr>
      </w:pPr>
      <w:r w:rsidRPr="00D727B0">
        <w:rPr>
          <w:rFonts w:ascii="Arial" w:hAnsi="Arial" w:cs="Arial"/>
        </w:rPr>
        <w:t xml:space="preserve">This section </w:t>
      </w:r>
      <w:r>
        <w:rPr>
          <w:rFonts w:ascii="Arial" w:hAnsi="Arial" w:cs="Arial"/>
        </w:rPr>
        <w:t xml:space="preserve">also </w:t>
      </w:r>
      <w:r w:rsidRPr="00D727B0">
        <w:rPr>
          <w:rFonts w:ascii="Arial" w:hAnsi="Arial" w:cs="Arial"/>
        </w:rPr>
        <w:t xml:space="preserve">sets out details of what the audit report must include. </w:t>
      </w:r>
    </w:p>
    <w:p w:rsidR="00CC3131" w:rsidRPr="00D727B0" w:rsidRDefault="00CC3131" w:rsidP="00CC3131">
      <w:pPr>
        <w:spacing w:after="0" w:line="240" w:lineRule="auto"/>
        <w:rPr>
          <w:rFonts w:ascii="Arial" w:hAnsi="Arial" w:cs="Arial"/>
        </w:rPr>
      </w:pPr>
    </w:p>
    <w:p w:rsidR="00CC3131" w:rsidRDefault="00CC3131" w:rsidP="00CC3131">
      <w:pPr>
        <w:rPr>
          <w:szCs w:val="28"/>
        </w:rPr>
      </w:pPr>
    </w:p>
    <w:p w:rsidR="00CC3131" w:rsidRDefault="00CC3131" w:rsidP="00CC3131">
      <w:pPr>
        <w:pStyle w:val="Heading3"/>
        <w:tabs>
          <w:tab w:val="left" w:pos="1620"/>
        </w:tabs>
        <w:spacing w:after="120"/>
        <w:ind w:left="1701" w:hanging="1701"/>
        <w:rPr>
          <w:rFonts w:ascii="Arial" w:hAnsi="Arial" w:cs="Arial"/>
          <w:b w:val="0"/>
          <w:sz w:val="28"/>
          <w:szCs w:val="28"/>
        </w:rPr>
      </w:pPr>
      <w:r w:rsidRPr="001B5C36">
        <w:rPr>
          <w:rFonts w:ascii="Arial" w:hAnsi="Arial" w:cs="Arial"/>
          <w:sz w:val="28"/>
          <w:szCs w:val="28"/>
        </w:rPr>
        <w:t xml:space="preserve">Schedule 1 – Information to be included in </w:t>
      </w:r>
      <w:r>
        <w:rPr>
          <w:rFonts w:ascii="Arial" w:hAnsi="Arial" w:cs="Arial"/>
          <w:sz w:val="28"/>
          <w:szCs w:val="28"/>
        </w:rPr>
        <w:t xml:space="preserve">a </w:t>
      </w:r>
      <w:r w:rsidRPr="001B5C36">
        <w:rPr>
          <w:rFonts w:ascii="Arial" w:hAnsi="Arial" w:cs="Arial"/>
          <w:sz w:val="28"/>
          <w:szCs w:val="28"/>
        </w:rPr>
        <w:t>compliance report</w:t>
      </w:r>
    </w:p>
    <w:p w:rsidR="00CC3131" w:rsidRPr="00876DA0" w:rsidRDefault="00CC3131" w:rsidP="00CC3131">
      <w:pPr>
        <w:rPr>
          <w:rFonts w:ascii="Arial" w:hAnsi="Arial" w:cs="Arial"/>
        </w:rPr>
      </w:pPr>
      <w:r w:rsidRPr="00876DA0">
        <w:rPr>
          <w:rFonts w:ascii="Arial" w:hAnsi="Arial" w:cs="Arial"/>
        </w:rPr>
        <w:t xml:space="preserve">Schedule 1 </w:t>
      </w:r>
      <w:proofErr w:type="gramStart"/>
      <w:r>
        <w:rPr>
          <w:rFonts w:ascii="Arial" w:hAnsi="Arial" w:cs="Arial"/>
        </w:rPr>
        <w:t>sets</w:t>
      </w:r>
      <w:proofErr w:type="gramEnd"/>
      <w:r>
        <w:rPr>
          <w:rFonts w:ascii="Arial" w:hAnsi="Arial" w:cs="Arial"/>
        </w:rPr>
        <w:t xml:space="preserve"> out </w:t>
      </w:r>
      <w:r w:rsidRPr="00876DA0">
        <w:rPr>
          <w:rFonts w:ascii="Arial" w:hAnsi="Arial" w:cs="Arial"/>
        </w:rPr>
        <w:t xml:space="preserve">the </w:t>
      </w:r>
      <w:r w:rsidRPr="00D727B0">
        <w:rPr>
          <w:rFonts w:ascii="Arial" w:hAnsi="Arial" w:cs="Arial"/>
        </w:rPr>
        <w:t>in</w:t>
      </w:r>
      <w:r>
        <w:rPr>
          <w:rFonts w:ascii="Arial" w:hAnsi="Arial" w:cs="Arial"/>
        </w:rPr>
        <w:t xml:space="preserve">formation to be included in a </w:t>
      </w:r>
      <w:r w:rsidRPr="00D727B0">
        <w:rPr>
          <w:rFonts w:ascii="Arial" w:hAnsi="Arial" w:cs="Arial"/>
        </w:rPr>
        <w:t>compliance report</w:t>
      </w:r>
      <w:r w:rsidRPr="00876DA0" w:rsidDel="00DC4E30">
        <w:rPr>
          <w:rFonts w:ascii="Arial" w:hAnsi="Arial" w:cs="Arial"/>
        </w:rPr>
        <w:t xml:space="preserve"> </w:t>
      </w:r>
      <w:r w:rsidRPr="00876DA0">
        <w:rPr>
          <w:rFonts w:ascii="Arial" w:hAnsi="Arial" w:cs="Arial"/>
        </w:rPr>
        <w:t xml:space="preserve">under </w:t>
      </w:r>
      <w:r>
        <w:rPr>
          <w:rFonts w:ascii="Arial" w:hAnsi="Arial" w:cs="Arial"/>
        </w:rPr>
        <w:t>section 13</w:t>
      </w:r>
      <w:r w:rsidRPr="00876DA0">
        <w:rPr>
          <w:rFonts w:ascii="Arial" w:hAnsi="Arial" w:cs="Arial"/>
        </w:rPr>
        <w:t>.</w:t>
      </w:r>
    </w:p>
    <w:p w:rsidR="00CC3131" w:rsidRPr="00876DA0" w:rsidRDefault="00CC3131" w:rsidP="00CC3131">
      <w:pPr>
        <w:rPr>
          <w:rFonts w:ascii="Arial" w:hAnsi="Arial" w:cs="Arial"/>
        </w:rPr>
      </w:pPr>
      <w:r w:rsidRPr="00876DA0">
        <w:rPr>
          <w:rFonts w:ascii="Arial" w:hAnsi="Arial" w:cs="Arial"/>
        </w:rPr>
        <w:t> </w:t>
      </w:r>
    </w:p>
    <w:p w:rsidR="00CC3131" w:rsidRDefault="00CC3131" w:rsidP="00CC3131">
      <w:pPr>
        <w:pStyle w:val="Heading3"/>
        <w:tabs>
          <w:tab w:val="left" w:pos="1620"/>
        </w:tabs>
        <w:spacing w:after="120"/>
        <w:ind w:left="1701" w:hanging="1701"/>
        <w:rPr>
          <w:rFonts w:ascii="Arial" w:hAnsi="Arial" w:cs="Arial"/>
          <w:b w:val="0"/>
          <w:sz w:val="28"/>
          <w:szCs w:val="28"/>
        </w:rPr>
      </w:pPr>
      <w:r w:rsidRPr="001B5C36">
        <w:rPr>
          <w:rFonts w:ascii="Arial" w:hAnsi="Arial" w:cs="Arial"/>
          <w:sz w:val="28"/>
          <w:szCs w:val="28"/>
        </w:rPr>
        <w:t>Schedule 2 – Form of compliance report</w:t>
      </w:r>
    </w:p>
    <w:p w:rsidR="00CC3131" w:rsidRPr="00876DA0" w:rsidRDefault="00CC3131" w:rsidP="00CC3131">
      <w:pPr>
        <w:rPr>
          <w:rFonts w:ascii="Arial" w:hAnsi="Arial" w:cs="Arial"/>
        </w:rPr>
      </w:pPr>
      <w:r w:rsidRPr="00876DA0">
        <w:rPr>
          <w:rFonts w:ascii="Arial" w:hAnsi="Arial" w:cs="Arial"/>
        </w:rPr>
        <w:t xml:space="preserve">This </w:t>
      </w:r>
      <w:r>
        <w:rPr>
          <w:rFonts w:ascii="Arial" w:hAnsi="Arial" w:cs="Arial"/>
        </w:rPr>
        <w:t>S</w:t>
      </w:r>
      <w:r w:rsidRPr="00876DA0">
        <w:rPr>
          <w:rFonts w:ascii="Arial" w:hAnsi="Arial" w:cs="Arial"/>
        </w:rPr>
        <w:t>chedule specifies the form</w:t>
      </w:r>
      <w:r>
        <w:rPr>
          <w:rFonts w:ascii="Arial" w:hAnsi="Arial" w:cs="Arial"/>
        </w:rPr>
        <w:t>at of the compliance report in tables and provides instructions for completion.</w:t>
      </w:r>
      <w:r w:rsidRPr="00876DA0">
        <w:rPr>
          <w:rFonts w:ascii="Arial" w:hAnsi="Arial" w:cs="Arial"/>
        </w:rPr>
        <w:t xml:space="preserve"> </w:t>
      </w:r>
    </w:p>
    <w:p w:rsidR="00CC3131" w:rsidRPr="00876DA0" w:rsidRDefault="00CC3131" w:rsidP="00CC3131">
      <w:pPr>
        <w:rPr>
          <w:rFonts w:ascii="Arial" w:hAnsi="Arial" w:cs="Arial"/>
        </w:rPr>
      </w:pPr>
    </w:p>
    <w:p w:rsidR="00876DA0" w:rsidRPr="00876DA0" w:rsidRDefault="00876DA0" w:rsidP="002C3E91">
      <w:pPr>
        <w:rPr>
          <w:rFonts w:ascii="Arial" w:hAnsi="Arial" w:cs="Arial"/>
        </w:rPr>
      </w:pPr>
    </w:p>
    <w:sectPr w:rsidR="00876DA0" w:rsidRPr="00876DA0" w:rsidSect="00C139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164" w:rsidRDefault="00034164" w:rsidP="00377860">
      <w:pPr>
        <w:spacing w:after="0" w:line="240" w:lineRule="auto"/>
      </w:pPr>
      <w:r>
        <w:separator/>
      </w:r>
    </w:p>
  </w:endnote>
  <w:endnote w:type="continuationSeparator" w:id="0">
    <w:p w:rsidR="00034164" w:rsidRDefault="00034164" w:rsidP="00377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164" w:rsidRDefault="00034164" w:rsidP="00377860">
      <w:pPr>
        <w:spacing w:after="0" w:line="240" w:lineRule="auto"/>
      </w:pPr>
      <w:r>
        <w:separator/>
      </w:r>
    </w:p>
  </w:footnote>
  <w:footnote w:type="continuationSeparator" w:id="0">
    <w:p w:rsidR="00034164" w:rsidRDefault="00034164" w:rsidP="00377860">
      <w:pPr>
        <w:spacing w:after="0" w:line="240" w:lineRule="auto"/>
      </w:pPr>
      <w:r>
        <w:continuationSeparator/>
      </w:r>
    </w:p>
  </w:footnote>
  <w:footnote w:id="1">
    <w:p w:rsidR="00034164" w:rsidRDefault="00034164" w:rsidP="00667BC6">
      <w:pPr>
        <w:pStyle w:val="FootnoteText"/>
      </w:pPr>
      <w:r>
        <w:rPr>
          <w:rStyle w:val="FootnoteReference"/>
        </w:rPr>
        <w:footnoteRef/>
      </w:r>
      <w:r>
        <w:t xml:space="preserve">  </w:t>
      </w:r>
      <w:r w:rsidRPr="00F12A7B">
        <w:rPr>
          <w:rFonts w:ascii="Arial" w:hAnsi="Arial" w:cs="Arial"/>
          <w:sz w:val="18"/>
          <w:szCs w:val="18"/>
        </w:rPr>
        <w:t xml:space="preserve">This is subject to </w:t>
      </w:r>
      <w:r>
        <w:rPr>
          <w:rFonts w:ascii="Arial" w:hAnsi="Arial" w:cs="Arial"/>
          <w:sz w:val="18"/>
          <w:szCs w:val="18"/>
        </w:rPr>
        <w:t xml:space="preserve">subsection </w:t>
      </w:r>
      <w:proofErr w:type="gramStart"/>
      <w:r>
        <w:rPr>
          <w:rFonts w:ascii="Arial" w:hAnsi="Arial" w:cs="Arial"/>
          <w:sz w:val="18"/>
          <w:szCs w:val="18"/>
        </w:rPr>
        <w:t>12EC(</w:t>
      </w:r>
      <w:proofErr w:type="gramEnd"/>
      <w:r>
        <w:rPr>
          <w:rFonts w:ascii="Arial" w:hAnsi="Arial" w:cs="Arial"/>
          <w:sz w:val="18"/>
          <w:szCs w:val="18"/>
        </w:rPr>
        <w:t>9) of the TCPSS Act</w:t>
      </w:r>
      <w:r w:rsidRPr="00F12A7B">
        <w:rPr>
          <w:rFonts w:ascii="Arial" w:hAnsi="Arial" w:cs="Arial"/>
          <w:sz w:val="18"/>
          <w:szCs w:val="18"/>
        </w:rPr>
        <w:t xml:space="preserve"> being </w:t>
      </w:r>
      <w:r>
        <w:rPr>
          <w:rFonts w:ascii="Arial" w:hAnsi="Arial" w:cs="Arial"/>
          <w:sz w:val="18"/>
          <w:szCs w:val="18"/>
        </w:rPr>
        <w:t xml:space="preserve">declared </w:t>
      </w:r>
      <w:r w:rsidRPr="00F12A7B">
        <w:rPr>
          <w:rFonts w:ascii="Arial" w:hAnsi="Arial" w:cs="Arial"/>
          <w:sz w:val="18"/>
          <w:szCs w:val="18"/>
        </w:rPr>
        <w:t>a listed infringement notice provision by the ACMA for the purposes of subsection 572E(7) of the Act.</w:t>
      </w:r>
    </w:p>
  </w:footnote>
  <w:footnote w:id="2">
    <w:p w:rsidR="00034164" w:rsidRPr="00E27B11" w:rsidRDefault="00034164" w:rsidP="00E27B11">
      <w:pPr>
        <w:pStyle w:val="FootnoteText"/>
        <w:rPr>
          <w:rFonts w:ascii="Arial" w:hAnsi="Arial" w:cs="Arial"/>
          <w:sz w:val="18"/>
          <w:szCs w:val="18"/>
        </w:rPr>
      </w:pPr>
      <w:r w:rsidRPr="00E27B11">
        <w:rPr>
          <w:rStyle w:val="FootnoteReference"/>
          <w:rFonts w:ascii="Arial" w:hAnsi="Arial" w:cs="Arial"/>
          <w:sz w:val="18"/>
          <w:szCs w:val="18"/>
        </w:rPr>
        <w:footnoteRef/>
      </w:r>
      <w:r w:rsidRPr="00E27B11">
        <w:rPr>
          <w:rFonts w:ascii="Arial" w:hAnsi="Arial" w:cs="Arial"/>
          <w:sz w:val="18"/>
          <w:szCs w:val="18"/>
        </w:rPr>
        <w:t xml:space="preserve"> Section 4 of the </w:t>
      </w:r>
      <w:r w:rsidRPr="00E27B11">
        <w:rPr>
          <w:rFonts w:ascii="Arial" w:hAnsi="Arial" w:cs="Arial"/>
          <w:i/>
          <w:sz w:val="18"/>
          <w:szCs w:val="18"/>
        </w:rPr>
        <w:t>Telecommunications (Customer Service Guarantee – Retail Performance Benchmarks) Instrument (No. 1) 2011</w:t>
      </w:r>
      <w:r w:rsidR="004752A1">
        <w:rPr>
          <w:rFonts w:ascii="Arial" w:hAnsi="Arial" w:cs="Arial"/>
          <w:i/>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34C"/>
    <w:multiLevelType w:val="hybridMultilevel"/>
    <w:tmpl w:val="4E3E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D6A542A"/>
    <w:multiLevelType w:val="hybridMultilevel"/>
    <w:tmpl w:val="0A24740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nsid w:val="0D831CB6"/>
    <w:multiLevelType w:val="hybridMultilevel"/>
    <w:tmpl w:val="506E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315062"/>
    <w:multiLevelType w:val="hybridMultilevel"/>
    <w:tmpl w:val="B9240A6E"/>
    <w:lvl w:ilvl="0" w:tplc="90D6CF6E">
      <w:start w:val="1"/>
      <w:numFmt w:val="decimal"/>
      <w:lvlText w:val="%1."/>
      <w:lvlJc w:val="left"/>
      <w:pPr>
        <w:ind w:left="502"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E13DE4"/>
    <w:multiLevelType w:val="hybridMultilevel"/>
    <w:tmpl w:val="4336B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B3431E"/>
    <w:multiLevelType w:val="hybridMultilevel"/>
    <w:tmpl w:val="202C8CEA"/>
    <w:lvl w:ilvl="0" w:tplc="5DB66C3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B66EDA"/>
    <w:multiLevelType w:val="hybridMultilevel"/>
    <w:tmpl w:val="53B81D54"/>
    <w:lvl w:ilvl="0" w:tplc="D2129882">
      <w:numFmt w:val="bullet"/>
      <w:lvlText w:val="-"/>
      <w:lvlJc w:val="left"/>
      <w:pPr>
        <w:ind w:left="720" w:hanging="360"/>
      </w:pPr>
      <w:rPr>
        <w:rFonts w:ascii="Calibri" w:eastAsia="Calibri" w:hAnsi="Calibri" w:cs="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39D673BD"/>
    <w:multiLevelType w:val="hybridMultilevel"/>
    <w:tmpl w:val="E3527554"/>
    <w:lvl w:ilvl="0" w:tplc="B4DE576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3C821460"/>
    <w:multiLevelType w:val="hybridMultilevel"/>
    <w:tmpl w:val="D9D66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D321A1"/>
    <w:multiLevelType w:val="hybridMultilevel"/>
    <w:tmpl w:val="8A8A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0E15F6"/>
    <w:multiLevelType w:val="hybridMultilevel"/>
    <w:tmpl w:val="6F3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DD2EF5"/>
    <w:multiLevelType w:val="singleLevel"/>
    <w:tmpl w:val="F624684A"/>
    <w:lvl w:ilvl="0">
      <w:start w:val="1"/>
      <w:numFmt w:val="decimal"/>
      <w:lvlText w:val="%1"/>
      <w:legacy w:legacy="1" w:legacySpace="0" w:legacyIndent="360"/>
      <w:lvlJc w:val="left"/>
      <w:rPr>
        <w:rFonts w:ascii="Arial" w:hAnsi="Arial" w:cs="Times New Roman" w:hint="default"/>
        <w:b w:val="0"/>
      </w:rPr>
    </w:lvl>
  </w:abstractNum>
  <w:abstractNum w:abstractNumId="12">
    <w:nsid w:val="5B510206"/>
    <w:multiLevelType w:val="hybridMultilevel"/>
    <w:tmpl w:val="B3D2204A"/>
    <w:lvl w:ilvl="0" w:tplc="0C090001">
      <w:start w:val="1"/>
      <w:numFmt w:val="lowerLetter"/>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
    <w:nsid w:val="61221FC7"/>
    <w:multiLevelType w:val="hybridMultilevel"/>
    <w:tmpl w:val="B544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FC187F"/>
    <w:multiLevelType w:val="hybridMultilevel"/>
    <w:tmpl w:val="D4AA1DE0"/>
    <w:lvl w:ilvl="0" w:tplc="0C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5">
    <w:nsid w:val="633B2302"/>
    <w:multiLevelType w:val="hybridMultilevel"/>
    <w:tmpl w:val="F9865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5C0441C"/>
    <w:multiLevelType w:val="hybridMultilevel"/>
    <w:tmpl w:val="4F76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E40B78"/>
    <w:multiLevelType w:val="hybridMultilevel"/>
    <w:tmpl w:val="7A86F208"/>
    <w:lvl w:ilvl="0" w:tplc="363E3F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1F33FF4"/>
    <w:multiLevelType w:val="hybridMultilevel"/>
    <w:tmpl w:val="78D6140E"/>
    <w:lvl w:ilvl="0" w:tplc="0C090001">
      <w:start w:val="1"/>
      <w:numFmt w:val="bullet"/>
      <w:lvlText w:val=""/>
      <w:lvlJc w:val="left"/>
      <w:pPr>
        <w:tabs>
          <w:tab w:val="num" w:pos="900"/>
        </w:tabs>
        <w:ind w:left="900" w:hanging="360"/>
      </w:pPr>
      <w:rPr>
        <w:rFonts w:ascii="Symbol" w:hAnsi="Symbol" w:hint="default"/>
        <w:b w:val="0"/>
      </w:rPr>
    </w:lvl>
    <w:lvl w:ilvl="1" w:tplc="8B54880C">
      <w:start w:val="6"/>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752C7D2E"/>
    <w:multiLevelType w:val="hybridMultilevel"/>
    <w:tmpl w:val="57EC9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95B778C"/>
    <w:multiLevelType w:val="hybridMultilevel"/>
    <w:tmpl w:val="F6DE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0"/>
  </w:num>
  <w:num w:numId="4">
    <w:abstractNumId w:val="1"/>
  </w:num>
  <w:num w:numId="5">
    <w:abstractNumId w:val="9"/>
  </w:num>
  <w:num w:numId="6">
    <w:abstractNumId w:val="19"/>
  </w:num>
  <w:num w:numId="7">
    <w:abstractNumId w:val="14"/>
  </w:num>
  <w:num w:numId="8">
    <w:abstractNumId w:val="0"/>
  </w:num>
  <w:num w:numId="9">
    <w:abstractNumId w:val="4"/>
  </w:num>
  <w:num w:numId="10">
    <w:abstractNumId w:val="18"/>
  </w:num>
  <w:num w:numId="11">
    <w:abstractNumId w:val="11"/>
  </w:num>
  <w:num w:numId="12">
    <w:abstractNumId w:val="13"/>
  </w:num>
  <w:num w:numId="13">
    <w:abstractNumId w:val="5"/>
  </w:num>
  <w:num w:numId="14">
    <w:abstractNumId w:val="10"/>
  </w:num>
  <w:num w:numId="15">
    <w:abstractNumId w:val="3"/>
  </w:num>
  <w:num w:numId="16">
    <w:abstractNumId w:val="8"/>
  </w:num>
  <w:num w:numId="17">
    <w:abstractNumId w:val="17"/>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revisionView w:markup="0"/>
  <w:doNotTrackMoves/>
  <w:defaultTabStop w:val="720"/>
  <w:characterSpacingControl w:val="doNotCompress"/>
  <w:hdrShapeDefaults>
    <o:shapedefaults v:ext="edit" spidmax="276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BD1C3868-CA78-487C-BFDC-EDA2B9DB2B63}"/>
    <w:docVar w:name="dgnword-eventsink" w:val="320677240"/>
  </w:docVars>
  <w:rsids>
    <w:rsidRoot w:val="00377DBC"/>
    <w:rsid w:val="00003A45"/>
    <w:rsid w:val="000056CC"/>
    <w:rsid w:val="00015DFC"/>
    <w:rsid w:val="0002068D"/>
    <w:rsid w:val="0002216F"/>
    <w:rsid w:val="000337D8"/>
    <w:rsid w:val="00034164"/>
    <w:rsid w:val="00042072"/>
    <w:rsid w:val="00057D6F"/>
    <w:rsid w:val="00060008"/>
    <w:rsid w:val="00062BD0"/>
    <w:rsid w:val="00064E76"/>
    <w:rsid w:val="000659B2"/>
    <w:rsid w:val="000669D9"/>
    <w:rsid w:val="00070AC4"/>
    <w:rsid w:val="0007166D"/>
    <w:rsid w:val="00082924"/>
    <w:rsid w:val="00084AA1"/>
    <w:rsid w:val="00084B79"/>
    <w:rsid w:val="00085508"/>
    <w:rsid w:val="00090635"/>
    <w:rsid w:val="00091A33"/>
    <w:rsid w:val="00095101"/>
    <w:rsid w:val="000970D3"/>
    <w:rsid w:val="000B311B"/>
    <w:rsid w:val="000B5204"/>
    <w:rsid w:val="000C2EF7"/>
    <w:rsid w:val="000D041A"/>
    <w:rsid w:val="000D1EBA"/>
    <w:rsid w:val="000D2D0D"/>
    <w:rsid w:val="000D7B0F"/>
    <w:rsid w:val="000E1FB9"/>
    <w:rsid w:val="000E4A73"/>
    <w:rsid w:val="000E51D7"/>
    <w:rsid w:val="000F090E"/>
    <w:rsid w:val="000F4E98"/>
    <w:rsid w:val="001110DE"/>
    <w:rsid w:val="00117F33"/>
    <w:rsid w:val="001354A8"/>
    <w:rsid w:val="00143093"/>
    <w:rsid w:val="0014662C"/>
    <w:rsid w:val="00154109"/>
    <w:rsid w:val="001602FF"/>
    <w:rsid w:val="00164ECB"/>
    <w:rsid w:val="00165BBF"/>
    <w:rsid w:val="00165E4B"/>
    <w:rsid w:val="001726FA"/>
    <w:rsid w:val="001775F9"/>
    <w:rsid w:val="00181BEB"/>
    <w:rsid w:val="001873E5"/>
    <w:rsid w:val="00190D1C"/>
    <w:rsid w:val="00192D94"/>
    <w:rsid w:val="00195DB1"/>
    <w:rsid w:val="001A1CC5"/>
    <w:rsid w:val="001A4CE9"/>
    <w:rsid w:val="001A5A59"/>
    <w:rsid w:val="001A7A49"/>
    <w:rsid w:val="001B35B1"/>
    <w:rsid w:val="001B685C"/>
    <w:rsid w:val="001B7BF9"/>
    <w:rsid w:val="001C191E"/>
    <w:rsid w:val="001C2953"/>
    <w:rsid w:val="001C6BDB"/>
    <w:rsid w:val="001D5AE9"/>
    <w:rsid w:val="001D699F"/>
    <w:rsid w:val="001E170B"/>
    <w:rsid w:val="001E6F17"/>
    <w:rsid w:val="001F31ED"/>
    <w:rsid w:val="00204D5E"/>
    <w:rsid w:val="0022102B"/>
    <w:rsid w:val="0023064E"/>
    <w:rsid w:val="00231A67"/>
    <w:rsid w:val="0023637C"/>
    <w:rsid w:val="002421ED"/>
    <w:rsid w:val="0024747C"/>
    <w:rsid w:val="00256692"/>
    <w:rsid w:val="00264CBF"/>
    <w:rsid w:val="00265F67"/>
    <w:rsid w:val="0026655F"/>
    <w:rsid w:val="002732D8"/>
    <w:rsid w:val="00276507"/>
    <w:rsid w:val="00282DBB"/>
    <w:rsid w:val="00283606"/>
    <w:rsid w:val="002849D4"/>
    <w:rsid w:val="00287154"/>
    <w:rsid w:val="002947F9"/>
    <w:rsid w:val="00295771"/>
    <w:rsid w:val="002B0576"/>
    <w:rsid w:val="002B3AF8"/>
    <w:rsid w:val="002C3E91"/>
    <w:rsid w:val="002D002E"/>
    <w:rsid w:val="002D0831"/>
    <w:rsid w:val="002D22AC"/>
    <w:rsid w:val="002D74DF"/>
    <w:rsid w:val="002E61A4"/>
    <w:rsid w:val="002F3382"/>
    <w:rsid w:val="002F4664"/>
    <w:rsid w:val="002F7EBF"/>
    <w:rsid w:val="003047F0"/>
    <w:rsid w:val="00304B6C"/>
    <w:rsid w:val="00305092"/>
    <w:rsid w:val="0030626E"/>
    <w:rsid w:val="003073F7"/>
    <w:rsid w:val="00335C08"/>
    <w:rsid w:val="0035017B"/>
    <w:rsid w:val="0036023C"/>
    <w:rsid w:val="0036438A"/>
    <w:rsid w:val="00377455"/>
    <w:rsid w:val="00377860"/>
    <w:rsid w:val="00377DBC"/>
    <w:rsid w:val="00382AB8"/>
    <w:rsid w:val="00385095"/>
    <w:rsid w:val="00385DB8"/>
    <w:rsid w:val="003939B4"/>
    <w:rsid w:val="003A4247"/>
    <w:rsid w:val="003B0E3E"/>
    <w:rsid w:val="003B5292"/>
    <w:rsid w:val="003B7418"/>
    <w:rsid w:val="003B7B6B"/>
    <w:rsid w:val="003C27CC"/>
    <w:rsid w:val="003C77AA"/>
    <w:rsid w:val="003D429C"/>
    <w:rsid w:val="003D6EC1"/>
    <w:rsid w:val="003D740B"/>
    <w:rsid w:val="003D7C51"/>
    <w:rsid w:val="003F2438"/>
    <w:rsid w:val="003F2943"/>
    <w:rsid w:val="004066C1"/>
    <w:rsid w:val="004074EA"/>
    <w:rsid w:val="00412FDF"/>
    <w:rsid w:val="004159BA"/>
    <w:rsid w:val="0042082A"/>
    <w:rsid w:val="0042624B"/>
    <w:rsid w:val="00430F28"/>
    <w:rsid w:val="00433877"/>
    <w:rsid w:val="004462A1"/>
    <w:rsid w:val="00446BA8"/>
    <w:rsid w:val="00452EC4"/>
    <w:rsid w:val="004571C1"/>
    <w:rsid w:val="00463BC2"/>
    <w:rsid w:val="0047432F"/>
    <w:rsid w:val="004752A1"/>
    <w:rsid w:val="004769D6"/>
    <w:rsid w:val="004931E6"/>
    <w:rsid w:val="00494A58"/>
    <w:rsid w:val="004954BD"/>
    <w:rsid w:val="004A2410"/>
    <w:rsid w:val="004A279C"/>
    <w:rsid w:val="004A39BB"/>
    <w:rsid w:val="004B192C"/>
    <w:rsid w:val="004B5122"/>
    <w:rsid w:val="004B68D6"/>
    <w:rsid w:val="004B72EC"/>
    <w:rsid w:val="004B7F4D"/>
    <w:rsid w:val="004C2D36"/>
    <w:rsid w:val="004C6C41"/>
    <w:rsid w:val="004C7222"/>
    <w:rsid w:val="004D0C31"/>
    <w:rsid w:val="004D4BA3"/>
    <w:rsid w:val="004F31AB"/>
    <w:rsid w:val="004F70ED"/>
    <w:rsid w:val="0050685C"/>
    <w:rsid w:val="00507BC5"/>
    <w:rsid w:val="00511BDA"/>
    <w:rsid w:val="00514D03"/>
    <w:rsid w:val="0051620F"/>
    <w:rsid w:val="00530632"/>
    <w:rsid w:val="00531849"/>
    <w:rsid w:val="00542FF7"/>
    <w:rsid w:val="00550034"/>
    <w:rsid w:val="0055302F"/>
    <w:rsid w:val="005615E2"/>
    <w:rsid w:val="00576509"/>
    <w:rsid w:val="005807E0"/>
    <w:rsid w:val="00580F8D"/>
    <w:rsid w:val="0058219A"/>
    <w:rsid w:val="0059053E"/>
    <w:rsid w:val="0059360C"/>
    <w:rsid w:val="005A1C3E"/>
    <w:rsid w:val="005B2C3D"/>
    <w:rsid w:val="005C1261"/>
    <w:rsid w:val="005C2DCB"/>
    <w:rsid w:val="005C7268"/>
    <w:rsid w:val="005C7408"/>
    <w:rsid w:val="005D0BAF"/>
    <w:rsid w:val="005D7743"/>
    <w:rsid w:val="005E3854"/>
    <w:rsid w:val="005E4619"/>
    <w:rsid w:val="005E7225"/>
    <w:rsid w:val="005F04EC"/>
    <w:rsid w:val="005F4F9C"/>
    <w:rsid w:val="00600F49"/>
    <w:rsid w:val="00601CDA"/>
    <w:rsid w:val="00604615"/>
    <w:rsid w:val="00604BAF"/>
    <w:rsid w:val="00605934"/>
    <w:rsid w:val="00606EDE"/>
    <w:rsid w:val="0061495E"/>
    <w:rsid w:val="00626485"/>
    <w:rsid w:val="00634ADD"/>
    <w:rsid w:val="006350D3"/>
    <w:rsid w:val="0063746D"/>
    <w:rsid w:val="006438F8"/>
    <w:rsid w:val="0064466C"/>
    <w:rsid w:val="00644A36"/>
    <w:rsid w:val="00647737"/>
    <w:rsid w:val="00652C82"/>
    <w:rsid w:val="00653E07"/>
    <w:rsid w:val="006602A1"/>
    <w:rsid w:val="00664616"/>
    <w:rsid w:val="00665C0A"/>
    <w:rsid w:val="00667BC6"/>
    <w:rsid w:val="006763FF"/>
    <w:rsid w:val="00676FD8"/>
    <w:rsid w:val="00680C97"/>
    <w:rsid w:val="00682824"/>
    <w:rsid w:val="00684046"/>
    <w:rsid w:val="00691545"/>
    <w:rsid w:val="00693869"/>
    <w:rsid w:val="006B393C"/>
    <w:rsid w:val="006B5712"/>
    <w:rsid w:val="006B637F"/>
    <w:rsid w:val="006B7E33"/>
    <w:rsid w:val="006C1BAD"/>
    <w:rsid w:val="006C318D"/>
    <w:rsid w:val="006C55C5"/>
    <w:rsid w:val="006D0534"/>
    <w:rsid w:val="006D0E6D"/>
    <w:rsid w:val="006D49B1"/>
    <w:rsid w:val="006D6B54"/>
    <w:rsid w:val="006E0B58"/>
    <w:rsid w:val="006E4D6E"/>
    <w:rsid w:val="006E51EC"/>
    <w:rsid w:val="006F289B"/>
    <w:rsid w:val="006F5720"/>
    <w:rsid w:val="006F5FF7"/>
    <w:rsid w:val="006F7E37"/>
    <w:rsid w:val="007014D8"/>
    <w:rsid w:val="0070155E"/>
    <w:rsid w:val="00713870"/>
    <w:rsid w:val="00716B79"/>
    <w:rsid w:val="00723E9D"/>
    <w:rsid w:val="00724BC6"/>
    <w:rsid w:val="00727CF3"/>
    <w:rsid w:val="00732471"/>
    <w:rsid w:val="00747B9F"/>
    <w:rsid w:val="0075112D"/>
    <w:rsid w:val="00755633"/>
    <w:rsid w:val="007562C8"/>
    <w:rsid w:val="00761606"/>
    <w:rsid w:val="0076369D"/>
    <w:rsid w:val="00782412"/>
    <w:rsid w:val="0078370B"/>
    <w:rsid w:val="00784880"/>
    <w:rsid w:val="00785FB2"/>
    <w:rsid w:val="00787A2E"/>
    <w:rsid w:val="00787D3D"/>
    <w:rsid w:val="00791983"/>
    <w:rsid w:val="00791EDE"/>
    <w:rsid w:val="0079278A"/>
    <w:rsid w:val="00794D6D"/>
    <w:rsid w:val="007A1977"/>
    <w:rsid w:val="007B459B"/>
    <w:rsid w:val="007B5A3A"/>
    <w:rsid w:val="007B7220"/>
    <w:rsid w:val="007C119D"/>
    <w:rsid w:val="007C437D"/>
    <w:rsid w:val="007C6705"/>
    <w:rsid w:val="007D7174"/>
    <w:rsid w:val="00811F3B"/>
    <w:rsid w:val="00811F9E"/>
    <w:rsid w:val="00812075"/>
    <w:rsid w:val="008168CB"/>
    <w:rsid w:val="00816E34"/>
    <w:rsid w:val="00825809"/>
    <w:rsid w:val="008262E7"/>
    <w:rsid w:val="00827618"/>
    <w:rsid w:val="0083036F"/>
    <w:rsid w:val="008430EC"/>
    <w:rsid w:val="0084363A"/>
    <w:rsid w:val="00844ABB"/>
    <w:rsid w:val="00852275"/>
    <w:rsid w:val="00876BAD"/>
    <w:rsid w:val="00876DA0"/>
    <w:rsid w:val="00877AA6"/>
    <w:rsid w:val="00881AB6"/>
    <w:rsid w:val="008835F0"/>
    <w:rsid w:val="00885691"/>
    <w:rsid w:val="00890849"/>
    <w:rsid w:val="008A5054"/>
    <w:rsid w:val="008A63E1"/>
    <w:rsid w:val="008B05FD"/>
    <w:rsid w:val="008B07F9"/>
    <w:rsid w:val="008B14EE"/>
    <w:rsid w:val="008C7766"/>
    <w:rsid w:val="008D0AA2"/>
    <w:rsid w:val="008D18E1"/>
    <w:rsid w:val="008D4F08"/>
    <w:rsid w:val="008D6613"/>
    <w:rsid w:val="008E29A9"/>
    <w:rsid w:val="008F15B4"/>
    <w:rsid w:val="008F24C4"/>
    <w:rsid w:val="008F678C"/>
    <w:rsid w:val="008F7DBD"/>
    <w:rsid w:val="009004E0"/>
    <w:rsid w:val="00901795"/>
    <w:rsid w:val="00902B6E"/>
    <w:rsid w:val="00911F77"/>
    <w:rsid w:val="009127BD"/>
    <w:rsid w:val="00924324"/>
    <w:rsid w:val="009244EC"/>
    <w:rsid w:val="009245A6"/>
    <w:rsid w:val="00934887"/>
    <w:rsid w:val="009408E2"/>
    <w:rsid w:val="00940B62"/>
    <w:rsid w:val="009467C5"/>
    <w:rsid w:val="00951B2A"/>
    <w:rsid w:val="0095510E"/>
    <w:rsid w:val="00956D94"/>
    <w:rsid w:val="00960048"/>
    <w:rsid w:val="009611CA"/>
    <w:rsid w:val="009619A5"/>
    <w:rsid w:val="00964BB8"/>
    <w:rsid w:val="00967C44"/>
    <w:rsid w:val="00972708"/>
    <w:rsid w:val="009770BB"/>
    <w:rsid w:val="00980F85"/>
    <w:rsid w:val="009836D8"/>
    <w:rsid w:val="00986418"/>
    <w:rsid w:val="009910A4"/>
    <w:rsid w:val="009932A2"/>
    <w:rsid w:val="00997036"/>
    <w:rsid w:val="009A1E8A"/>
    <w:rsid w:val="009A20BF"/>
    <w:rsid w:val="009A2434"/>
    <w:rsid w:val="009A2F3E"/>
    <w:rsid w:val="009A5392"/>
    <w:rsid w:val="009B5991"/>
    <w:rsid w:val="009B68AC"/>
    <w:rsid w:val="009B7EC3"/>
    <w:rsid w:val="009C26F8"/>
    <w:rsid w:val="009C5787"/>
    <w:rsid w:val="009C7795"/>
    <w:rsid w:val="009D40B6"/>
    <w:rsid w:val="009E0171"/>
    <w:rsid w:val="009E0266"/>
    <w:rsid w:val="009E5D67"/>
    <w:rsid w:val="009E7A7E"/>
    <w:rsid w:val="009E7D17"/>
    <w:rsid w:val="009F654D"/>
    <w:rsid w:val="009F762E"/>
    <w:rsid w:val="00A01D65"/>
    <w:rsid w:val="00A03419"/>
    <w:rsid w:val="00A12696"/>
    <w:rsid w:val="00A12C87"/>
    <w:rsid w:val="00A32D8D"/>
    <w:rsid w:val="00A45E6A"/>
    <w:rsid w:val="00A51D42"/>
    <w:rsid w:val="00A55D32"/>
    <w:rsid w:val="00A55EE5"/>
    <w:rsid w:val="00A57666"/>
    <w:rsid w:val="00A73C36"/>
    <w:rsid w:val="00A764E2"/>
    <w:rsid w:val="00A87E9E"/>
    <w:rsid w:val="00A9216D"/>
    <w:rsid w:val="00A93533"/>
    <w:rsid w:val="00A9526F"/>
    <w:rsid w:val="00AB5D92"/>
    <w:rsid w:val="00AC0996"/>
    <w:rsid w:val="00AC60E2"/>
    <w:rsid w:val="00AD38A1"/>
    <w:rsid w:val="00AD4EED"/>
    <w:rsid w:val="00AF4BE1"/>
    <w:rsid w:val="00B02C5C"/>
    <w:rsid w:val="00B12315"/>
    <w:rsid w:val="00B151C7"/>
    <w:rsid w:val="00B1683F"/>
    <w:rsid w:val="00B2267C"/>
    <w:rsid w:val="00B30F23"/>
    <w:rsid w:val="00B31EAA"/>
    <w:rsid w:val="00B36DBD"/>
    <w:rsid w:val="00B4103E"/>
    <w:rsid w:val="00B44319"/>
    <w:rsid w:val="00B6659A"/>
    <w:rsid w:val="00B70ED9"/>
    <w:rsid w:val="00B71903"/>
    <w:rsid w:val="00B72FE4"/>
    <w:rsid w:val="00B922E4"/>
    <w:rsid w:val="00B92E82"/>
    <w:rsid w:val="00B96617"/>
    <w:rsid w:val="00B97C88"/>
    <w:rsid w:val="00BA3778"/>
    <w:rsid w:val="00BA779C"/>
    <w:rsid w:val="00BB0D8C"/>
    <w:rsid w:val="00BB353D"/>
    <w:rsid w:val="00BB4F01"/>
    <w:rsid w:val="00BB77DE"/>
    <w:rsid w:val="00BC155E"/>
    <w:rsid w:val="00BC365F"/>
    <w:rsid w:val="00BC5FC0"/>
    <w:rsid w:val="00BC62F8"/>
    <w:rsid w:val="00BD1840"/>
    <w:rsid w:val="00BD1F9E"/>
    <w:rsid w:val="00BD355C"/>
    <w:rsid w:val="00BF0A0C"/>
    <w:rsid w:val="00C02826"/>
    <w:rsid w:val="00C07F98"/>
    <w:rsid w:val="00C07F99"/>
    <w:rsid w:val="00C121E2"/>
    <w:rsid w:val="00C13924"/>
    <w:rsid w:val="00C16BDA"/>
    <w:rsid w:val="00C274D0"/>
    <w:rsid w:val="00C27C0E"/>
    <w:rsid w:val="00C32AF0"/>
    <w:rsid w:val="00C32EEC"/>
    <w:rsid w:val="00C4169B"/>
    <w:rsid w:val="00C471AE"/>
    <w:rsid w:val="00C52FC8"/>
    <w:rsid w:val="00C561AD"/>
    <w:rsid w:val="00C707BD"/>
    <w:rsid w:val="00C71085"/>
    <w:rsid w:val="00C72462"/>
    <w:rsid w:val="00C75842"/>
    <w:rsid w:val="00C76D95"/>
    <w:rsid w:val="00C916F6"/>
    <w:rsid w:val="00C970A0"/>
    <w:rsid w:val="00C97A52"/>
    <w:rsid w:val="00CA0D92"/>
    <w:rsid w:val="00CA6FFF"/>
    <w:rsid w:val="00CB0336"/>
    <w:rsid w:val="00CB7D23"/>
    <w:rsid w:val="00CC3131"/>
    <w:rsid w:val="00CD117E"/>
    <w:rsid w:val="00CD1D54"/>
    <w:rsid w:val="00CF4585"/>
    <w:rsid w:val="00D013E4"/>
    <w:rsid w:val="00D0277A"/>
    <w:rsid w:val="00D032C4"/>
    <w:rsid w:val="00D10E23"/>
    <w:rsid w:val="00D11640"/>
    <w:rsid w:val="00D14193"/>
    <w:rsid w:val="00D20A2F"/>
    <w:rsid w:val="00D25B7A"/>
    <w:rsid w:val="00D3630D"/>
    <w:rsid w:val="00D37AB4"/>
    <w:rsid w:val="00D4265E"/>
    <w:rsid w:val="00D42E53"/>
    <w:rsid w:val="00D43175"/>
    <w:rsid w:val="00D44071"/>
    <w:rsid w:val="00D46674"/>
    <w:rsid w:val="00D47214"/>
    <w:rsid w:val="00D50CC1"/>
    <w:rsid w:val="00D543DC"/>
    <w:rsid w:val="00D727B0"/>
    <w:rsid w:val="00D85378"/>
    <w:rsid w:val="00D9071E"/>
    <w:rsid w:val="00D956CE"/>
    <w:rsid w:val="00D966E7"/>
    <w:rsid w:val="00DA1C6C"/>
    <w:rsid w:val="00DB4130"/>
    <w:rsid w:val="00DB4969"/>
    <w:rsid w:val="00DB60D2"/>
    <w:rsid w:val="00DC06DB"/>
    <w:rsid w:val="00DD46F0"/>
    <w:rsid w:val="00DE165C"/>
    <w:rsid w:val="00DF0B2B"/>
    <w:rsid w:val="00DF0DBC"/>
    <w:rsid w:val="00DF6C76"/>
    <w:rsid w:val="00E00E39"/>
    <w:rsid w:val="00E02F90"/>
    <w:rsid w:val="00E0742A"/>
    <w:rsid w:val="00E12DBC"/>
    <w:rsid w:val="00E15588"/>
    <w:rsid w:val="00E173BF"/>
    <w:rsid w:val="00E20843"/>
    <w:rsid w:val="00E25277"/>
    <w:rsid w:val="00E27B11"/>
    <w:rsid w:val="00E33C1E"/>
    <w:rsid w:val="00E40028"/>
    <w:rsid w:val="00E446A8"/>
    <w:rsid w:val="00E473E2"/>
    <w:rsid w:val="00E54EE6"/>
    <w:rsid w:val="00E57250"/>
    <w:rsid w:val="00E61437"/>
    <w:rsid w:val="00E7164A"/>
    <w:rsid w:val="00E82E13"/>
    <w:rsid w:val="00E85274"/>
    <w:rsid w:val="00E86BC1"/>
    <w:rsid w:val="00EA26A8"/>
    <w:rsid w:val="00EB1881"/>
    <w:rsid w:val="00EB18F9"/>
    <w:rsid w:val="00EB4F0E"/>
    <w:rsid w:val="00EC1BAF"/>
    <w:rsid w:val="00EC2E45"/>
    <w:rsid w:val="00EC361A"/>
    <w:rsid w:val="00ED6088"/>
    <w:rsid w:val="00EE0076"/>
    <w:rsid w:val="00EE611E"/>
    <w:rsid w:val="00EE7A71"/>
    <w:rsid w:val="00EF1DA5"/>
    <w:rsid w:val="00EF346D"/>
    <w:rsid w:val="00EF54B4"/>
    <w:rsid w:val="00EF6F01"/>
    <w:rsid w:val="00F0701D"/>
    <w:rsid w:val="00F12CA0"/>
    <w:rsid w:val="00F15901"/>
    <w:rsid w:val="00F16F25"/>
    <w:rsid w:val="00F17A1D"/>
    <w:rsid w:val="00F17C4E"/>
    <w:rsid w:val="00F20E8F"/>
    <w:rsid w:val="00F22A5B"/>
    <w:rsid w:val="00F403B1"/>
    <w:rsid w:val="00F41AA7"/>
    <w:rsid w:val="00F474C7"/>
    <w:rsid w:val="00F51EBF"/>
    <w:rsid w:val="00F541FE"/>
    <w:rsid w:val="00F80AB2"/>
    <w:rsid w:val="00F822C1"/>
    <w:rsid w:val="00F93D80"/>
    <w:rsid w:val="00FA29AB"/>
    <w:rsid w:val="00FB4FD3"/>
    <w:rsid w:val="00FC1D3A"/>
    <w:rsid w:val="00FC7D1A"/>
    <w:rsid w:val="00FD1CC7"/>
    <w:rsid w:val="00FD3282"/>
    <w:rsid w:val="00FD3D4B"/>
    <w:rsid w:val="00FE08B0"/>
    <w:rsid w:val="00FF0411"/>
    <w:rsid w:val="00FF488D"/>
    <w:rsid w:val="00FF4E6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24"/>
    <w:pPr>
      <w:spacing w:after="200" w:line="276" w:lineRule="auto"/>
    </w:pPr>
    <w:rPr>
      <w:sz w:val="22"/>
      <w:szCs w:val="22"/>
      <w:lang w:eastAsia="en-US"/>
    </w:rPr>
  </w:style>
  <w:style w:type="paragraph" w:styleId="Heading3">
    <w:name w:val="heading 3"/>
    <w:basedOn w:val="Normal"/>
    <w:next w:val="Normal"/>
    <w:link w:val="Heading3Char"/>
    <w:qFormat/>
    <w:rsid w:val="007B459B"/>
    <w:pPr>
      <w:keepNext/>
      <w:spacing w:before="240" w:after="60" w:line="240" w:lineRule="auto"/>
      <w:outlineLvl w:val="2"/>
    </w:pPr>
    <w:rPr>
      <w:rFonts w:ascii="Times New Roman" w:eastAsia="Times New Roman" w:hAnsi="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95"/>
    <w:pPr>
      <w:ind w:left="720"/>
      <w:contextualSpacing/>
    </w:pPr>
  </w:style>
  <w:style w:type="paragraph" w:styleId="FootnoteText">
    <w:name w:val="footnote text"/>
    <w:basedOn w:val="Normal"/>
    <w:link w:val="FootnoteTextChar"/>
    <w:uiPriority w:val="99"/>
    <w:semiHidden/>
    <w:unhideWhenUsed/>
    <w:rsid w:val="00377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60"/>
    <w:rPr>
      <w:sz w:val="20"/>
      <w:szCs w:val="20"/>
    </w:rPr>
  </w:style>
  <w:style w:type="character" w:styleId="FootnoteReference">
    <w:name w:val="footnote reference"/>
    <w:basedOn w:val="DefaultParagraphFont"/>
    <w:uiPriority w:val="99"/>
    <w:semiHidden/>
    <w:unhideWhenUsed/>
    <w:rsid w:val="00377860"/>
    <w:rPr>
      <w:vertAlign w:val="superscript"/>
    </w:rPr>
  </w:style>
  <w:style w:type="character" w:styleId="Hyperlink">
    <w:name w:val="Hyperlink"/>
    <w:basedOn w:val="DefaultParagraphFont"/>
    <w:uiPriority w:val="99"/>
    <w:unhideWhenUsed/>
    <w:rsid w:val="00A87E9E"/>
    <w:rPr>
      <w:color w:val="0000FF"/>
      <w:u w:val="single"/>
    </w:rPr>
  </w:style>
  <w:style w:type="character" w:customStyle="1" w:styleId="Heading3Char">
    <w:name w:val="Heading 3 Char"/>
    <w:basedOn w:val="DefaultParagraphFont"/>
    <w:link w:val="Heading3"/>
    <w:rsid w:val="007B459B"/>
    <w:rPr>
      <w:rFonts w:ascii="Times New Roman" w:eastAsia="Times New Roman" w:hAnsi="Times New Roman" w:cs="Times New Roman"/>
      <w:b/>
      <w:sz w:val="24"/>
      <w:szCs w:val="20"/>
      <w:lang w:eastAsia="en-AU"/>
    </w:rPr>
  </w:style>
  <w:style w:type="paragraph" w:styleId="Header">
    <w:name w:val="header"/>
    <w:basedOn w:val="Normal"/>
    <w:link w:val="HeaderChar"/>
    <w:uiPriority w:val="99"/>
    <w:semiHidden/>
    <w:unhideWhenUsed/>
    <w:rsid w:val="0060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0F49"/>
  </w:style>
  <w:style w:type="paragraph" w:styleId="Footer">
    <w:name w:val="footer"/>
    <w:basedOn w:val="Normal"/>
    <w:link w:val="FooterChar"/>
    <w:uiPriority w:val="99"/>
    <w:semiHidden/>
    <w:unhideWhenUsed/>
    <w:rsid w:val="0060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0F49"/>
  </w:style>
  <w:style w:type="character" w:styleId="CommentReference">
    <w:name w:val="annotation reference"/>
    <w:basedOn w:val="DefaultParagraphFont"/>
    <w:uiPriority w:val="99"/>
    <w:semiHidden/>
    <w:unhideWhenUsed/>
    <w:rsid w:val="00997036"/>
    <w:rPr>
      <w:sz w:val="16"/>
      <w:szCs w:val="16"/>
    </w:rPr>
  </w:style>
  <w:style w:type="paragraph" w:styleId="CommentText">
    <w:name w:val="annotation text"/>
    <w:basedOn w:val="Normal"/>
    <w:link w:val="CommentTextChar"/>
    <w:uiPriority w:val="99"/>
    <w:semiHidden/>
    <w:unhideWhenUsed/>
    <w:rsid w:val="00997036"/>
    <w:pPr>
      <w:spacing w:line="240" w:lineRule="auto"/>
    </w:pPr>
    <w:rPr>
      <w:sz w:val="20"/>
      <w:szCs w:val="20"/>
    </w:rPr>
  </w:style>
  <w:style w:type="character" w:customStyle="1" w:styleId="CommentTextChar">
    <w:name w:val="Comment Text Char"/>
    <w:basedOn w:val="DefaultParagraphFont"/>
    <w:link w:val="CommentText"/>
    <w:uiPriority w:val="99"/>
    <w:semiHidden/>
    <w:rsid w:val="00997036"/>
    <w:rPr>
      <w:sz w:val="20"/>
      <w:szCs w:val="20"/>
    </w:rPr>
  </w:style>
  <w:style w:type="paragraph" w:styleId="CommentSubject">
    <w:name w:val="annotation subject"/>
    <w:basedOn w:val="CommentText"/>
    <w:next w:val="CommentText"/>
    <w:link w:val="CommentSubjectChar"/>
    <w:uiPriority w:val="99"/>
    <w:semiHidden/>
    <w:unhideWhenUsed/>
    <w:rsid w:val="00997036"/>
    <w:rPr>
      <w:b/>
      <w:bCs/>
    </w:rPr>
  </w:style>
  <w:style w:type="character" w:customStyle="1" w:styleId="CommentSubjectChar">
    <w:name w:val="Comment Subject Char"/>
    <w:basedOn w:val="CommentTextChar"/>
    <w:link w:val="CommentSubject"/>
    <w:uiPriority w:val="99"/>
    <w:semiHidden/>
    <w:rsid w:val="00997036"/>
    <w:rPr>
      <w:b/>
      <w:bCs/>
    </w:rPr>
  </w:style>
  <w:style w:type="paragraph" w:styleId="BalloonText">
    <w:name w:val="Balloon Text"/>
    <w:basedOn w:val="Normal"/>
    <w:link w:val="BalloonTextChar"/>
    <w:uiPriority w:val="99"/>
    <w:semiHidden/>
    <w:unhideWhenUsed/>
    <w:rsid w:val="0099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36"/>
    <w:rPr>
      <w:rFonts w:ascii="Tahoma" w:hAnsi="Tahoma" w:cs="Tahoma"/>
      <w:sz w:val="16"/>
      <w:szCs w:val="16"/>
    </w:rPr>
  </w:style>
  <w:style w:type="paragraph" w:customStyle="1" w:styleId="Note">
    <w:name w:val="Note"/>
    <w:basedOn w:val="Normal"/>
    <w:rsid w:val="003D429C"/>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Default">
    <w:name w:val="Default"/>
    <w:rsid w:val="00F17C4E"/>
    <w:pPr>
      <w:autoSpaceDE w:val="0"/>
      <w:autoSpaceDN w:val="0"/>
      <w:adjustRightInd w:val="0"/>
    </w:pPr>
    <w:rPr>
      <w:rFonts w:ascii="Times New Roman" w:hAnsi="Times New Roman"/>
      <w:color w:val="000000"/>
      <w:sz w:val="24"/>
      <w:szCs w:val="24"/>
      <w:lang w:eastAsia="en-US"/>
    </w:rPr>
  </w:style>
  <w:style w:type="paragraph" w:customStyle="1" w:styleId="ACMANumberedList">
    <w:name w:val="ACMA Numbered List"/>
    <w:rsid w:val="00EC1BAF"/>
    <w:pPr>
      <w:autoSpaceDE w:val="0"/>
      <w:autoSpaceDN w:val="0"/>
      <w:adjustRightInd w:val="0"/>
    </w:pPr>
    <w:rPr>
      <w:rFonts w:ascii="Arial" w:hAnsi="Arial" w:cs="Arial"/>
      <w:sz w:val="24"/>
      <w:szCs w:val="24"/>
      <w:lang w:eastAsia="en-US"/>
    </w:rPr>
  </w:style>
  <w:style w:type="paragraph" w:customStyle="1" w:styleId="ACMABodyText">
    <w:name w:val="ACMA Body Text"/>
    <w:rsid w:val="009B7EC3"/>
    <w:pPr>
      <w:suppressAutoHyphens/>
      <w:spacing w:before="80" w:after="120" w:line="280" w:lineRule="atLeast"/>
    </w:pPr>
    <w:rPr>
      <w:rFonts w:ascii="Times New Roman" w:eastAsia="Times New Roman" w:hAnsi="Times New Roman"/>
      <w:snapToGrid w:val="0"/>
      <w:sz w:val="24"/>
      <w:lang w:eastAsia="en-US"/>
    </w:rPr>
  </w:style>
  <w:style w:type="paragraph" w:styleId="Revision">
    <w:name w:val="Revision"/>
    <w:hidden/>
    <w:uiPriority w:val="99"/>
    <w:semiHidden/>
    <w:rsid w:val="0063746D"/>
    <w:rPr>
      <w:sz w:val="22"/>
      <w:szCs w:val="22"/>
      <w:lang w:eastAsia="en-US"/>
    </w:rPr>
  </w:style>
  <w:style w:type="paragraph" w:customStyle="1" w:styleId="HR">
    <w:name w:val="HR"/>
    <w:aliases w:val="Regulation Heading"/>
    <w:basedOn w:val="Normal"/>
    <w:next w:val="Normal"/>
    <w:rsid w:val="00BF0A0C"/>
    <w:pPr>
      <w:keepNext/>
      <w:spacing w:before="360" w:after="0" w:line="240" w:lineRule="auto"/>
      <w:ind w:left="964" w:hanging="964"/>
    </w:pPr>
    <w:rPr>
      <w:rFonts w:ascii="Arial" w:eastAsia="Times New Roman" w:hAnsi="Arial"/>
      <w:b/>
      <w:sz w:val="24"/>
      <w:szCs w:val="24"/>
    </w:rPr>
  </w:style>
</w:styles>
</file>

<file path=word/webSettings.xml><?xml version="1.0" encoding="utf-8"?>
<w:webSettings xmlns:r="http://schemas.openxmlformats.org/officeDocument/2006/relationships" xmlns:w="http://schemas.openxmlformats.org/wordprocessingml/2006/main">
  <w:divs>
    <w:div w:id="102461152">
      <w:bodyDiv w:val="1"/>
      <w:marLeft w:val="0"/>
      <w:marRight w:val="0"/>
      <w:marTop w:val="0"/>
      <w:marBottom w:val="0"/>
      <w:divBdr>
        <w:top w:val="none" w:sz="0" w:space="0" w:color="auto"/>
        <w:left w:val="none" w:sz="0" w:space="0" w:color="auto"/>
        <w:bottom w:val="none" w:sz="0" w:space="0" w:color="auto"/>
        <w:right w:val="none" w:sz="0" w:space="0" w:color="auto"/>
      </w:divBdr>
    </w:div>
    <w:div w:id="1911423564">
      <w:bodyDiv w:val="1"/>
      <w:marLeft w:val="0"/>
      <w:marRight w:val="0"/>
      <w:marTop w:val="0"/>
      <w:marBottom w:val="0"/>
      <w:divBdr>
        <w:top w:val="none" w:sz="0" w:space="0" w:color="auto"/>
        <w:left w:val="none" w:sz="0" w:space="0" w:color="auto"/>
        <w:bottom w:val="none" w:sz="0" w:space="0" w:color="auto"/>
        <w:right w:val="none" w:sz="0" w:space="0" w:color="auto"/>
      </w:divBdr>
      <w:divsChild>
        <w:div w:id="1552841546">
          <w:marLeft w:val="0"/>
          <w:marRight w:val="0"/>
          <w:marTop w:val="0"/>
          <w:marBottom w:val="0"/>
          <w:divBdr>
            <w:top w:val="none" w:sz="0" w:space="0" w:color="auto"/>
            <w:left w:val="none" w:sz="0" w:space="0" w:color="auto"/>
            <w:bottom w:val="none" w:sz="0" w:space="0" w:color="auto"/>
            <w:right w:val="none" w:sz="0" w:space="0" w:color="auto"/>
          </w:divBdr>
          <w:divsChild>
            <w:div w:id="1891068694">
              <w:marLeft w:val="0"/>
              <w:marRight w:val="0"/>
              <w:marTop w:val="0"/>
              <w:marBottom w:val="0"/>
              <w:divBdr>
                <w:top w:val="none" w:sz="0" w:space="0" w:color="auto"/>
                <w:left w:val="none" w:sz="0" w:space="0" w:color="auto"/>
                <w:bottom w:val="none" w:sz="0" w:space="0" w:color="auto"/>
                <w:right w:val="none" w:sz="0" w:space="0" w:color="auto"/>
              </w:divBdr>
              <w:divsChild>
                <w:div w:id="504982268">
                  <w:marLeft w:val="0"/>
                  <w:marRight w:val="0"/>
                  <w:marTop w:val="0"/>
                  <w:marBottom w:val="0"/>
                  <w:divBdr>
                    <w:top w:val="none" w:sz="0" w:space="0" w:color="auto"/>
                    <w:left w:val="none" w:sz="0" w:space="0" w:color="auto"/>
                    <w:bottom w:val="none" w:sz="0" w:space="0" w:color="auto"/>
                    <w:right w:val="none" w:sz="0" w:space="0" w:color="auto"/>
                  </w:divBdr>
                  <w:divsChild>
                    <w:div w:id="1797409911">
                      <w:marLeft w:val="0"/>
                      <w:marRight w:val="0"/>
                      <w:marTop w:val="0"/>
                      <w:marBottom w:val="0"/>
                      <w:divBdr>
                        <w:top w:val="none" w:sz="0" w:space="0" w:color="auto"/>
                        <w:left w:val="none" w:sz="0" w:space="0" w:color="auto"/>
                        <w:bottom w:val="none" w:sz="0" w:space="0" w:color="auto"/>
                        <w:right w:val="none" w:sz="0" w:space="0" w:color="auto"/>
                      </w:divBdr>
                      <w:divsChild>
                        <w:div w:id="734933869">
                          <w:marLeft w:val="0"/>
                          <w:marRight w:val="0"/>
                          <w:marTop w:val="0"/>
                          <w:marBottom w:val="0"/>
                          <w:divBdr>
                            <w:top w:val="single" w:sz="4" w:space="0" w:color="828282"/>
                            <w:left w:val="single" w:sz="4" w:space="0" w:color="828282"/>
                            <w:bottom w:val="single" w:sz="4" w:space="0" w:color="828282"/>
                            <w:right w:val="single" w:sz="4" w:space="0" w:color="828282"/>
                          </w:divBdr>
                          <w:divsChild>
                            <w:div w:id="63912118">
                              <w:marLeft w:val="0"/>
                              <w:marRight w:val="0"/>
                              <w:marTop w:val="0"/>
                              <w:marBottom w:val="0"/>
                              <w:divBdr>
                                <w:top w:val="none" w:sz="0" w:space="0" w:color="auto"/>
                                <w:left w:val="none" w:sz="0" w:space="0" w:color="auto"/>
                                <w:bottom w:val="none" w:sz="0" w:space="0" w:color="auto"/>
                                <w:right w:val="none" w:sz="0" w:space="0" w:color="auto"/>
                              </w:divBdr>
                              <w:divsChild>
                                <w:div w:id="958027225">
                                  <w:marLeft w:val="0"/>
                                  <w:marRight w:val="0"/>
                                  <w:marTop w:val="0"/>
                                  <w:marBottom w:val="0"/>
                                  <w:divBdr>
                                    <w:top w:val="none" w:sz="0" w:space="0" w:color="auto"/>
                                    <w:left w:val="none" w:sz="0" w:space="0" w:color="auto"/>
                                    <w:bottom w:val="none" w:sz="0" w:space="0" w:color="auto"/>
                                    <w:right w:val="none" w:sz="0" w:space="0" w:color="auto"/>
                                  </w:divBdr>
                                  <w:divsChild>
                                    <w:div w:id="1225724020">
                                      <w:marLeft w:val="0"/>
                                      <w:marRight w:val="0"/>
                                      <w:marTop w:val="0"/>
                                      <w:marBottom w:val="0"/>
                                      <w:divBdr>
                                        <w:top w:val="none" w:sz="0" w:space="0" w:color="auto"/>
                                        <w:left w:val="none" w:sz="0" w:space="0" w:color="auto"/>
                                        <w:bottom w:val="none" w:sz="0" w:space="0" w:color="auto"/>
                                        <w:right w:val="none" w:sz="0" w:space="0" w:color="auto"/>
                                      </w:divBdr>
                                      <w:divsChild>
                                        <w:div w:id="461845736">
                                          <w:marLeft w:val="0"/>
                                          <w:marRight w:val="0"/>
                                          <w:marTop w:val="0"/>
                                          <w:marBottom w:val="0"/>
                                          <w:divBdr>
                                            <w:top w:val="none" w:sz="0" w:space="0" w:color="auto"/>
                                            <w:left w:val="none" w:sz="0" w:space="0" w:color="auto"/>
                                            <w:bottom w:val="none" w:sz="0" w:space="0" w:color="auto"/>
                                            <w:right w:val="none" w:sz="0" w:space="0" w:color="auto"/>
                                          </w:divBdr>
                                          <w:divsChild>
                                            <w:div w:id="1565333750">
                                              <w:marLeft w:val="0"/>
                                              <w:marRight w:val="0"/>
                                              <w:marTop w:val="0"/>
                                              <w:marBottom w:val="0"/>
                                              <w:divBdr>
                                                <w:top w:val="none" w:sz="0" w:space="0" w:color="auto"/>
                                                <w:left w:val="none" w:sz="0" w:space="0" w:color="auto"/>
                                                <w:bottom w:val="none" w:sz="0" w:space="0" w:color="auto"/>
                                                <w:right w:val="none" w:sz="0" w:space="0" w:color="auto"/>
                                              </w:divBdr>
                                              <w:divsChild>
                                                <w:div w:id="455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AS/CA S003.1:2010</dc:subject>
  <dc:creator/>
  <cp:lastModifiedBy/>
  <cp:revision>1</cp:revision>
  <cp:lastPrinted>2010-08-26T04:56:00Z</cp:lastPrinted>
  <dcterms:created xsi:type="dcterms:W3CDTF">2011-09-16T07:27:00Z</dcterms:created>
  <dcterms:modified xsi:type="dcterms:W3CDTF">2011-09-23T02:15:00Z</dcterms:modified>
</cp:coreProperties>
</file>