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418" w:rsidRDefault="00CC0418" w:rsidP="00CC0418">
      <w:pPr>
        <w:jc w:val="center"/>
        <w:rPr>
          <w:b/>
          <w:u w:val="single"/>
        </w:rPr>
      </w:pPr>
      <w:r w:rsidRPr="00511E10">
        <w:rPr>
          <w:b/>
          <w:u w:val="single"/>
        </w:rPr>
        <w:t xml:space="preserve">EXPLANATORY </w:t>
      </w:r>
      <w:r>
        <w:rPr>
          <w:b/>
          <w:u w:val="single"/>
        </w:rPr>
        <w:t>STATEMENT</w:t>
      </w:r>
    </w:p>
    <w:p w:rsidR="00CC0418" w:rsidRDefault="00CC0418" w:rsidP="00CC0418">
      <w:pPr>
        <w:jc w:val="center"/>
        <w:rPr>
          <w:b/>
          <w:u w:val="single"/>
        </w:rPr>
      </w:pPr>
    </w:p>
    <w:p w:rsidR="00CC0418" w:rsidRDefault="00CC0418" w:rsidP="00CC0418">
      <w:pPr>
        <w:jc w:val="center"/>
        <w:rPr>
          <w:b/>
          <w:u w:val="single"/>
        </w:rPr>
      </w:pPr>
    </w:p>
    <w:p w:rsidR="00CC0418" w:rsidRDefault="00CC0418" w:rsidP="00CC0418">
      <w:pPr>
        <w:jc w:val="center"/>
        <w:rPr>
          <w:u w:val="single"/>
        </w:rPr>
      </w:pPr>
      <w:r>
        <w:rPr>
          <w:u w:val="single"/>
        </w:rPr>
        <w:t xml:space="preserve">Issued by the Authority of the Minister for Climate Change </w:t>
      </w:r>
    </w:p>
    <w:p w:rsidR="00CC0418" w:rsidRPr="00AC153F" w:rsidRDefault="00CC0418" w:rsidP="00CC0418">
      <w:pPr>
        <w:jc w:val="center"/>
        <w:rPr>
          <w:u w:val="single"/>
        </w:rPr>
      </w:pPr>
      <w:r>
        <w:rPr>
          <w:u w:val="single"/>
        </w:rPr>
        <w:t xml:space="preserve">and </w:t>
      </w:r>
      <w:r w:rsidRPr="00AC153F">
        <w:rPr>
          <w:u w:val="single"/>
        </w:rPr>
        <w:t>Energy Efficiency</w:t>
      </w:r>
    </w:p>
    <w:p w:rsidR="00CC0418" w:rsidRPr="00AC153F" w:rsidRDefault="00CC0418" w:rsidP="00CC0418">
      <w:pPr>
        <w:jc w:val="center"/>
        <w:rPr>
          <w:u w:val="single"/>
        </w:rPr>
      </w:pPr>
    </w:p>
    <w:p w:rsidR="00CC0418" w:rsidRPr="00AC153F" w:rsidRDefault="00CC0418" w:rsidP="00CC0418">
      <w:pPr>
        <w:jc w:val="center"/>
      </w:pPr>
      <w:r w:rsidRPr="00AC153F">
        <w:rPr>
          <w:i/>
        </w:rPr>
        <w:t xml:space="preserve">Building Energy Efficiency Disclosure Act 2010 </w:t>
      </w:r>
      <w:r w:rsidRPr="00AC153F">
        <w:t>(the Act)</w:t>
      </w:r>
    </w:p>
    <w:p w:rsidR="00CC0418" w:rsidRPr="00AC153F" w:rsidRDefault="00CC0418" w:rsidP="00CC0418">
      <w:pPr>
        <w:jc w:val="center"/>
        <w:rPr>
          <w:i/>
        </w:rPr>
      </w:pPr>
    </w:p>
    <w:p w:rsidR="00CC0418" w:rsidRPr="00AC153F" w:rsidRDefault="00CC0418" w:rsidP="00CC0418">
      <w:pPr>
        <w:jc w:val="center"/>
      </w:pPr>
      <w:r w:rsidRPr="00AC153F">
        <w:rPr>
          <w:i/>
        </w:rPr>
        <w:t>Building Energy Efficiency Disclosure (Disclosure Affected Buildings) Determination </w:t>
      </w:r>
      <w:r w:rsidR="00F42D94">
        <w:rPr>
          <w:i/>
        </w:rPr>
        <w:t>2011</w:t>
      </w:r>
      <w:r w:rsidRPr="00AC153F">
        <w:rPr>
          <w:i/>
        </w:rPr>
        <w:t xml:space="preserve"> </w:t>
      </w:r>
      <w:r w:rsidRPr="00AC153F">
        <w:t>(the Determination)</w:t>
      </w:r>
    </w:p>
    <w:p w:rsidR="00CC0418" w:rsidRPr="00AC153F" w:rsidRDefault="00CC0418" w:rsidP="00CC0418">
      <w:pPr>
        <w:jc w:val="center"/>
        <w:rPr>
          <w:i/>
        </w:rPr>
      </w:pPr>
    </w:p>
    <w:p w:rsidR="00CC0418" w:rsidRPr="00AC153F" w:rsidRDefault="00CC0418" w:rsidP="00CC0418"/>
    <w:p w:rsidR="00CC0418" w:rsidRPr="00AC153F" w:rsidRDefault="00CC0418" w:rsidP="00CC0418">
      <w:r w:rsidRPr="00AC153F">
        <w:t>The Act establishes a scheme for public disclosure of energy efficiency information relating to large commercial office spaces.  The scheme is intended to enable prospective purchasers and tenants to access consistent and accurate energy efficiency information about office spaces, to better inform sale and leasing decisions.</w:t>
      </w:r>
    </w:p>
    <w:p w:rsidR="00CC0418" w:rsidRPr="00AC153F" w:rsidRDefault="00CC0418" w:rsidP="00CC0418"/>
    <w:p w:rsidR="00CC0418" w:rsidRPr="00AC153F" w:rsidRDefault="00CC0418" w:rsidP="00CC0418">
      <w:r w:rsidRPr="00AC153F">
        <w:t>Sections 11, 12 and 15 of the Act impose disclosure obligations on certain owners and lessors of 'disclosure affected buildings' and 'disclosure affected areas of buildings'.  Broadly, owners and lessors are required to disclose energy efficiency information to prospective purchasers and lessees (including sublessees), by:</w:t>
      </w:r>
    </w:p>
    <w:p w:rsidR="00CC0418" w:rsidRPr="00AC153F" w:rsidRDefault="00CC0418" w:rsidP="00CC0418"/>
    <w:p w:rsidR="00CC0418" w:rsidRPr="00AC153F" w:rsidRDefault="00CC0418" w:rsidP="00CC0418">
      <w:pPr>
        <w:numPr>
          <w:ilvl w:val="0"/>
          <w:numId w:val="2"/>
        </w:numPr>
      </w:pPr>
      <w:r w:rsidRPr="00AC153F">
        <w:t>having a valid and current 'building energy efficiency certificate' registered on the Building Energy Efficiency Register at the time of offering a building (or area) for sale, lease or sublease; and</w:t>
      </w:r>
    </w:p>
    <w:p w:rsidR="00CC0418" w:rsidRDefault="00CC0418" w:rsidP="00CC0418">
      <w:pPr>
        <w:numPr>
          <w:ilvl w:val="0"/>
          <w:numId w:val="2"/>
        </w:numPr>
        <w:spacing w:before="120"/>
        <w:ind w:left="777" w:hanging="357"/>
      </w:pPr>
      <w:r w:rsidRPr="00AC153F">
        <w:t>including an energy efficiency 'star rating' in any sale, lease or sublease advertisement.</w:t>
      </w:r>
    </w:p>
    <w:p w:rsidR="00CC0418" w:rsidRPr="00AC153F" w:rsidRDefault="00CC0418" w:rsidP="00CC0418"/>
    <w:p w:rsidR="00CC0418" w:rsidRPr="00AC153F" w:rsidRDefault="00CC0418" w:rsidP="00CC0418">
      <w:r w:rsidRPr="00AC153F">
        <w:t xml:space="preserve">Subsection 10(1) of the Act provides that the Minister may, by legislative instrument, determine that a specified kind of building is disclosure affected.  Subsection 10(2) provides that the Minister may, by legislative instrument, determine that a specified kind of area of a building is disclosure affected. </w:t>
      </w:r>
    </w:p>
    <w:p w:rsidR="00CC0418" w:rsidRPr="00AC153F" w:rsidRDefault="00CC0418" w:rsidP="00CC0418"/>
    <w:p w:rsidR="00CC0418" w:rsidRPr="00AC153F" w:rsidRDefault="00CC0418" w:rsidP="00CC0418">
      <w:r w:rsidRPr="00AC153F">
        <w:t xml:space="preserve">The Determination specifies the kinds of buildings that are disclosure affected, and the kinds of areas of buildings that are disclosure affected.  Details of the content of the Determination are set out in the </w:t>
      </w:r>
      <w:r w:rsidRPr="00AC153F">
        <w:rPr>
          <w:u w:val="single"/>
        </w:rPr>
        <w:t>Attachment.</w:t>
      </w:r>
      <w:r w:rsidRPr="00AC153F">
        <w:t xml:space="preserve">  </w:t>
      </w:r>
    </w:p>
    <w:p w:rsidR="00CC0418" w:rsidRPr="00AC153F" w:rsidRDefault="00CC0418" w:rsidP="00CC0418"/>
    <w:p w:rsidR="00CC0418" w:rsidRDefault="00CC0418" w:rsidP="00CC0418">
      <w:r w:rsidRPr="00AC153F">
        <w:t>The Determination</w:t>
      </w:r>
      <w:r w:rsidR="00F42D94">
        <w:t xml:space="preserve"> replaces the </w:t>
      </w:r>
      <w:r w:rsidR="00F42D94" w:rsidRPr="00F42D94">
        <w:rPr>
          <w:i/>
        </w:rPr>
        <w:t>Building Energy Efficiency Disclosure (Disclosure Affected Buildings) Determination 2010</w:t>
      </w:r>
      <w:r w:rsidR="00F42D94">
        <w:t xml:space="preserve"> (No. 2). This new determination </w:t>
      </w:r>
      <w:r w:rsidR="000F0164">
        <w:t>introduces</w:t>
      </w:r>
      <w:r w:rsidR="00F42D94">
        <w:t xml:space="preserve"> new clause</w:t>
      </w:r>
      <w:r w:rsidR="00727BFE">
        <w:t>s</w:t>
      </w:r>
      <w:r w:rsidR="00F42D94">
        <w:t xml:space="preserve"> 5(4) and 6(4) and amends the definition of major refurbishment. These changes have been undertaken following consultation with industry and are intended to clarify</w:t>
      </w:r>
      <w:r w:rsidR="00727BFE">
        <w:t xml:space="preserve"> the</w:t>
      </w:r>
      <w:r w:rsidR="00F42D94">
        <w:t xml:space="preserve"> operation of the major refurbishment exceptions and ensure consistency </w:t>
      </w:r>
      <w:r w:rsidR="000F0164">
        <w:t xml:space="preserve">between this determination </w:t>
      </w:r>
      <w:r w:rsidR="00727BFE">
        <w:t>and</w:t>
      </w:r>
      <w:r w:rsidR="00F42D94">
        <w:t xml:space="preserve"> the new </w:t>
      </w:r>
      <w:r w:rsidR="00F42D94" w:rsidRPr="00727BFE">
        <w:rPr>
          <w:i/>
        </w:rPr>
        <w:t>Building Energy Efficiency Disclosure Determination 2011</w:t>
      </w:r>
      <w:r w:rsidR="00F42D94">
        <w:t xml:space="preserve">. </w:t>
      </w:r>
    </w:p>
    <w:p w:rsidR="00CC0418" w:rsidRDefault="00CC0418" w:rsidP="00CC0418"/>
    <w:p w:rsidR="00CC0418" w:rsidRDefault="00CC0418" w:rsidP="00CC0418">
      <w:pPr>
        <w:rPr>
          <w:b/>
          <w:u w:val="single"/>
        </w:rPr>
      </w:pPr>
      <w:r>
        <w:t xml:space="preserve">The Determination is a legislative instrument for the purposes of the </w:t>
      </w:r>
      <w:r>
        <w:rPr>
          <w:i/>
        </w:rPr>
        <w:t xml:space="preserve">Legislative Instruments Act 2003.  </w:t>
      </w:r>
      <w:r>
        <w:br w:type="page"/>
      </w:r>
      <w:r>
        <w:rPr>
          <w:b/>
          <w:u w:val="single"/>
        </w:rPr>
        <w:lastRenderedPageBreak/>
        <w:t xml:space="preserve">ATTACHMENT </w:t>
      </w:r>
    </w:p>
    <w:p w:rsidR="00CC0418" w:rsidRDefault="00CC0418" w:rsidP="00CC0418">
      <w:pPr>
        <w:rPr>
          <w:b/>
          <w:u w:val="single"/>
        </w:rPr>
      </w:pPr>
    </w:p>
    <w:p w:rsidR="00CC0418" w:rsidRDefault="00CC0418" w:rsidP="00CC0418">
      <w:pPr>
        <w:rPr>
          <w:b/>
          <w:i/>
          <w:u w:val="single"/>
        </w:rPr>
      </w:pPr>
      <w:r>
        <w:rPr>
          <w:b/>
          <w:u w:val="single"/>
        </w:rPr>
        <w:t xml:space="preserve">Details of the </w:t>
      </w:r>
      <w:r>
        <w:rPr>
          <w:b/>
          <w:i/>
          <w:u w:val="single"/>
        </w:rPr>
        <w:t xml:space="preserve">Building Energy Efficiency Disclosure (Disclosure Affected Buildings) Determination </w:t>
      </w:r>
      <w:r w:rsidR="00727BFE">
        <w:rPr>
          <w:b/>
          <w:i/>
          <w:u w:val="single"/>
        </w:rPr>
        <w:t>2011</w:t>
      </w:r>
    </w:p>
    <w:p w:rsidR="00CC0418" w:rsidRDefault="00CC0418" w:rsidP="00CC0418">
      <w:pPr>
        <w:rPr>
          <w:b/>
          <w:i/>
          <w:u w:val="single"/>
        </w:rPr>
      </w:pPr>
    </w:p>
    <w:p w:rsidR="00CC0418" w:rsidRDefault="00CC0418" w:rsidP="00CC0418">
      <w:pPr>
        <w:rPr>
          <w:u w:val="single"/>
        </w:rPr>
      </w:pPr>
      <w:r w:rsidRPr="0008022D">
        <w:rPr>
          <w:u w:val="single"/>
        </w:rPr>
        <w:t>Clause 1</w:t>
      </w:r>
      <w:r>
        <w:rPr>
          <w:u w:val="single"/>
        </w:rPr>
        <w:t xml:space="preserve"> - Name of Determination</w:t>
      </w:r>
    </w:p>
    <w:p w:rsidR="00CC0418" w:rsidRDefault="00CC0418" w:rsidP="00CC0418">
      <w:pPr>
        <w:rPr>
          <w:u w:val="single"/>
        </w:rPr>
      </w:pPr>
    </w:p>
    <w:p w:rsidR="00CC0418" w:rsidRDefault="00CC0418" w:rsidP="00CC0418">
      <w:r>
        <w:t>This is a formal clause setting out the name of the Determination.</w:t>
      </w:r>
    </w:p>
    <w:p w:rsidR="00CC0418" w:rsidRDefault="00CC0418" w:rsidP="00CC0418"/>
    <w:p w:rsidR="00CC0418" w:rsidRPr="00AC153F" w:rsidRDefault="00CC0418" w:rsidP="00CC0418">
      <w:pPr>
        <w:rPr>
          <w:u w:val="single"/>
        </w:rPr>
      </w:pPr>
      <w:r w:rsidRPr="00AC153F">
        <w:rPr>
          <w:u w:val="single"/>
        </w:rPr>
        <w:t>Clause 2 - Commencement</w:t>
      </w:r>
    </w:p>
    <w:p w:rsidR="00CC0418" w:rsidRPr="00AC153F" w:rsidRDefault="00CC0418" w:rsidP="00CC0418">
      <w:pPr>
        <w:rPr>
          <w:u w:val="single"/>
        </w:rPr>
      </w:pPr>
    </w:p>
    <w:p w:rsidR="00CC0418" w:rsidRPr="00AC153F" w:rsidRDefault="00CC0418" w:rsidP="00CC0418">
      <w:r w:rsidRPr="00AC153F">
        <w:t>Th</w:t>
      </w:r>
      <w:r>
        <w:t>is clause provides for the</w:t>
      </w:r>
      <w:r w:rsidRPr="00AC153F">
        <w:t xml:space="preserve"> Determination </w:t>
      </w:r>
      <w:r>
        <w:t xml:space="preserve">to </w:t>
      </w:r>
      <w:r w:rsidRPr="00AC153F">
        <w:t>commence on registration</w:t>
      </w:r>
      <w:r>
        <w:t xml:space="preserve"> on the Federal Register of Legislative Instruments</w:t>
      </w:r>
      <w:r w:rsidRPr="00AC153F">
        <w:t>.</w:t>
      </w:r>
    </w:p>
    <w:p w:rsidR="00CC0418" w:rsidRPr="00AC153F" w:rsidRDefault="00CC0418" w:rsidP="00CC0418"/>
    <w:p w:rsidR="00CC0418" w:rsidRPr="00AC153F" w:rsidRDefault="00CC0418" w:rsidP="00CC0418">
      <w:pPr>
        <w:rPr>
          <w:u w:val="single"/>
        </w:rPr>
      </w:pPr>
      <w:r w:rsidRPr="00AC153F">
        <w:rPr>
          <w:u w:val="single"/>
        </w:rPr>
        <w:t>Clause 3 – Repeal</w:t>
      </w:r>
    </w:p>
    <w:p w:rsidR="00CC0418" w:rsidRPr="00AC153F" w:rsidRDefault="00CC0418" w:rsidP="00CC0418">
      <w:pPr>
        <w:rPr>
          <w:u w:val="single"/>
        </w:rPr>
      </w:pPr>
    </w:p>
    <w:p w:rsidR="00CC0418" w:rsidRPr="00AC153F" w:rsidRDefault="00CC0418" w:rsidP="00CC0418">
      <w:r w:rsidRPr="00AC153F">
        <w:t>This clause repeals the previous</w:t>
      </w:r>
      <w:r>
        <w:t xml:space="preserve"> Determination, the</w:t>
      </w:r>
      <w:r w:rsidRPr="00AC153F">
        <w:t xml:space="preserve"> </w:t>
      </w:r>
      <w:r w:rsidRPr="00AC153F">
        <w:rPr>
          <w:i/>
          <w:iCs/>
        </w:rPr>
        <w:t>Building Energy Efficiency Disclosure (Disclosure Affected Buildings) Determination 2010</w:t>
      </w:r>
      <w:r w:rsidR="000F0164">
        <w:rPr>
          <w:i/>
          <w:iCs/>
        </w:rPr>
        <w:t xml:space="preserve"> (No. 2)</w:t>
      </w:r>
      <w:r>
        <w:rPr>
          <w:i/>
          <w:iCs/>
        </w:rPr>
        <w:t>.</w:t>
      </w:r>
    </w:p>
    <w:p w:rsidR="00CC0418" w:rsidRPr="00AC153F" w:rsidRDefault="00CC0418" w:rsidP="00CC0418">
      <w:pPr>
        <w:rPr>
          <w:u w:val="single"/>
        </w:rPr>
      </w:pPr>
    </w:p>
    <w:p w:rsidR="00CC0418" w:rsidRPr="00AC153F" w:rsidRDefault="00CC0418" w:rsidP="00CC0418">
      <w:pPr>
        <w:rPr>
          <w:u w:val="single"/>
        </w:rPr>
      </w:pPr>
      <w:r w:rsidRPr="00AC153F">
        <w:rPr>
          <w:u w:val="single"/>
        </w:rPr>
        <w:t>Clause 4 - Definitions</w:t>
      </w:r>
    </w:p>
    <w:p w:rsidR="00CC0418" w:rsidRPr="00AC153F" w:rsidRDefault="00CC0418" w:rsidP="00CC0418">
      <w:pPr>
        <w:rPr>
          <w:u w:val="single"/>
        </w:rPr>
      </w:pPr>
    </w:p>
    <w:p w:rsidR="00CC0418" w:rsidRPr="00AC153F" w:rsidRDefault="00CC0418" w:rsidP="00CC0418">
      <w:r w:rsidRPr="00AC153F">
        <w:t>This clause specifies the meaning of a number of terms used in the Determination that are relevant to identifying whether a particular building or area of a building is disclosure affected (see clauses 5 and 6).</w:t>
      </w:r>
    </w:p>
    <w:p w:rsidR="00CC0418" w:rsidRPr="00AC153F" w:rsidRDefault="00CC0418" w:rsidP="00CC0418"/>
    <w:p w:rsidR="00CC0418" w:rsidRDefault="00CC0418" w:rsidP="00CC0418">
      <w:r w:rsidRPr="00AC153F">
        <w:t>A</w:t>
      </w:r>
      <w:r w:rsidR="00727BFE">
        <w:t>n</w:t>
      </w:r>
      <w:r w:rsidRPr="00AC153F">
        <w:t xml:space="preserve"> inclusive definition of ‘area of a building’ </w:t>
      </w:r>
      <w:r w:rsidR="00727BFE">
        <w:t>is</w:t>
      </w:r>
      <w:r w:rsidRPr="00AC153F">
        <w:t xml:space="preserve"> included for clarity.  Consistent with the purpose of the Act, the formulation is intended to clarify</w:t>
      </w:r>
      <w:r>
        <w:t>, for example,</w:t>
      </w:r>
      <w:r w:rsidRPr="00AC153F">
        <w:t xml:space="preserve"> that non-consecutive levels in a traditional commercial office tower</w:t>
      </w:r>
      <w:r>
        <w:t xml:space="preserve"> that may be</w:t>
      </w:r>
      <w:r w:rsidRPr="00AC153F">
        <w:t xml:space="preserve"> offered for let together are </w:t>
      </w:r>
      <w:r>
        <w:t xml:space="preserve">to be treated as being </w:t>
      </w:r>
      <w:r w:rsidRPr="00AC153F">
        <w:t>part of the same area.  It is also intended to clarify that separate units in an industrial building</w:t>
      </w:r>
      <w:r>
        <w:t xml:space="preserve"> with separate entrances and no internal access</w:t>
      </w:r>
      <w:r w:rsidRPr="00AC153F">
        <w:t xml:space="preserve">, for example, are separate areas.  Further guidance on the application of this definition will be provided in published policy available </w:t>
      </w:r>
      <w:r w:rsidR="00E34B79">
        <w:t>at</w:t>
      </w:r>
      <w:r w:rsidRPr="00AC153F">
        <w:t xml:space="preserve"> </w:t>
      </w:r>
      <w:hyperlink r:id="rId5" w:history="1">
        <w:r w:rsidRPr="00AC153F">
          <w:rPr>
            <w:rStyle w:val="Hyperlink"/>
          </w:rPr>
          <w:t>www.cbd.gov.au</w:t>
        </w:r>
      </w:hyperlink>
      <w:r>
        <w:t>.</w:t>
      </w:r>
    </w:p>
    <w:p w:rsidR="00CC0418" w:rsidRDefault="00CC0418" w:rsidP="00CC0418"/>
    <w:p w:rsidR="00314B26" w:rsidRDefault="00314B26" w:rsidP="00314B26">
      <w:r>
        <w:t>An amended definition of ‘major refurbishment’ has been included to clarify the meaning of this term in paragraphs 5(4)(a) and 6(4)(a). The definition contains two key concepts:</w:t>
      </w:r>
    </w:p>
    <w:p w:rsidR="00314B26" w:rsidRDefault="00314B26" w:rsidP="00314B26"/>
    <w:p w:rsidR="00314B26" w:rsidRDefault="00314B26" w:rsidP="00314B26">
      <w:pPr>
        <w:pStyle w:val="ListParagraph"/>
        <w:numPr>
          <w:ilvl w:val="0"/>
          <w:numId w:val="15"/>
        </w:numPr>
        <w:rPr>
          <w:rFonts w:eastAsia="Calibri"/>
          <w:lang w:eastAsia="en-US"/>
        </w:rPr>
      </w:pPr>
      <w:r>
        <w:rPr>
          <w:rFonts w:eastAsia="Calibri"/>
          <w:lang w:eastAsia="en-US"/>
        </w:rPr>
        <w:t xml:space="preserve">Not every refurbishment is a major refurbishment. </w:t>
      </w:r>
      <w:r w:rsidRPr="00766575">
        <w:rPr>
          <w:rFonts w:eastAsia="Calibri"/>
          <w:lang w:eastAsia="en-US"/>
        </w:rPr>
        <w:t xml:space="preserve">The terminology of ‘major refurbishment’ is intended to capture significant changes to a building, such as the </w:t>
      </w:r>
      <w:r>
        <w:rPr>
          <w:rFonts w:eastAsia="Calibri"/>
          <w:lang w:eastAsia="en-US"/>
        </w:rPr>
        <w:t>installation of new</w:t>
      </w:r>
      <w:r w:rsidRPr="00766575">
        <w:rPr>
          <w:rFonts w:eastAsia="Calibri"/>
          <w:lang w:eastAsia="en-US"/>
        </w:rPr>
        <w:t xml:space="preserve"> equipment</w:t>
      </w:r>
      <w:r>
        <w:rPr>
          <w:rFonts w:eastAsia="Calibri"/>
          <w:lang w:eastAsia="en-US"/>
        </w:rPr>
        <w:t xml:space="preserve"> or structural changes</w:t>
      </w:r>
      <w:r w:rsidR="0032273C">
        <w:rPr>
          <w:rFonts w:eastAsia="Calibri"/>
          <w:lang w:eastAsia="en-US"/>
        </w:rPr>
        <w:t>, that have a direct impact on the energy efficiency rating of the building</w:t>
      </w:r>
      <w:r w:rsidRPr="00766575">
        <w:rPr>
          <w:rFonts w:eastAsia="Calibri"/>
          <w:lang w:eastAsia="en-US"/>
        </w:rPr>
        <w:t xml:space="preserve">. Changes in </w:t>
      </w:r>
      <w:r w:rsidR="00727BFE">
        <w:rPr>
          <w:rFonts w:eastAsia="Calibri"/>
          <w:lang w:eastAsia="en-US"/>
        </w:rPr>
        <w:t xml:space="preserve">an </w:t>
      </w:r>
      <w:r w:rsidRPr="00766575">
        <w:rPr>
          <w:rFonts w:eastAsia="Calibri"/>
          <w:lang w:eastAsia="en-US"/>
        </w:rPr>
        <w:t xml:space="preserve">energy efficiency rating brought about without physical </w:t>
      </w:r>
      <w:r>
        <w:rPr>
          <w:rFonts w:eastAsia="Calibri"/>
          <w:lang w:eastAsia="en-US"/>
        </w:rPr>
        <w:t xml:space="preserve">alteration </w:t>
      </w:r>
      <w:r w:rsidR="00727BFE">
        <w:rPr>
          <w:rFonts w:eastAsia="Calibri"/>
          <w:lang w:eastAsia="en-US"/>
        </w:rPr>
        <w:t>of a</w:t>
      </w:r>
      <w:r w:rsidRPr="00766575">
        <w:rPr>
          <w:rFonts w:eastAsia="Calibri"/>
          <w:lang w:eastAsia="en-US"/>
        </w:rPr>
        <w:t xml:space="preserve"> building, such as changes in staff behaviour or operating hours are not intended to </w:t>
      </w:r>
      <w:r>
        <w:rPr>
          <w:rFonts w:eastAsia="Calibri"/>
          <w:lang w:eastAsia="en-US"/>
        </w:rPr>
        <w:t>be considered</w:t>
      </w:r>
      <w:r w:rsidRPr="00766575">
        <w:rPr>
          <w:rFonts w:eastAsia="Calibri"/>
          <w:lang w:eastAsia="en-US"/>
        </w:rPr>
        <w:t xml:space="preserve"> a major refurbishment. </w:t>
      </w:r>
    </w:p>
    <w:p w:rsidR="00314B26" w:rsidRDefault="00314B26" w:rsidP="00314B26">
      <w:pPr>
        <w:pStyle w:val="ListParagraph"/>
        <w:rPr>
          <w:rFonts w:eastAsia="Calibri"/>
          <w:lang w:eastAsia="en-US"/>
        </w:rPr>
      </w:pPr>
    </w:p>
    <w:p w:rsidR="00314B26" w:rsidRPr="00766575" w:rsidRDefault="00314B26" w:rsidP="00314B26">
      <w:pPr>
        <w:pStyle w:val="ListParagraph"/>
        <w:numPr>
          <w:ilvl w:val="0"/>
          <w:numId w:val="15"/>
        </w:numPr>
        <w:rPr>
          <w:rFonts w:eastAsia="Calibri"/>
          <w:lang w:eastAsia="en-US"/>
        </w:rPr>
      </w:pPr>
      <w:r>
        <w:rPr>
          <w:rFonts w:eastAsia="Calibri"/>
          <w:lang w:eastAsia="en-US"/>
        </w:rPr>
        <w:t>A major refurbishment must also impact a building’s energy efficiency such that the base building rating</w:t>
      </w:r>
      <w:r w:rsidR="00727BFE">
        <w:rPr>
          <w:rFonts w:eastAsia="Calibri"/>
          <w:lang w:eastAsia="en-US"/>
        </w:rPr>
        <w:t xml:space="preserve"> after the major refurbishment</w:t>
      </w:r>
      <w:r>
        <w:rPr>
          <w:rFonts w:eastAsia="Calibri"/>
          <w:lang w:eastAsia="en-US"/>
        </w:rPr>
        <w:t xml:space="preserve">, whether or not it can be produced, would be </w:t>
      </w:r>
      <w:r w:rsidR="00727BFE">
        <w:rPr>
          <w:rFonts w:eastAsia="Calibri"/>
          <w:lang w:eastAsia="en-US"/>
        </w:rPr>
        <w:t>different</w:t>
      </w:r>
      <w:r>
        <w:rPr>
          <w:rFonts w:eastAsia="Calibri"/>
          <w:lang w:eastAsia="en-US"/>
        </w:rPr>
        <w:t xml:space="preserve"> from the rating that would have been produced</w:t>
      </w:r>
      <w:r w:rsidR="00727BFE">
        <w:rPr>
          <w:rFonts w:eastAsia="Calibri"/>
          <w:lang w:eastAsia="en-US"/>
        </w:rPr>
        <w:t xml:space="preserve"> if a rating had been performed</w:t>
      </w:r>
      <w:r>
        <w:rPr>
          <w:rFonts w:eastAsia="Calibri"/>
          <w:lang w:eastAsia="en-US"/>
        </w:rPr>
        <w:t xml:space="preserve"> before the refurbishment. The methodology currently used to produce base building ratings, the National </w:t>
      </w:r>
      <w:r>
        <w:rPr>
          <w:rFonts w:eastAsia="Calibri"/>
          <w:lang w:eastAsia="en-US"/>
        </w:rPr>
        <w:lastRenderedPageBreak/>
        <w:t xml:space="preserve">Australian Built Environment Rating System (NABERS), rates buildings in half star increments. A major refurbishment must </w:t>
      </w:r>
      <w:r w:rsidR="00727BFE">
        <w:rPr>
          <w:rFonts w:eastAsia="Calibri"/>
          <w:lang w:eastAsia="en-US"/>
        </w:rPr>
        <w:t xml:space="preserve">therefore </w:t>
      </w:r>
      <w:r>
        <w:rPr>
          <w:rFonts w:eastAsia="Calibri"/>
          <w:lang w:eastAsia="en-US"/>
        </w:rPr>
        <w:t xml:space="preserve">alter a base building rating by at least half a star, higher or lower. Some buildings are unable to obtain a base building rating, for example due to a lack of data or sub-metering. For such buildings, a major refurbishment is one that would </w:t>
      </w:r>
      <w:r w:rsidR="00E34B79">
        <w:rPr>
          <w:rFonts w:eastAsia="Calibri"/>
          <w:lang w:eastAsia="en-US"/>
        </w:rPr>
        <w:t>affect</w:t>
      </w:r>
      <w:r>
        <w:rPr>
          <w:rFonts w:eastAsia="Calibri"/>
          <w:lang w:eastAsia="en-US"/>
        </w:rPr>
        <w:t xml:space="preserve"> the energy efficiency rating of the building</w:t>
      </w:r>
      <w:r w:rsidR="00727BFE">
        <w:rPr>
          <w:rFonts w:eastAsia="Calibri"/>
          <w:lang w:eastAsia="en-US"/>
        </w:rPr>
        <w:t>,</w:t>
      </w:r>
      <w:r>
        <w:rPr>
          <w:rFonts w:eastAsia="Calibri"/>
          <w:lang w:eastAsia="en-US"/>
        </w:rPr>
        <w:t xml:space="preserve"> if the rating was able to be produced</w:t>
      </w:r>
      <w:r w:rsidR="00727BFE">
        <w:rPr>
          <w:rFonts w:eastAsia="Calibri"/>
          <w:lang w:eastAsia="en-US"/>
        </w:rPr>
        <w:t>,</w:t>
      </w:r>
      <w:r>
        <w:rPr>
          <w:rFonts w:eastAsia="Calibri"/>
          <w:lang w:eastAsia="en-US"/>
        </w:rPr>
        <w:t xml:space="preserve"> before and after the re</w:t>
      </w:r>
      <w:r w:rsidR="0032273C">
        <w:rPr>
          <w:rFonts w:eastAsia="Calibri"/>
          <w:lang w:eastAsia="en-US"/>
        </w:rPr>
        <w:t>furbishmen</w:t>
      </w:r>
      <w:r>
        <w:rPr>
          <w:rFonts w:eastAsia="Calibri"/>
          <w:lang w:eastAsia="en-US"/>
        </w:rPr>
        <w:t xml:space="preserve">t. </w:t>
      </w:r>
    </w:p>
    <w:p w:rsidR="00CC0418" w:rsidRDefault="00CC0418" w:rsidP="00CC0418"/>
    <w:p w:rsidR="00CC0418" w:rsidRDefault="00CC0418" w:rsidP="00CC0418">
      <w:pPr>
        <w:rPr>
          <w:u w:val="single"/>
        </w:rPr>
      </w:pPr>
      <w:r>
        <w:rPr>
          <w:u w:val="single"/>
        </w:rPr>
        <w:t xml:space="preserve">Clause 5 - Disclosure affected buildings </w:t>
      </w:r>
    </w:p>
    <w:p w:rsidR="00CC0418" w:rsidRDefault="00CC0418" w:rsidP="00CC0418">
      <w:pPr>
        <w:rPr>
          <w:u w:val="single"/>
        </w:rPr>
      </w:pPr>
    </w:p>
    <w:p w:rsidR="00CC0418" w:rsidRDefault="00CC0418" w:rsidP="00CC0418">
      <w:r>
        <w:t>This clause specifies, for the purposes of subsection 10(1) of the Act, the kinds of buildings that are disclosure affected.</w:t>
      </w:r>
    </w:p>
    <w:p w:rsidR="00CC0418" w:rsidRDefault="00CC0418" w:rsidP="00CC0418"/>
    <w:p w:rsidR="00CC0418" w:rsidRDefault="00CC0418" w:rsidP="00CC0418">
      <w:r>
        <w:t>A building is disclosure affected if:</w:t>
      </w:r>
    </w:p>
    <w:p w:rsidR="00CC0418" w:rsidRDefault="00CC0418" w:rsidP="00CC0418"/>
    <w:p w:rsidR="00CC0418" w:rsidRPr="00AC153F" w:rsidRDefault="00CC0418" w:rsidP="00CC0418">
      <w:pPr>
        <w:numPr>
          <w:ilvl w:val="0"/>
          <w:numId w:val="7"/>
        </w:numPr>
        <w:tabs>
          <w:tab w:val="clear" w:pos="1134"/>
          <w:tab w:val="num" w:pos="900"/>
        </w:tabs>
        <w:ind w:left="900" w:hanging="475"/>
      </w:pPr>
      <w:r w:rsidRPr="00AC153F">
        <w:t>the following criteria are met:</w:t>
      </w:r>
    </w:p>
    <w:p w:rsidR="00CC0418" w:rsidRPr="00AC153F" w:rsidRDefault="00CC0418" w:rsidP="00CC0418">
      <w:pPr>
        <w:numPr>
          <w:ilvl w:val="0"/>
          <w:numId w:val="3"/>
        </w:numPr>
        <w:rPr>
          <w:i/>
        </w:rPr>
      </w:pPr>
      <w:r w:rsidRPr="00AC153F">
        <w:rPr>
          <w:i/>
        </w:rPr>
        <w:t>at least 75% of the space in the building by net lettable area (or gross lettable area</w:t>
      </w:r>
      <w:r>
        <w:rPr>
          <w:i/>
        </w:rPr>
        <w:t xml:space="preserve"> where net lettable area is not available</w:t>
      </w:r>
      <w:r w:rsidRPr="00AC153F">
        <w:rPr>
          <w:i/>
        </w:rPr>
        <w:t>) is for administrative, clerical, professional or similar information</w:t>
      </w:r>
      <w:r w:rsidRPr="00AC153F">
        <w:rPr>
          <w:i/>
        </w:rPr>
        <w:noBreakHyphen/>
        <w:t>based activities, including any support facilities for those activities</w:t>
      </w:r>
      <w:r w:rsidRPr="00AC153F">
        <w:t xml:space="preserve">.  The terms ‘net lettable area' and ‘gross lettable area’ are defined in clause </w:t>
      </w:r>
      <w:r>
        <w:t>4</w:t>
      </w:r>
      <w:r w:rsidRPr="00AC153F">
        <w:t xml:space="preserve">.  </w:t>
      </w:r>
      <w:r>
        <w:t xml:space="preserve">Net lettable area remains the preferred method for measuring floor space in a building.  However, in some mixed use buildings such as combined office/warehouses, gross lettable area may be the industry standard for measurement.  In this case, if net lettable area is not available, gross lettable area may be used instead.  </w:t>
      </w:r>
      <w:r w:rsidRPr="00AC153F">
        <w:t xml:space="preserve">The phrase ‘administrative, clerical, professional or similar information-based activities’ is intended to encompass all activities that would usually take place in a commercial office space.  The term ‘support facilities’ is defined in clause </w:t>
      </w:r>
      <w:r>
        <w:t>4</w:t>
      </w:r>
      <w:r w:rsidRPr="00AC153F">
        <w:t xml:space="preserve">.  Mixed use buildings where less than 75% of the space is dedicated to these activities are not </w:t>
      </w:r>
      <w:r>
        <w:t>disclosure affected.</w:t>
      </w:r>
      <w:r w:rsidRPr="00AC153F">
        <w:t xml:space="preserve">  It is intended to review this position during the transition period (prior to 1 November 2011); and</w:t>
      </w:r>
    </w:p>
    <w:p w:rsidR="00CC0418" w:rsidRPr="00AC153F" w:rsidRDefault="00CC0418" w:rsidP="00CC0418">
      <w:pPr>
        <w:numPr>
          <w:ilvl w:val="0"/>
          <w:numId w:val="3"/>
        </w:numPr>
      </w:pPr>
      <w:r w:rsidRPr="00AC153F">
        <w:rPr>
          <w:i/>
        </w:rPr>
        <w:t xml:space="preserve">the net lettable area </w:t>
      </w:r>
      <w:r>
        <w:rPr>
          <w:i/>
        </w:rPr>
        <w:t>(or gross lettable area</w:t>
      </w:r>
      <w:r w:rsidRPr="005A3834">
        <w:rPr>
          <w:i/>
        </w:rPr>
        <w:t xml:space="preserve"> </w:t>
      </w:r>
      <w:r>
        <w:rPr>
          <w:i/>
        </w:rPr>
        <w:t xml:space="preserve">where net lettable area is not available) </w:t>
      </w:r>
      <w:r w:rsidRPr="00AC153F">
        <w:rPr>
          <w:i/>
        </w:rPr>
        <w:t>of the space in the building that is for administrative, clerical, professional or similar information</w:t>
      </w:r>
      <w:r w:rsidRPr="00AC153F">
        <w:rPr>
          <w:i/>
        </w:rPr>
        <w:noBreakHyphen/>
        <w:t xml:space="preserve">based activities, including any support facilities for those activities, is at least 2000 square metres. </w:t>
      </w:r>
      <w:r w:rsidRPr="00AC153F">
        <w:t>This paragraph is intended to exclude smaller office buildings;</w:t>
      </w:r>
    </w:p>
    <w:p w:rsidR="00CC0418" w:rsidRPr="00AC153F" w:rsidRDefault="00CC0418" w:rsidP="00CC0418">
      <w:r w:rsidRPr="00AC153F">
        <w:t>and</w:t>
      </w:r>
    </w:p>
    <w:p w:rsidR="00CC0418" w:rsidRPr="00AC153F" w:rsidRDefault="00CC0418" w:rsidP="00CC0418"/>
    <w:p w:rsidR="00CC0418" w:rsidRPr="00AC153F" w:rsidRDefault="00CC0418" w:rsidP="00CC0418">
      <w:pPr>
        <w:numPr>
          <w:ilvl w:val="0"/>
          <w:numId w:val="7"/>
        </w:numPr>
        <w:tabs>
          <w:tab w:val="clear" w:pos="1134"/>
          <w:tab w:val="num" w:pos="900"/>
        </w:tabs>
        <w:ind w:left="900" w:hanging="475"/>
      </w:pPr>
      <w:r w:rsidRPr="00AC153F">
        <w:t xml:space="preserve">neither of the following </w:t>
      </w:r>
      <w:r w:rsidR="00752DCD">
        <w:t>three</w:t>
      </w:r>
      <w:r w:rsidR="00752DCD" w:rsidRPr="00AC153F">
        <w:t xml:space="preserve"> </w:t>
      </w:r>
      <w:r w:rsidRPr="00AC153F">
        <w:t>exceptions apply:</w:t>
      </w:r>
    </w:p>
    <w:p w:rsidR="00CC0418" w:rsidRPr="00506B39" w:rsidRDefault="00727BFE" w:rsidP="00CC0418">
      <w:pPr>
        <w:numPr>
          <w:ilvl w:val="0"/>
          <w:numId w:val="3"/>
        </w:numPr>
        <w:rPr>
          <w:u w:val="single"/>
        </w:rPr>
      </w:pPr>
      <w:r w:rsidRPr="00727BFE">
        <w:t xml:space="preserve"> </w:t>
      </w:r>
      <w:r>
        <w:rPr>
          <w:i/>
        </w:rPr>
        <w:t>the buildin</w:t>
      </w:r>
      <w:r w:rsidR="000A5035">
        <w:rPr>
          <w:i/>
        </w:rPr>
        <w:t>g</w:t>
      </w:r>
      <w:r w:rsidRPr="00727BFE">
        <w:rPr>
          <w:i/>
        </w:rPr>
        <w:t xml:space="preserve"> is new and a certificate of occupancy (however described) indicating that the building is safe for occupancy is required to be issued by a local authority under a law of a State or Territory in order for the building to be occupied and the certificate has not yet been issued or was issued less than 2 years before the day..</w:t>
      </w:r>
      <w:r w:rsidR="00CC0418" w:rsidRPr="00AC153F">
        <w:rPr>
          <w:i/>
        </w:rPr>
        <w:t xml:space="preserve"> </w:t>
      </w:r>
      <w:r w:rsidR="00CC0418" w:rsidRPr="00AC153F">
        <w:t>This exception is intended to cover new constructions in relation to which a certificate of occupancy</w:t>
      </w:r>
      <w:r>
        <w:t xml:space="preserve"> or equivalent requirement</w:t>
      </w:r>
      <w:r w:rsidR="00CC0418" w:rsidRPr="00AC153F">
        <w:t xml:space="preserve"> is required under a law of a State or Territory prior to the building being occupied.  </w:t>
      </w:r>
      <w:r w:rsidR="00CC0418" w:rsidRPr="00AC153F">
        <w:lastRenderedPageBreak/>
        <w:t xml:space="preserve">It is intended to </w:t>
      </w:r>
      <w:r w:rsidR="00CC0418">
        <w:t>except</w:t>
      </w:r>
      <w:r w:rsidR="00CC0418" w:rsidRPr="00AC153F">
        <w:t xml:space="preserve"> such buildings</w:t>
      </w:r>
      <w:r w:rsidR="00CC0418">
        <w:t xml:space="preserve"> </w:t>
      </w:r>
      <w:r w:rsidR="00CC0418" w:rsidRPr="00AC153F">
        <w:t xml:space="preserve">up </w:t>
      </w:r>
      <w:r w:rsidR="00CC0418">
        <w:t xml:space="preserve">to </w:t>
      </w:r>
      <w:r w:rsidR="00CC0418" w:rsidRPr="00AC153F">
        <w:t>two years after the issue of the certific</w:t>
      </w:r>
      <w:r w:rsidR="00CC0418">
        <w:t>ate</w:t>
      </w:r>
      <w:r w:rsidR="00CC0418" w:rsidRPr="00AC153F">
        <w:t>; or</w:t>
      </w:r>
    </w:p>
    <w:p w:rsidR="00506B39" w:rsidRDefault="00506B39" w:rsidP="00E34B79">
      <w:pPr>
        <w:pStyle w:val="P1"/>
        <w:numPr>
          <w:ilvl w:val="0"/>
          <w:numId w:val="3"/>
        </w:numPr>
        <w:tabs>
          <w:tab w:val="clear" w:pos="1191"/>
        </w:tabs>
        <w:spacing w:before="180"/>
        <w:jc w:val="left"/>
      </w:pPr>
      <w:r w:rsidRPr="00727BFE">
        <w:rPr>
          <w:i/>
        </w:rPr>
        <w:t>the building has had a major refurbishment and</w:t>
      </w:r>
      <w:r w:rsidR="00E34B79" w:rsidRPr="00E34B79">
        <w:rPr>
          <w:i/>
        </w:rPr>
        <w:t xml:space="preserve"> </w:t>
      </w:r>
      <w:r w:rsidRPr="00506B39">
        <w:rPr>
          <w:i/>
        </w:rPr>
        <w:t xml:space="preserve">a certificate of occupancy (however described) indicating that the building is safe for occupancy was required to be issued by a local authority under a law of a State or Territory in order for the building to be occupied and the certificate was issued less than 2 years </w:t>
      </w:r>
      <w:r w:rsidR="00752DCD">
        <w:rPr>
          <w:i/>
        </w:rPr>
        <w:t>before the day</w:t>
      </w:r>
      <w:r>
        <w:t xml:space="preserve">. Major refurbishment is defined in clause 4. This exception is intended to cover major refurbishments in which a certificate of occupancy or equivalent </w:t>
      </w:r>
      <w:r w:rsidR="00752DCD">
        <w:t xml:space="preserve">authorisation </w:t>
      </w:r>
      <w:r w:rsidR="00727BFE" w:rsidRPr="00727BFE">
        <w:t>is required under a law of a State or Territory prior to the building being occupied</w:t>
      </w:r>
      <w:r w:rsidR="00727BFE" w:rsidRPr="00727BFE" w:rsidDel="00727BFE">
        <w:t xml:space="preserve"> </w:t>
      </w:r>
      <w:r w:rsidR="00752DCD">
        <w:t xml:space="preserve"> following the </w:t>
      </w:r>
      <w:r w:rsidR="00727BFE">
        <w:t>conclusion</w:t>
      </w:r>
      <w:r w:rsidR="00752DCD">
        <w:t xml:space="preserve"> of the major refurbishment. It is only intended to exempt such buildings once the certificate of occupancy is issued. Whilst a major re</w:t>
      </w:r>
      <w:r w:rsidR="0032273C">
        <w:t>furbishmen</w:t>
      </w:r>
      <w:r w:rsidR="00752DCD">
        <w:t>t is</w:t>
      </w:r>
      <w:r w:rsidR="00727BFE">
        <w:t xml:space="preserve"> currently</w:t>
      </w:r>
      <w:r w:rsidR="00752DCD">
        <w:t xml:space="preserve"> being undertaken, entities to which a disclosure obligation applies</w:t>
      </w:r>
      <w:r w:rsidR="0032273C">
        <w:t>,</w:t>
      </w:r>
      <w:r w:rsidR="00752DCD">
        <w:t xml:space="preserve"> may </w:t>
      </w:r>
      <w:r w:rsidR="0032273C">
        <w:t xml:space="preserve">be able to </w:t>
      </w:r>
      <w:r w:rsidR="00752DCD">
        <w:t>apply for an exemption under s 17(3)(b) of the Act; or</w:t>
      </w:r>
    </w:p>
    <w:p w:rsidR="00506B39" w:rsidRPr="00AC153F" w:rsidRDefault="00506B39" w:rsidP="00752DCD">
      <w:pPr>
        <w:ind w:left="1440"/>
        <w:rPr>
          <w:u w:val="single"/>
        </w:rPr>
      </w:pPr>
    </w:p>
    <w:p w:rsidR="00CC0418" w:rsidRDefault="00CC0418" w:rsidP="00CC0418">
      <w:pPr>
        <w:numPr>
          <w:ilvl w:val="0"/>
          <w:numId w:val="3"/>
        </w:numPr>
      </w:pPr>
      <w:r w:rsidRPr="00AC153F">
        <w:rPr>
          <w:i/>
        </w:rPr>
        <w:t>the building is held under a strata title system (however described</w:t>
      </w:r>
      <w:r>
        <w:rPr>
          <w:i/>
        </w:rPr>
        <w:t xml:space="preserve">).  </w:t>
      </w:r>
      <w:r>
        <w:t>This exception recognises the difficulty that is likely to be encountered in assessing the energy efficiency of strata titled offices at this time.  It is intended that this exception will be reviewed when an appropriate assessment methodology becomes available.</w:t>
      </w:r>
    </w:p>
    <w:p w:rsidR="00CC0418" w:rsidRDefault="00CC0418" w:rsidP="00CC0418"/>
    <w:p w:rsidR="00CC0418" w:rsidRDefault="00CC0418" w:rsidP="00CC0418">
      <w:pPr>
        <w:rPr>
          <w:u w:val="single"/>
        </w:rPr>
      </w:pPr>
      <w:r w:rsidRPr="0057220D">
        <w:rPr>
          <w:u w:val="single"/>
        </w:rPr>
        <w:t xml:space="preserve">Clause </w:t>
      </w:r>
      <w:r>
        <w:rPr>
          <w:u w:val="single"/>
        </w:rPr>
        <w:t>6</w:t>
      </w:r>
      <w:r w:rsidRPr="0057220D">
        <w:rPr>
          <w:u w:val="single"/>
        </w:rPr>
        <w:t xml:space="preserve"> - </w:t>
      </w:r>
      <w:r>
        <w:rPr>
          <w:u w:val="single"/>
        </w:rPr>
        <w:t xml:space="preserve">Disclosure affected areas of a building </w:t>
      </w:r>
    </w:p>
    <w:p w:rsidR="00CC0418" w:rsidRDefault="00CC0418" w:rsidP="00CC0418">
      <w:pPr>
        <w:rPr>
          <w:u w:val="single"/>
        </w:rPr>
      </w:pPr>
    </w:p>
    <w:p w:rsidR="00CC0418" w:rsidRDefault="00CC0418" w:rsidP="00CC0418">
      <w:r>
        <w:t xml:space="preserve">This clause specifies, for the purposes of subsection 10(2) of the Act, the kinds of areas of buildings that are disclosure affected.  </w:t>
      </w:r>
    </w:p>
    <w:p w:rsidR="00CC0418" w:rsidRDefault="00CC0418" w:rsidP="00CC0418"/>
    <w:p w:rsidR="00CC0418" w:rsidRPr="00AC153F" w:rsidRDefault="00CC0418" w:rsidP="00CC0418">
      <w:r>
        <w:t xml:space="preserve">An area </w:t>
      </w:r>
      <w:r w:rsidRPr="00AC153F">
        <w:t xml:space="preserve">of a building is disclosure affected if: </w:t>
      </w:r>
    </w:p>
    <w:p w:rsidR="00CC0418" w:rsidRPr="00AC153F" w:rsidRDefault="00CC0418" w:rsidP="00CC0418"/>
    <w:p w:rsidR="00CC0418" w:rsidRPr="00AC153F" w:rsidRDefault="00CC0418" w:rsidP="00CC0418">
      <w:pPr>
        <w:numPr>
          <w:ilvl w:val="0"/>
          <w:numId w:val="13"/>
        </w:numPr>
      </w:pPr>
      <w:r w:rsidRPr="00AC153F">
        <w:t xml:space="preserve">the following criteria are met: </w:t>
      </w:r>
    </w:p>
    <w:p w:rsidR="00CC0418" w:rsidRPr="00AC153F" w:rsidRDefault="00CC0418" w:rsidP="00CC0418">
      <w:pPr>
        <w:numPr>
          <w:ilvl w:val="0"/>
          <w:numId w:val="3"/>
        </w:numPr>
        <w:rPr>
          <w:i/>
        </w:rPr>
      </w:pPr>
      <w:r w:rsidRPr="00AC153F">
        <w:rPr>
          <w:i/>
        </w:rPr>
        <w:t xml:space="preserve">at least 75% of the space </w:t>
      </w:r>
      <w:r w:rsidRPr="00153CE8">
        <w:rPr>
          <w:i/>
        </w:rPr>
        <w:t>in the building</w:t>
      </w:r>
      <w:r w:rsidRPr="00AC153F">
        <w:rPr>
          <w:i/>
        </w:rPr>
        <w:t xml:space="preserve"> by net lettable area</w:t>
      </w:r>
      <w:r>
        <w:rPr>
          <w:i/>
        </w:rPr>
        <w:t>(or gross lettable area</w:t>
      </w:r>
      <w:r w:rsidRPr="005A3834">
        <w:rPr>
          <w:i/>
        </w:rPr>
        <w:t xml:space="preserve"> </w:t>
      </w:r>
      <w:r>
        <w:rPr>
          <w:i/>
        </w:rPr>
        <w:t>where net lettable area is not available)</w:t>
      </w:r>
      <w:r w:rsidRPr="00AC153F">
        <w:rPr>
          <w:i/>
        </w:rPr>
        <w:t xml:space="preserve"> is for administrative, clerical, professional or similar information</w:t>
      </w:r>
      <w:r w:rsidRPr="00AC153F">
        <w:rPr>
          <w:i/>
        </w:rPr>
        <w:noBreakHyphen/>
        <w:t>based activities, including any support facilities for those activities</w:t>
      </w:r>
      <w:r w:rsidRPr="00AC153F">
        <w:t>.</w:t>
      </w:r>
      <w:r w:rsidRPr="00AC153F">
        <w:rPr>
          <w:i/>
        </w:rPr>
        <w:t xml:space="preserve"> </w:t>
      </w:r>
      <w:r w:rsidRPr="00AC153F">
        <w:t xml:space="preserve">This paragraph is the same as paragraph 5(2)(a).  It gives effect to the intention that any building where less than 75% of the space is dedicated to usual commercial office activities is neither a disclosure affected building nor contains any disclosure affected areas.  It is intended </w:t>
      </w:r>
      <w:r>
        <w:t>that</w:t>
      </w:r>
      <w:r w:rsidRPr="00AC153F">
        <w:t xml:space="preserve"> this </w:t>
      </w:r>
      <w:r>
        <w:t>treatment will be reviewed</w:t>
      </w:r>
      <w:r w:rsidRPr="00AC153F">
        <w:t xml:space="preserve"> during the transition period (prior to 1 November 2011); and</w:t>
      </w:r>
    </w:p>
    <w:p w:rsidR="00CC0418" w:rsidRPr="00AC153F" w:rsidRDefault="00CC0418" w:rsidP="00CC0418">
      <w:pPr>
        <w:numPr>
          <w:ilvl w:val="0"/>
          <w:numId w:val="3"/>
        </w:numPr>
      </w:pPr>
      <w:r w:rsidRPr="00AC153F">
        <w:rPr>
          <w:i/>
        </w:rPr>
        <w:t>the net lettable area</w:t>
      </w:r>
      <w:r w:rsidRPr="005A3834">
        <w:rPr>
          <w:i/>
        </w:rPr>
        <w:t xml:space="preserve"> </w:t>
      </w:r>
      <w:r>
        <w:rPr>
          <w:i/>
        </w:rPr>
        <w:t>(or gross lettable area where net lettable area is not available)</w:t>
      </w:r>
      <w:r w:rsidRPr="00AC153F">
        <w:rPr>
          <w:i/>
        </w:rPr>
        <w:t xml:space="preserve"> of the space in the building that is for administrative, clerical, professional or similar information</w:t>
      </w:r>
      <w:r w:rsidRPr="00AC153F">
        <w:rPr>
          <w:i/>
        </w:rPr>
        <w:noBreakHyphen/>
        <w:t xml:space="preserve">based activities, including any support facilities for those activities, is at least 2000 square metres.  </w:t>
      </w:r>
      <w:r w:rsidRPr="00AC153F">
        <w:t>This paragraph is intended to exclude smaller office areas</w:t>
      </w:r>
      <w:r>
        <w:t>;</w:t>
      </w:r>
    </w:p>
    <w:p w:rsidR="00CC0418" w:rsidRPr="00AC153F" w:rsidRDefault="00CC0418" w:rsidP="00CC0418">
      <w:r w:rsidRPr="00AC153F">
        <w:t>and</w:t>
      </w:r>
    </w:p>
    <w:p w:rsidR="00CC0418" w:rsidRPr="00AC153F" w:rsidRDefault="00CC0418" w:rsidP="00CC0418"/>
    <w:p w:rsidR="00CC0418" w:rsidRPr="00AC153F" w:rsidRDefault="00CC0418" w:rsidP="00CC0418">
      <w:pPr>
        <w:numPr>
          <w:ilvl w:val="0"/>
          <w:numId w:val="13"/>
        </w:numPr>
      </w:pPr>
      <w:r w:rsidRPr="00AC153F">
        <w:t xml:space="preserve">neither of the following </w:t>
      </w:r>
      <w:r w:rsidR="00752DCD">
        <w:t>three</w:t>
      </w:r>
      <w:r w:rsidR="00752DCD" w:rsidRPr="00AC153F">
        <w:t xml:space="preserve"> </w:t>
      </w:r>
      <w:r w:rsidRPr="00AC153F">
        <w:t>exceptions apply:</w:t>
      </w:r>
    </w:p>
    <w:p w:rsidR="00CC0418" w:rsidRPr="00752DCD" w:rsidRDefault="00727BFE" w:rsidP="00CC0418">
      <w:pPr>
        <w:numPr>
          <w:ilvl w:val="0"/>
          <w:numId w:val="3"/>
        </w:numPr>
        <w:rPr>
          <w:u w:val="single"/>
        </w:rPr>
      </w:pPr>
      <w:r w:rsidRPr="00727BFE">
        <w:rPr>
          <w:i/>
        </w:rPr>
        <w:lastRenderedPageBreak/>
        <w:t>the building in which it is located is new; and a certificate of occupancy (however described) indicating that the building is safe for occupancy is required to be issued by a local authority under a law of a State or Territory in order for the building to be occupied and the certificate has not yet been issued or was issued less than 2 years before the day.</w:t>
      </w:r>
      <w:r>
        <w:rPr>
          <w:i/>
        </w:rPr>
        <w:t xml:space="preserve"> </w:t>
      </w:r>
      <w:r w:rsidR="00CC0418" w:rsidRPr="00AC153F">
        <w:t>This exception is the same as in clause 5; or</w:t>
      </w:r>
    </w:p>
    <w:p w:rsidR="00752DCD" w:rsidRPr="00752DCD" w:rsidRDefault="00752DCD" w:rsidP="00752DCD">
      <w:pPr>
        <w:pStyle w:val="P1"/>
        <w:numPr>
          <w:ilvl w:val="0"/>
          <w:numId w:val="3"/>
        </w:numPr>
        <w:tabs>
          <w:tab w:val="clear" w:pos="1191"/>
        </w:tabs>
        <w:spacing w:before="180"/>
      </w:pPr>
      <w:r w:rsidRPr="00752DCD">
        <w:rPr>
          <w:i/>
        </w:rPr>
        <w:t xml:space="preserve">the building in which it is located has had a major refurbishment; and a certificate of occupancy (however described) indicating that the building is safe for occupancy was required to be issued by a local authority under a law of a State or Territory in order for the building to be occupied and the certificate was issued less than 2 years before the day.  </w:t>
      </w:r>
      <w:r>
        <w:t>This exception is the same as in clause 5; or</w:t>
      </w:r>
    </w:p>
    <w:p w:rsidR="00752DCD" w:rsidRPr="00AC153F" w:rsidRDefault="00752DCD" w:rsidP="00752DCD">
      <w:pPr>
        <w:ind w:left="1440"/>
        <w:rPr>
          <w:u w:val="single"/>
        </w:rPr>
      </w:pPr>
    </w:p>
    <w:p w:rsidR="00CC0418" w:rsidRPr="00AC153F" w:rsidRDefault="00CC0418" w:rsidP="00CC0418">
      <w:pPr>
        <w:numPr>
          <w:ilvl w:val="0"/>
          <w:numId w:val="3"/>
        </w:numPr>
      </w:pPr>
      <w:r w:rsidRPr="00AC153F">
        <w:rPr>
          <w:i/>
        </w:rPr>
        <w:t xml:space="preserve">the building is held under a strata title system (however described).  </w:t>
      </w:r>
      <w:r w:rsidRPr="00AC153F">
        <w:t>This exception is the same as in clause 5.</w:t>
      </w:r>
    </w:p>
    <w:p w:rsidR="007C7B6E" w:rsidRPr="00CC0418" w:rsidRDefault="007C7B6E" w:rsidP="00CC0418"/>
    <w:sectPr w:rsidR="007C7B6E" w:rsidRPr="00CC0418" w:rsidSect="00CC041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4A42"/>
    <w:multiLevelType w:val="hybridMultilevel"/>
    <w:tmpl w:val="2B7A3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EB6B96"/>
    <w:multiLevelType w:val="hybridMultilevel"/>
    <w:tmpl w:val="A3CE865E"/>
    <w:lvl w:ilvl="0" w:tplc="A7D2C5E8">
      <w:start w:val="1"/>
      <w:numFmt w:val="lowerLetter"/>
      <w:lvlText w:val="%1)"/>
      <w:lvlJc w:val="left"/>
      <w:pPr>
        <w:tabs>
          <w:tab w:val="num" w:pos="1134"/>
        </w:tabs>
        <w:ind w:left="1134"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7802CC2"/>
    <w:multiLevelType w:val="multilevel"/>
    <w:tmpl w:val="A3CE865E"/>
    <w:lvl w:ilvl="0">
      <w:start w:val="1"/>
      <w:numFmt w:val="lowerLetter"/>
      <w:lvlText w:val="%1)"/>
      <w:lvlJc w:val="left"/>
      <w:pPr>
        <w:tabs>
          <w:tab w:val="num" w:pos="1134"/>
        </w:tabs>
        <w:ind w:left="1134"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D8B275E"/>
    <w:multiLevelType w:val="hybridMultilevel"/>
    <w:tmpl w:val="E9065048"/>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4">
    <w:nsid w:val="21C35E64"/>
    <w:multiLevelType w:val="hybridMultilevel"/>
    <w:tmpl w:val="59C6693A"/>
    <w:lvl w:ilvl="0" w:tplc="37EA8E9C">
      <w:start w:val="1"/>
      <w:numFmt w:val="lowerLetter"/>
      <w:lvlText w:val="(%1)"/>
      <w:lvlJc w:val="left"/>
      <w:pPr>
        <w:tabs>
          <w:tab w:val="num" w:pos="735"/>
        </w:tabs>
        <w:ind w:left="735" w:hanging="37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28422B14"/>
    <w:multiLevelType w:val="multilevel"/>
    <w:tmpl w:val="30FED778"/>
    <w:lvl w:ilvl="0">
      <w:start w:val="1"/>
      <w:numFmt w:val="lowerLetter"/>
      <w:lvlText w:val="%1)"/>
      <w:lvlJc w:val="left"/>
      <w:pPr>
        <w:tabs>
          <w:tab w:val="num" w:pos="1134"/>
        </w:tabs>
        <w:ind w:left="1134"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FA72D6"/>
    <w:multiLevelType w:val="hybridMultilevel"/>
    <w:tmpl w:val="88CA31AE"/>
    <w:lvl w:ilvl="0" w:tplc="A7D2C5E8">
      <w:start w:val="1"/>
      <w:numFmt w:val="lowerLetter"/>
      <w:lvlText w:val="%1)"/>
      <w:lvlJc w:val="left"/>
      <w:pPr>
        <w:tabs>
          <w:tab w:val="num" w:pos="1134"/>
        </w:tabs>
        <w:ind w:left="1134"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464043AC"/>
    <w:multiLevelType w:val="multilevel"/>
    <w:tmpl w:val="D82ED7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F7D3F68"/>
    <w:multiLevelType w:val="hybridMultilevel"/>
    <w:tmpl w:val="502AEDE8"/>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9">
    <w:nsid w:val="571A3C19"/>
    <w:multiLevelType w:val="hybridMultilevel"/>
    <w:tmpl w:val="B46AE52A"/>
    <w:lvl w:ilvl="0" w:tplc="302EADC8">
      <w:start w:val="1"/>
      <w:numFmt w:val="lowerLetter"/>
      <w:lvlText w:val="%1)"/>
      <w:lvlJc w:val="left"/>
      <w:pPr>
        <w:tabs>
          <w:tab w:val="num" w:pos="1134"/>
        </w:tabs>
        <w:ind w:left="1134"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5D362246"/>
    <w:multiLevelType w:val="hybridMultilevel"/>
    <w:tmpl w:val="1F5A3B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71870A8D"/>
    <w:multiLevelType w:val="hybridMultilevel"/>
    <w:tmpl w:val="EB8268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79F155B4"/>
    <w:multiLevelType w:val="hybridMultilevel"/>
    <w:tmpl w:val="36583B7C"/>
    <w:lvl w:ilvl="0" w:tplc="4CEEA1EE">
      <w:start w:val="1"/>
      <w:numFmt w:val="lowerLetter"/>
      <w:lvlText w:val="(%1)"/>
      <w:lvlJc w:val="left"/>
      <w:pPr>
        <w:ind w:left="1800" w:hanging="360"/>
      </w:pPr>
      <w:rPr>
        <w:rFonts w:hint="default"/>
      </w:rPr>
    </w:lvl>
    <w:lvl w:ilvl="1" w:tplc="0C090019" w:tentative="1">
      <w:start w:val="1"/>
      <w:numFmt w:val="lowerLetter"/>
      <w:lvlText w:val="%2."/>
      <w:lvlJc w:val="left"/>
      <w:pPr>
        <w:tabs>
          <w:tab w:val="num" w:pos="1104"/>
        </w:tabs>
        <w:ind w:left="1104" w:hanging="360"/>
      </w:pPr>
    </w:lvl>
    <w:lvl w:ilvl="2" w:tplc="0C09001B" w:tentative="1">
      <w:start w:val="1"/>
      <w:numFmt w:val="lowerRoman"/>
      <w:lvlText w:val="%3."/>
      <w:lvlJc w:val="right"/>
      <w:pPr>
        <w:tabs>
          <w:tab w:val="num" w:pos="1824"/>
        </w:tabs>
        <w:ind w:left="1824" w:hanging="180"/>
      </w:pPr>
    </w:lvl>
    <w:lvl w:ilvl="3" w:tplc="0C09000F" w:tentative="1">
      <w:start w:val="1"/>
      <w:numFmt w:val="decimal"/>
      <w:lvlText w:val="%4."/>
      <w:lvlJc w:val="left"/>
      <w:pPr>
        <w:tabs>
          <w:tab w:val="num" w:pos="2544"/>
        </w:tabs>
        <w:ind w:left="2544" w:hanging="360"/>
      </w:pPr>
    </w:lvl>
    <w:lvl w:ilvl="4" w:tplc="0C090019" w:tentative="1">
      <w:start w:val="1"/>
      <w:numFmt w:val="lowerLetter"/>
      <w:lvlText w:val="%5."/>
      <w:lvlJc w:val="left"/>
      <w:pPr>
        <w:tabs>
          <w:tab w:val="num" w:pos="3264"/>
        </w:tabs>
        <w:ind w:left="3264" w:hanging="360"/>
      </w:pPr>
    </w:lvl>
    <w:lvl w:ilvl="5" w:tplc="0C09001B" w:tentative="1">
      <w:start w:val="1"/>
      <w:numFmt w:val="lowerRoman"/>
      <w:lvlText w:val="%6."/>
      <w:lvlJc w:val="right"/>
      <w:pPr>
        <w:tabs>
          <w:tab w:val="num" w:pos="3984"/>
        </w:tabs>
        <w:ind w:left="3984" w:hanging="180"/>
      </w:pPr>
    </w:lvl>
    <w:lvl w:ilvl="6" w:tplc="0C09000F" w:tentative="1">
      <w:start w:val="1"/>
      <w:numFmt w:val="decimal"/>
      <w:lvlText w:val="%7."/>
      <w:lvlJc w:val="left"/>
      <w:pPr>
        <w:tabs>
          <w:tab w:val="num" w:pos="4704"/>
        </w:tabs>
        <w:ind w:left="4704" w:hanging="360"/>
      </w:pPr>
    </w:lvl>
    <w:lvl w:ilvl="7" w:tplc="0C090019" w:tentative="1">
      <w:start w:val="1"/>
      <w:numFmt w:val="lowerLetter"/>
      <w:lvlText w:val="%8."/>
      <w:lvlJc w:val="left"/>
      <w:pPr>
        <w:tabs>
          <w:tab w:val="num" w:pos="5424"/>
        </w:tabs>
        <w:ind w:left="5424" w:hanging="360"/>
      </w:pPr>
    </w:lvl>
    <w:lvl w:ilvl="8" w:tplc="0C09001B" w:tentative="1">
      <w:start w:val="1"/>
      <w:numFmt w:val="lowerRoman"/>
      <w:lvlText w:val="%9."/>
      <w:lvlJc w:val="right"/>
      <w:pPr>
        <w:tabs>
          <w:tab w:val="num" w:pos="6144"/>
        </w:tabs>
        <w:ind w:left="6144" w:hanging="180"/>
      </w:pPr>
    </w:lvl>
  </w:abstractNum>
  <w:abstractNum w:abstractNumId="13">
    <w:nsid w:val="7AAD0550"/>
    <w:multiLevelType w:val="hybridMultilevel"/>
    <w:tmpl w:val="06684680"/>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4">
    <w:nsid w:val="7E4C0772"/>
    <w:multiLevelType w:val="multilevel"/>
    <w:tmpl w:val="30FED778"/>
    <w:lvl w:ilvl="0">
      <w:start w:val="1"/>
      <w:numFmt w:val="lowerLetter"/>
      <w:lvlText w:val="%1)"/>
      <w:lvlJc w:val="left"/>
      <w:pPr>
        <w:tabs>
          <w:tab w:val="num" w:pos="1134"/>
        </w:tabs>
        <w:ind w:left="1134"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3"/>
  </w:num>
  <w:num w:numId="3">
    <w:abstractNumId w:val="13"/>
  </w:num>
  <w:num w:numId="4">
    <w:abstractNumId w:val="7"/>
  </w:num>
  <w:num w:numId="5">
    <w:abstractNumId w:val="9"/>
  </w:num>
  <w:num w:numId="6">
    <w:abstractNumId w:val="4"/>
  </w:num>
  <w:num w:numId="7">
    <w:abstractNumId w:val="1"/>
  </w:num>
  <w:num w:numId="8">
    <w:abstractNumId w:val="10"/>
  </w:num>
  <w:num w:numId="9">
    <w:abstractNumId w:val="8"/>
  </w:num>
  <w:num w:numId="10">
    <w:abstractNumId w:val="5"/>
  </w:num>
  <w:num w:numId="11">
    <w:abstractNumId w:val="14"/>
  </w:num>
  <w:num w:numId="12">
    <w:abstractNumId w:val="2"/>
  </w:num>
  <w:num w:numId="13">
    <w:abstractNumId w:val="6"/>
  </w:num>
  <w:num w:numId="14">
    <w:abstractNumId w:val="1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20"/>
  <w:noPunctuationKerning/>
  <w:characterSpacingControl w:val="doNotCompress"/>
  <w:compat/>
  <w:rsids>
    <w:rsidRoot w:val="00511E10"/>
    <w:rsid w:val="00027A1B"/>
    <w:rsid w:val="0008022D"/>
    <w:rsid w:val="00095AFF"/>
    <w:rsid w:val="000A5035"/>
    <w:rsid w:val="000F0164"/>
    <w:rsid w:val="00106255"/>
    <w:rsid w:val="00156449"/>
    <w:rsid w:val="00190EBF"/>
    <w:rsid w:val="001C1B18"/>
    <w:rsid w:val="002114F4"/>
    <w:rsid w:val="002D1DE3"/>
    <w:rsid w:val="002E41B8"/>
    <w:rsid w:val="0031099F"/>
    <w:rsid w:val="00314B26"/>
    <w:rsid w:val="0032273C"/>
    <w:rsid w:val="00343C68"/>
    <w:rsid w:val="00353597"/>
    <w:rsid w:val="003575B9"/>
    <w:rsid w:val="003C0040"/>
    <w:rsid w:val="003F11B2"/>
    <w:rsid w:val="004019BB"/>
    <w:rsid w:val="0042603C"/>
    <w:rsid w:val="00441AF0"/>
    <w:rsid w:val="0046181B"/>
    <w:rsid w:val="0046607D"/>
    <w:rsid w:val="00477569"/>
    <w:rsid w:val="00480DFE"/>
    <w:rsid w:val="004C5E5E"/>
    <w:rsid w:val="004F2224"/>
    <w:rsid w:val="004F37E6"/>
    <w:rsid w:val="00506B39"/>
    <w:rsid w:val="00507AD3"/>
    <w:rsid w:val="00511E10"/>
    <w:rsid w:val="00513521"/>
    <w:rsid w:val="00552456"/>
    <w:rsid w:val="0057220D"/>
    <w:rsid w:val="0059230E"/>
    <w:rsid w:val="005E6426"/>
    <w:rsid w:val="006E107E"/>
    <w:rsid w:val="007048C2"/>
    <w:rsid w:val="007248F5"/>
    <w:rsid w:val="00727BFE"/>
    <w:rsid w:val="0075282F"/>
    <w:rsid w:val="00752DCD"/>
    <w:rsid w:val="00795686"/>
    <w:rsid w:val="007A041D"/>
    <w:rsid w:val="007C7B6E"/>
    <w:rsid w:val="007D162D"/>
    <w:rsid w:val="007E6D15"/>
    <w:rsid w:val="00897C31"/>
    <w:rsid w:val="008A4416"/>
    <w:rsid w:val="008A5DF8"/>
    <w:rsid w:val="008D64B6"/>
    <w:rsid w:val="00911CB6"/>
    <w:rsid w:val="00922388"/>
    <w:rsid w:val="00944870"/>
    <w:rsid w:val="009459A1"/>
    <w:rsid w:val="009542E4"/>
    <w:rsid w:val="0098799C"/>
    <w:rsid w:val="009D43ED"/>
    <w:rsid w:val="009F5F8F"/>
    <w:rsid w:val="00A100EE"/>
    <w:rsid w:val="00A3657C"/>
    <w:rsid w:val="00A416DA"/>
    <w:rsid w:val="00A51201"/>
    <w:rsid w:val="00A81046"/>
    <w:rsid w:val="00AB5B8B"/>
    <w:rsid w:val="00AC126C"/>
    <w:rsid w:val="00AC153F"/>
    <w:rsid w:val="00AC2FE2"/>
    <w:rsid w:val="00AC45FE"/>
    <w:rsid w:val="00AF5349"/>
    <w:rsid w:val="00B05301"/>
    <w:rsid w:val="00B12F1F"/>
    <w:rsid w:val="00B15DF8"/>
    <w:rsid w:val="00B46131"/>
    <w:rsid w:val="00B83605"/>
    <w:rsid w:val="00BC0648"/>
    <w:rsid w:val="00BD6574"/>
    <w:rsid w:val="00C704FB"/>
    <w:rsid w:val="00CC0418"/>
    <w:rsid w:val="00CD54F2"/>
    <w:rsid w:val="00CF543F"/>
    <w:rsid w:val="00D035FC"/>
    <w:rsid w:val="00D3119E"/>
    <w:rsid w:val="00D73FF2"/>
    <w:rsid w:val="00DA6A3B"/>
    <w:rsid w:val="00E34B79"/>
    <w:rsid w:val="00E456BB"/>
    <w:rsid w:val="00E66646"/>
    <w:rsid w:val="00E94539"/>
    <w:rsid w:val="00EE1A97"/>
    <w:rsid w:val="00F42D94"/>
    <w:rsid w:val="00F4654C"/>
    <w:rsid w:val="00F55588"/>
    <w:rsid w:val="00F9675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2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AC126C"/>
    <w:rPr>
      <w:sz w:val="16"/>
      <w:szCs w:val="16"/>
    </w:rPr>
  </w:style>
  <w:style w:type="paragraph" w:styleId="CommentText">
    <w:name w:val="annotation text"/>
    <w:basedOn w:val="Normal"/>
    <w:semiHidden/>
    <w:rsid w:val="00AC126C"/>
    <w:rPr>
      <w:sz w:val="20"/>
      <w:szCs w:val="20"/>
    </w:rPr>
  </w:style>
  <w:style w:type="paragraph" w:styleId="CommentSubject">
    <w:name w:val="annotation subject"/>
    <w:basedOn w:val="CommentText"/>
    <w:next w:val="CommentText"/>
    <w:semiHidden/>
    <w:rsid w:val="00AC126C"/>
    <w:rPr>
      <w:b/>
      <w:bCs/>
    </w:rPr>
  </w:style>
  <w:style w:type="paragraph" w:styleId="BalloonText">
    <w:name w:val="Balloon Text"/>
    <w:basedOn w:val="Normal"/>
    <w:semiHidden/>
    <w:rsid w:val="00AC126C"/>
    <w:rPr>
      <w:rFonts w:ascii="Tahoma" w:hAnsi="Tahoma" w:cs="Tahoma"/>
      <w:sz w:val="16"/>
      <w:szCs w:val="16"/>
    </w:rPr>
  </w:style>
  <w:style w:type="character" w:styleId="Hyperlink">
    <w:name w:val="Hyperlink"/>
    <w:basedOn w:val="DefaultParagraphFont"/>
    <w:uiPriority w:val="99"/>
    <w:unhideWhenUsed/>
    <w:rsid w:val="00795686"/>
    <w:rPr>
      <w:color w:val="0000FF"/>
      <w:u w:val="single"/>
    </w:rPr>
  </w:style>
  <w:style w:type="paragraph" w:customStyle="1" w:styleId="P1">
    <w:name w:val="P1"/>
    <w:aliases w:val="(a)"/>
    <w:basedOn w:val="Normal"/>
    <w:rsid w:val="00506B39"/>
    <w:pPr>
      <w:keepLines/>
      <w:tabs>
        <w:tab w:val="right" w:pos="1191"/>
      </w:tabs>
      <w:spacing w:before="60" w:line="260" w:lineRule="exact"/>
      <w:ind w:left="1418" w:hanging="1418"/>
      <w:jc w:val="both"/>
    </w:pPr>
  </w:style>
  <w:style w:type="paragraph" w:styleId="ListParagraph">
    <w:name w:val="List Paragraph"/>
    <w:basedOn w:val="Normal"/>
    <w:uiPriority w:val="34"/>
    <w:qFormat/>
    <w:rsid w:val="00314B2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bd.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1769</Words>
  <Characters>9536</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EXPLANATORY STATEMENT</vt:lpstr>
    </vt:vector>
  </TitlesOfParts>
  <LinksUpToDate>false</LinksUpToDate>
  <CharactersWithSpaces>11283</CharactersWithSpaces>
  <SharedDoc>false</SharedDoc>
  <HLinks>
    <vt:vector size="6" baseType="variant">
      <vt:variant>
        <vt:i4>7536680</vt:i4>
      </vt:variant>
      <vt:variant>
        <vt:i4>0</vt:i4>
      </vt:variant>
      <vt:variant>
        <vt:i4>0</vt:i4>
      </vt:variant>
      <vt:variant>
        <vt:i4>5</vt:i4>
      </vt:variant>
      <vt:variant>
        <vt:lpwstr>http://www.cbd.gov.au/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
  <cp:lastModifiedBy/>
  <cp:revision>1</cp:revision>
  <cp:lastPrinted>2010-07-06T23:58:00Z</cp:lastPrinted>
  <dcterms:created xsi:type="dcterms:W3CDTF">2011-08-10T03:37:00Z</dcterms:created>
  <dcterms:modified xsi:type="dcterms:W3CDTF">2011-08-10T03:37:00Z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Objective-Id">
    <vt:lpwstr>B1278768</vt:lpwstr>
  </property>
  <property fmtid="{D5CDD505-2E9C-101B-9397-08002B2CF9AE}" pid="4" name="Objective-Comment">
    <vt:lpwstr/>
  </property>
  <property fmtid="{D5CDD505-2E9C-101B-9397-08002B2CF9AE}" pid="5" name="Objective-CreationStamp">
    <vt:filetime>2010-06-28T00:00:00Z</vt:filetime>
  </property>
  <property fmtid="{D5CDD505-2E9C-101B-9397-08002B2CF9AE}" pid="6" name="Objective-IsApproved">
    <vt:lpwstr>No</vt:lpwstr>
  </property>
  <property fmtid="{D5CDD505-2E9C-101B-9397-08002B2CF9AE}" pid="7" name="Objective-IsPublished">
    <vt:lpwstr>Yes</vt:lpwstr>
  </property>
  <property fmtid="{D5CDD505-2E9C-101B-9397-08002B2CF9AE}" pid="8" name="Objective-DatePublished">
    <vt:filetime>2010-07-02T00:00:00Z</vt:filetime>
  </property>
  <property fmtid="{D5CDD505-2E9C-101B-9397-08002B2CF9AE}" pid="9" name="Objective-ModificationStamp">
    <vt:filetime>2010-07-02T00:00:00Z</vt:filetime>
  </property>
  <property fmtid="{D5CDD505-2E9C-101B-9397-08002B2CF9AE}" pid="10" name="Objective-Owner">
    <vt:lpwstr>Sainsbery, Catherine</vt:lpwstr>
  </property>
  <property fmtid="{D5CDD505-2E9C-101B-9397-08002B2CF9AE}" pid="11" name="Objective-Path">
    <vt:lpwstr>i Know-how Top Level:Client Groups:Dept of Climate Change and Energy Efficiency:DCCEE - Advice Matters:Building Energy Efficiency Disclosure Bill Implementation (10022349):10022349 - Matter Documents:10022349 Documents:</vt:lpwstr>
  </property>
  <property fmtid="{D5CDD505-2E9C-101B-9397-08002B2CF9AE}" pid="12" name="Objective-Parent">
    <vt:lpwstr>10022349 Documents</vt:lpwstr>
  </property>
  <property fmtid="{D5CDD505-2E9C-101B-9397-08002B2CF9AE}" pid="13" name="Objective-State">
    <vt:lpwstr>Published</vt:lpwstr>
  </property>
  <property fmtid="{D5CDD505-2E9C-101B-9397-08002B2CF9AE}" pid="14" name="Objective-Title">
    <vt:lpwstr>Draft Explanatory Statement for the Disclosure Affected Buildings Determination</vt:lpwstr>
  </property>
  <property fmtid="{D5CDD505-2E9C-101B-9397-08002B2CF9AE}" pid="15" name="Objective-Version">
    <vt:lpwstr>2.0</vt:lpwstr>
  </property>
  <property fmtid="{D5CDD505-2E9C-101B-9397-08002B2CF9AE}" pid="16" name="Objective-VersionComment">
    <vt:lpwstr>Include retrospective operation explanation.</vt:lpwstr>
  </property>
  <property fmtid="{D5CDD505-2E9C-101B-9397-08002B2CF9AE}" pid="17" name="Objective-VersionNumber">
    <vt:i4>5</vt:i4>
  </property>
  <property fmtid="{D5CDD505-2E9C-101B-9397-08002B2CF9AE}" pid="18" name="Objective-FileNumber">
    <vt:lpwstr>10022349-002</vt:lpwstr>
  </property>
  <property fmtid="{D5CDD505-2E9C-101B-9397-08002B2CF9AE}" pid="19" name="Objective-Classification">
    <vt:lpwstr>Not classified</vt:lpwstr>
  </property>
  <property fmtid="{D5CDD505-2E9C-101B-9397-08002B2CF9AE}" pid="20" name="Objective-Caveats">
    <vt:lpwstr/>
  </property>
  <property fmtid="{D5CDD505-2E9C-101B-9397-08002B2CF9AE}" pid="21" name="Objective-Document Category [system]">
    <vt:lpwstr/>
  </property>
</Properties>
</file>