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11" w:rsidRDefault="00972611"/>
    <w:p w:rsidR="00972611" w:rsidRDefault="00972611" w:rsidP="00972611">
      <w:pPr>
        <w:jc w:val="center"/>
        <w:rPr>
          <w:rFonts w:ascii="Times" w:hAnsi="Times"/>
          <w:b/>
          <w:bCs/>
          <w:sz w:val="24"/>
          <w:szCs w:val="20"/>
        </w:rPr>
      </w:pPr>
      <w:r w:rsidRPr="00BB491E">
        <w:rPr>
          <w:rFonts w:ascii="Times" w:hAnsi="Times"/>
          <w:b/>
          <w:bCs/>
          <w:sz w:val="24"/>
          <w:szCs w:val="20"/>
        </w:rPr>
        <w:t>Australian Securities and Investments Commission</w:t>
      </w:r>
    </w:p>
    <w:p w:rsidR="003C497A" w:rsidRDefault="00972611" w:rsidP="00972611">
      <w:pPr>
        <w:jc w:val="center"/>
        <w:rPr>
          <w:rFonts w:ascii="Times" w:hAnsi="Times"/>
          <w:b/>
          <w:bCs/>
          <w:sz w:val="24"/>
          <w:szCs w:val="20"/>
        </w:rPr>
      </w:pPr>
      <w:r>
        <w:rPr>
          <w:rFonts w:ascii="Times" w:hAnsi="Times"/>
          <w:b/>
          <w:bCs/>
          <w:sz w:val="24"/>
          <w:szCs w:val="20"/>
        </w:rPr>
        <w:t>National Consumer Credit Protection Act 2009 —</w:t>
      </w:r>
      <w:r w:rsidRPr="00BB491E">
        <w:rPr>
          <w:rFonts w:ascii="Times" w:hAnsi="Times"/>
          <w:b/>
          <w:bCs/>
          <w:sz w:val="24"/>
          <w:szCs w:val="20"/>
        </w:rPr>
        <w:t xml:space="preserve"> </w:t>
      </w:r>
    </w:p>
    <w:p w:rsidR="00972611" w:rsidRDefault="00972611" w:rsidP="00972611">
      <w:pPr>
        <w:jc w:val="center"/>
        <w:rPr>
          <w:rFonts w:ascii="Times" w:hAnsi="Times"/>
          <w:b/>
          <w:bCs/>
          <w:sz w:val="24"/>
          <w:szCs w:val="20"/>
        </w:rPr>
      </w:pPr>
      <w:r>
        <w:rPr>
          <w:rFonts w:ascii="Times" w:hAnsi="Times"/>
          <w:b/>
          <w:bCs/>
          <w:sz w:val="24"/>
          <w:szCs w:val="20"/>
        </w:rPr>
        <w:t>Paragraph 1</w:t>
      </w:r>
      <w:r w:rsidR="007909CC">
        <w:rPr>
          <w:rFonts w:ascii="Times" w:hAnsi="Times"/>
          <w:b/>
          <w:bCs/>
          <w:sz w:val="24"/>
          <w:szCs w:val="20"/>
        </w:rPr>
        <w:t>63</w:t>
      </w:r>
      <w:r>
        <w:rPr>
          <w:rFonts w:ascii="Times" w:hAnsi="Times"/>
          <w:b/>
          <w:bCs/>
          <w:sz w:val="24"/>
          <w:szCs w:val="20"/>
        </w:rPr>
        <w:t>(</w:t>
      </w:r>
      <w:r w:rsidR="007909CC">
        <w:rPr>
          <w:rFonts w:ascii="Times" w:hAnsi="Times"/>
          <w:b/>
          <w:bCs/>
          <w:sz w:val="24"/>
          <w:szCs w:val="20"/>
        </w:rPr>
        <w:t>3</w:t>
      </w:r>
      <w:proofErr w:type="gramStart"/>
      <w:r>
        <w:rPr>
          <w:rFonts w:ascii="Times" w:hAnsi="Times"/>
          <w:b/>
          <w:bCs/>
          <w:sz w:val="24"/>
          <w:szCs w:val="20"/>
        </w:rPr>
        <w:t>)(</w:t>
      </w:r>
      <w:proofErr w:type="gramEnd"/>
      <w:r>
        <w:rPr>
          <w:rFonts w:ascii="Times" w:hAnsi="Times"/>
          <w:b/>
          <w:bCs/>
          <w:sz w:val="24"/>
          <w:szCs w:val="20"/>
        </w:rPr>
        <w:t>d) —</w:t>
      </w:r>
      <w:r w:rsidRPr="00BB491E">
        <w:rPr>
          <w:rFonts w:ascii="Times" w:hAnsi="Times"/>
          <w:b/>
          <w:bCs/>
          <w:sz w:val="24"/>
          <w:szCs w:val="20"/>
        </w:rPr>
        <w:t xml:space="preserve"> </w:t>
      </w:r>
      <w:r>
        <w:rPr>
          <w:rFonts w:ascii="Times" w:hAnsi="Times"/>
          <w:b/>
          <w:bCs/>
          <w:sz w:val="24"/>
          <w:szCs w:val="20"/>
        </w:rPr>
        <w:t>Declaration</w:t>
      </w:r>
    </w:p>
    <w:p w:rsidR="003C497A" w:rsidRDefault="003C497A" w:rsidP="00972611">
      <w:pPr>
        <w:jc w:val="center"/>
        <w:rPr>
          <w:rFonts w:ascii="Times" w:hAnsi="Times"/>
          <w:b/>
          <w:bCs/>
          <w:sz w:val="24"/>
          <w:szCs w:val="20"/>
        </w:rPr>
      </w:pPr>
    </w:p>
    <w:p w:rsidR="003C497A" w:rsidRDefault="003C497A" w:rsidP="003C497A">
      <w:pPr>
        <w:jc w:val="center"/>
        <w:rPr>
          <w:rFonts w:ascii="Times" w:hAnsi="Times"/>
          <w:b/>
          <w:bCs/>
          <w:sz w:val="24"/>
          <w:szCs w:val="20"/>
        </w:rPr>
      </w:pPr>
    </w:p>
    <w:p w:rsidR="00972611" w:rsidRPr="00752DF8" w:rsidRDefault="00972611" w:rsidP="003C497A">
      <w:pPr>
        <w:jc w:val="both"/>
        <w:rPr>
          <w:rFonts w:ascii="Times" w:hAnsi="Times"/>
          <w:b/>
          <w:sz w:val="24"/>
          <w:szCs w:val="20"/>
        </w:rPr>
      </w:pPr>
      <w:r w:rsidRPr="00752DF8">
        <w:rPr>
          <w:rFonts w:ascii="Times" w:hAnsi="Times"/>
          <w:b/>
          <w:sz w:val="24"/>
          <w:szCs w:val="20"/>
        </w:rPr>
        <w:t xml:space="preserve">Enabling </w:t>
      </w:r>
      <w:r>
        <w:rPr>
          <w:rFonts w:ascii="Times" w:hAnsi="Times"/>
          <w:b/>
          <w:sz w:val="24"/>
          <w:szCs w:val="20"/>
        </w:rPr>
        <w:t>provision</w:t>
      </w:r>
      <w:r w:rsidRPr="00752DF8">
        <w:rPr>
          <w:rFonts w:ascii="Times" w:hAnsi="Times"/>
          <w:b/>
          <w:sz w:val="24"/>
          <w:szCs w:val="20"/>
        </w:rPr>
        <w:t xml:space="preserve"> </w:t>
      </w:r>
    </w:p>
    <w:p w:rsidR="00972611" w:rsidRDefault="00972611" w:rsidP="00972611">
      <w:pPr>
        <w:ind w:left="567" w:hanging="567"/>
        <w:rPr>
          <w:rFonts w:ascii="Times" w:hAnsi="Times"/>
          <w:sz w:val="24"/>
          <w:szCs w:val="20"/>
        </w:rPr>
      </w:pPr>
    </w:p>
    <w:p w:rsidR="003C497A" w:rsidRPr="003C497A" w:rsidRDefault="00972611" w:rsidP="00EB54FD">
      <w:pPr>
        <w:ind w:left="567" w:hanging="567"/>
        <w:rPr>
          <w:rFonts w:ascii="Times" w:hAnsi="Times"/>
          <w:sz w:val="20"/>
          <w:szCs w:val="20"/>
        </w:rPr>
      </w:pPr>
      <w:r w:rsidRPr="00BB491E">
        <w:rPr>
          <w:rFonts w:ascii="Times" w:hAnsi="Times"/>
          <w:sz w:val="24"/>
          <w:szCs w:val="20"/>
        </w:rPr>
        <w:t>1.</w:t>
      </w:r>
      <w:r w:rsidRPr="00BB491E">
        <w:rPr>
          <w:rFonts w:ascii="Times" w:hAnsi="Times"/>
          <w:sz w:val="24"/>
          <w:szCs w:val="20"/>
        </w:rPr>
        <w:tab/>
        <w:t>The Australian Securities and Investments Commission (</w:t>
      </w:r>
      <w:r w:rsidRPr="00BB491E">
        <w:rPr>
          <w:rFonts w:ascii="Times" w:hAnsi="Times"/>
          <w:b/>
          <w:bCs/>
          <w:i/>
          <w:iCs/>
          <w:sz w:val="24"/>
          <w:szCs w:val="20"/>
        </w:rPr>
        <w:t>ASIC</w:t>
      </w:r>
      <w:r w:rsidRPr="00BB491E">
        <w:rPr>
          <w:rFonts w:ascii="Times" w:hAnsi="Times"/>
          <w:sz w:val="24"/>
          <w:szCs w:val="20"/>
        </w:rPr>
        <w:t>) makes this instrument under</w:t>
      </w:r>
      <w:r w:rsidR="00EB54FD">
        <w:rPr>
          <w:rFonts w:ascii="Times" w:hAnsi="Times"/>
          <w:sz w:val="24"/>
          <w:szCs w:val="20"/>
        </w:rPr>
        <w:t xml:space="preserve"> </w:t>
      </w:r>
      <w:r>
        <w:rPr>
          <w:rFonts w:ascii="Times" w:hAnsi="Times"/>
          <w:sz w:val="24"/>
          <w:szCs w:val="20"/>
        </w:rPr>
        <w:t>paragraph 1</w:t>
      </w:r>
      <w:r w:rsidR="007909CC">
        <w:rPr>
          <w:rFonts w:ascii="Times" w:hAnsi="Times"/>
          <w:sz w:val="24"/>
          <w:szCs w:val="20"/>
        </w:rPr>
        <w:t>63</w:t>
      </w:r>
      <w:r>
        <w:rPr>
          <w:rFonts w:ascii="Times" w:hAnsi="Times"/>
          <w:sz w:val="24"/>
          <w:szCs w:val="20"/>
        </w:rPr>
        <w:t>(3</w:t>
      </w:r>
      <w:proofErr w:type="gramStart"/>
      <w:r>
        <w:rPr>
          <w:rFonts w:ascii="Times" w:hAnsi="Times"/>
          <w:sz w:val="24"/>
          <w:szCs w:val="20"/>
        </w:rPr>
        <w:t>)(</w:t>
      </w:r>
      <w:proofErr w:type="gramEnd"/>
      <w:r>
        <w:rPr>
          <w:rFonts w:ascii="Times" w:hAnsi="Times"/>
          <w:sz w:val="24"/>
          <w:szCs w:val="20"/>
        </w:rPr>
        <w:t xml:space="preserve">d) of the </w:t>
      </w:r>
      <w:r w:rsidRPr="00873E40">
        <w:rPr>
          <w:rFonts w:ascii="Times" w:hAnsi="Times"/>
          <w:i/>
          <w:sz w:val="24"/>
          <w:szCs w:val="20"/>
        </w:rPr>
        <w:t xml:space="preserve">National Consumer Credit </w:t>
      </w:r>
      <w:r w:rsidRPr="00972611">
        <w:rPr>
          <w:rFonts w:ascii="Times" w:hAnsi="Times"/>
          <w:i/>
          <w:sz w:val="24"/>
          <w:szCs w:val="20"/>
        </w:rPr>
        <w:t>Protection Act 2009</w:t>
      </w:r>
      <w:r w:rsidR="003132C5" w:rsidRPr="003132C5">
        <w:rPr>
          <w:rFonts w:ascii="Times" w:hAnsi="Times"/>
          <w:sz w:val="24"/>
          <w:szCs w:val="20"/>
        </w:rPr>
        <w:t xml:space="preserve"> (</w:t>
      </w:r>
      <w:r w:rsidR="005C365E">
        <w:rPr>
          <w:rFonts w:ascii="Times" w:hAnsi="Times"/>
          <w:sz w:val="24"/>
          <w:szCs w:val="20"/>
        </w:rPr>
        <w:t xml:space="preserve">the </w:t>
      </w:r>
      <w:r w:rsidR="003132C5" w:rsidRPr="003132C5">
        <w:rPr>
          <w:rFonts w:ascii="Times" w:hAnsi="Times"/>
          <w:b/>
          <w:i/>
          <w:sz w:val="24"/>
          <w:szCs w:val="20"/>
        </w:rPr>
        <w:t>Act</w:t>
      </w:r>
      <w:r w:rsidR="005C365E">
        <w:rPr>
          <w:rFonts w:ascii="Times" w:hAnsi="Times"/>
          <w:sz w:val="24"/>
          <w:szCs w:val="20"/>
        </w:rPr>
        <w:t>)</w:t>
      </w:r>
      <w:r w:rsidR="00EB54FD">
        <w:rPr>
          <w:rFonts w:ascii="Times" w:hAnsi="Times"/>
          <w:sz w:val="24"/>
          <w:szCs w:val="20"/>
        </w:rPr>
        <w:t>.</w:t>
      </w:r>
      <w:r w:rsidR="003C497A" w:rsidRPr="003C497A">
        <w:rPr>
          <w:rFonts w:ascii="Times" w:hAnsi="Times"/>
          <w:sz w:val="20"/>
          <w:szCs w:val="20"/>
        </w:rPr>
        <w:t xml:space="preserve"> </w:t>
      </w:r>
    </w:p>
    <w:p w:rsidR="003C497A" w:rsidRPr="003C497A" w:rsidRDefault="003C497A" w:rsidP="00972611">
      <w:pPr>
        <w:ind w:left="567" w:hanging="567"/>
        <w:rPr>
          <w:rFonts w:ascii="Times" w:hAnsi="Times"/>
          <w:sz w:val="20"/>
          <w:szCs w:val="20"/>
        </w:rPr>
      </w:pPr>
    </w:p>
    <w:p w:rsidR="00972611" w:rsidRPr="00752DF8" w:rsidRDefault="00972611" w:rsidP="00972611">
      <w:pPr>
        <w:ind w:left="567" w:hanging="567"/>
        <w:rPr>
          <w:rFonts w:ascii="Times" w:hAnsi="Times"/>
          <w:b/>
          <w:sz w:val="24"/>
          <w:szCs w:val="20"/>
        </w:rPr>
      </w:pPr>
      <w:r w:rsidRPr="00752DF8">
        <w:rPr>
          <w:rFonts w:ascii="Times" w:hAnsi="Times"/>
          <w:b/>
          <w:sz w:val="24"/>
          <w:szCs w:val="20"/>
        </w:rPr>
        <w:t>Title</w:t>
      </w:r>
    </w:p>
    <w:p w:rsidR="00972611" w:rsidRPr="00BB491E" w:rsidRDefault="00972611" w:rsidP="00972611">
      <w:pPr>
        <w:ind w:left="567" w:hanging="567"/>
        <w:rPr>
          <w:rFonts w:ascii="Times" w:hAnsi="Times"/>
          <w:sz w:val="24"/>
          <w:szCs w:val="20"/>
        </w:rPr>
      </w:pPr>
    </w:p>
    <w:p w:rsidR="00972611" w:rsidRDefault="00972611" w:rsidP="00972611">
      <w:pPr>
        <w:ind w:left="567" w:hanging="567"/>
        <w:rPr>
          <w:rFonts w:ascii="Times" w:hAnsi="Times"/>
          <w:bCs/>
          <w:sz w:val="24"/>
          <w:szCs w:val="20"/>
        </w:rPr>
      </w:pPr>
      <w:r w:rsidRPr="00BB491E">
        <w:rPr>
          <w:rFonts w:ascii="Times" w:hAnsi="Times"/>
          <w:sz w:val="24"/>
          <w:szCs w:val="20"/>
        </w:rPr>
        <w:t>2.</w:t>
      </w:r>
      <w:r w:rsidRPr="00BB491E">
        <w:rPr>
          <w:rFonts w:ascii="Times" w:hAnsi="Times"/>
          <w:bCs/>
          <w:sz w:val="24"/>
          <w:szCs w:val="20"/>
        </w:rPr>
        <w:tab/>
      </w:r>
      <w:r>
        <w:rPr>
          <w:rFonts w:ascii="Times" w:hAnsi="Times"/>
          <w:bCs/>
          <w:sz w:val="24"/>
          <w:szCs w:val="20"/>
        </w:rPr>
        <w:t>This instrument is ASIC Class Order [CO 1</w:t>
      </w:r>
      <w:r w:rsidR="00EB54FD">
        <w:rPr>
          <w:rFonts w:ascii="Times" w:hAnsi="Times"/>
          <w:bCs/>
          <w:sz w:val="24"/>
          <w:szCs w:val="20"/>
        </w:rPr>
        <w:t>1</w:t>
      </w:r>
      <w:r w:rsidR="00FD227E">
        <w:rPr>
          <w:rFonts w:ascii="Times" w:hAnsi="Times"/>
          <w:bCs/>
          <w:sz w:val="24"/>
          <w:szCs w:val="20"/>
        </w:rPr>
        <w:t>/760].</w:t>
      </w:r>
    </w:p>
    <w:p w:rsidR="00972611" w:rsidRDefault="00972611" w:rsidP="00972611">
      <w:pPr>
        <w:ind w:left="567" w:hanging="567"/>
        <w:rPr>
          <w:rFonts w:ascii="Times" w:hAnsi="Times"/>
          <w:bCs/>
          <w:sz w:val="24"/>
          <w:szCs w:val="20"/>
        </w:rPr>
      </w:pPr>
    </w:p>
    <w:p w:rsidR="00972611" w:rsidRPr="00907EA7" w:rsidRDefault="00972611" w:rsidP="00972611">
      <w:pPr>
        <w:ind w:left="567" w:hanging="567"/>
        <w:rPr>
          <w:rFonts w:ascii="Times" w:hAnsi="Times"/>
          <w:b/>
          <w:bCs/>
          <w:sz w:val="24"/>
          <w:szCs w:val="20"/>
        </w:rPr>
      </w:pPr>
      <w:r w:rsidRPr="00907EA7">
        <w:rPr>
          <w:rFonts w:ascii="Times" w:hAnsi="Times"/>
          <w:b/>
          <w:bCs/>
          <w:sz w:val="24"/>
          <w:szCs w:val="20"/>
        </w:rPr>
        <w:t>Commencement</w:t>
      </w:r>
    </w:p>
    <w:p w:rsidR="00972611" w:rsidRDefault="00972611" w:rsidP="00972611">
      <w:pPr>
        <w:ind w:left="567" w:hanging="567"/>
        <w:rPr>
          <w:rFonts w:ascii="Times" w:hAnsi="Times"/>
          <w:bCs/>
          <w:sz w:val="24"/>
          <w:szCs w:val="20"/>
        </w:rPr>
      </w:pPr>
    </w:p>
    <w:p w:rsidR="003132C5" w:rsidRDefault="00972611" w:rsidP="00EB54FD">
      <w:pPr>
        <w:ind w:left="567" w:hanging="567"/>
        <w:rPr>
          <w:rFonts w:ascii="Times" w:hAnsi="Times"/>
          <w:bCs/>
          <w:sz w:val="24"/>
          <w:szCs w:val="20"/>
        </w:rPr>
      </w:pPr>
      <w:r w:rsidRPr="00907EA7">
        <w:rPr>
          <w:rFonts w:ascii="Times" w:hAnsi="Times"/>
          <w:bCs/>
          <w:sz w:val="24"/>
          <w:szCs w:val="20"/>
        </w:rPr>
        <w:t>3.</w:t>
      </w:r>
      <w:r w:rsidRPr="00907EA7">
        <w:rPr>
          <w:rFonts w:ascii="Times" w:hAnsi="Times"/>
          <w:bCs/>
          <w:sz w:val="24"/>
          <w:szCs w:val="20"/>
        </w:rPr>
        <w:tab/>
        <w:t>Th</w:t>
      </w:r>
      <w:r w:rsidR="007909CC">
        <w:rPr>
          <w:rFonts w:ascii="Times" w:hAnsi="Times"/>
          <w:bCs/>
          <w:sz w:val="24"/>
          <w:szCs w:val="20"/>
        </w:rPr>
        <w:t>is</w:t>
      </w:r>
      <w:r w:rsidR="00D204C5">
        <w:rPr>
          <w:rFonts w:ascii="Times" w:hAnsi="Times"/>
          <w:bCs/>
          <w:sz w:val="24"/>
          <w:szCs w:val="20"/>
        </w:rPr>
        <w:t xml:space="preserve"> </w:t>
      </w:r>
      <w:r w:rsidRPr="00907EA7">
        <w:rPr>
          <w:rFonts w:ascii="Times" w:hAnsi="Times"/>
          <w:bCs/>
          <w:sz w:val="24"/>
          <w:szCs w:val="20"/>
        </w:rPr>
        <w:t xml:space="preserve">instrument </w:t>
      </w:r>
      <w:r w:rsidR="00D204C5">
        <w:rPr>
          <w:rFonts w:ascii="Times" w:hAnsi="Times"/>
          <w:bCs/>
          <w:sz w:val="24"/>
          <w:szCs w:val="20"/>
        </w:rPr>
        <w:t>commence</w:t>
      </w:r>
      <w:r w:rsidR="007909CC">
        <w:rPr>
          <w:rFonts w:ascii="Times" w:hAnsi="Times"/>
          <w:bCs/>
          <w:sz w:val="24"/>
          <w:szCs w:val="20"/>
        </w:rPr>
        <w:t>s</w:t>
      </w:r>
      <w:r w:rsidR="00D204C5">
        <w:rPr>
          <w:rFonts w:ascii="Times" w:hAnsi="Times"/>
          <w:bCs/>
          <w:sz w:val="24"/>
          <w:szCs w:val="20"/>
        </w:rPr>
        <w:t xml:space="preserve"> </w:t>
      </w:r>
      <w:r w:rsidR="007909CC">
        <w:rPr>
          <w:rFonts w:ascii="Times" w:hAnsi="Times"/>
          <w:bCs/>
          <w:sz w:val="24"/>
          <w:szCs w:val="20"/>
        </w:rPr>
        <w:t xml:space="preserve">on the </w:t>
      </w:r>
      <w:r w:rsidR="00D204C5">
        <w:rPr>
          <w:rFonts w:ascii="Times" w:hAnsi="Times"/>
          <w:bCs/>
          <w:sz w:val="24"/>
          <w:szCs w:val="20"/>
        </w:rPr>
        <w:t xml:space="preserve">day </w:t>
      </w:r>
      <w:r w:rsidR="007909CC">
        <w:rPr>
          <w:rFonts w:ascii="Times" w:hAnsi="Times"/>
          <w:bCs/>
          <w:sz w:val="24"/>
          <w:szCs w:val="20"/>
        </w:rPr>
        <w:t xml:space="preserve">it </w:t>
      </w:r>
      <w:r w:rsidR="00D204C5">
        <w:rPr>
          <w:rFonts w:ascii="Times" w:hAnsi="Times"/>
          <w:bCs/>
          <w:sz w:val="24"/>
          <w:szCs w:val="20"/>
        </w:rPr>
        <w:t xml:space="preserve">is registered under the </w:t>
      </w:r>
      <w:r w:rsidR="003132C5" w:rsidRPr="003132C5">
        <w:rPr>
          <w:rFonts w:ascii="Times" w:hAnsi="Times"/>
          <w:bCs/>
          <w:i/>
          <w:sz w:val="24"/>
          <w:szCs w:val="20"/>
        </w:rPr>
        <w:t>Legislative Instruments Act 2003</w:t>
      </w:r>
      <w:r w:rsidR="00EB54FD" w:rsidRPr="00EB54FD">
        <w:rPr>
          <w:rFonts w:ascii="Times" w:hAnsi="Times"/>
          <w:bCs/>
          <w:sz w:val="24"/>
          <w:szCs w:val="20"/>
        </w:rPr>
        <w:t>.</w:t>
      </w:r>
    </w:p>
    <w:p w:rsidR="00972611" w:rsidRDefault="00972611" w:rsidP="00972611">
      <w:pPr>
        <w:ind w:left="567" w:hanging="567"/>
        <w:rPr>
          <w:rFonts w:ascii="Times" w:hAnsi="Times"/>
          <w:bCs/>
          <w:sz w:val="24"/>
          <w:szCs w:val="20"/>
        </w:rPr>
      </w:pPr>
    </w:p>
    <w:p w:rsidR="003132C5" w:rsidRDefault="00D204C5" w:rsidP="003132C5">
      <w:pPr>
        <w:ind w:left="1134" w:right="144" w:hanging="567"/>
        <w:rPr>
          <w:rFonts w:ascii="Times" w:hAnsi="Times"/>
          <w:bCs/>
          <w:sz w:val="24"/>
          <w:szCs w:val="20"/>
        </w:rPr>
      </w:pPr>
      <w:r w:rsidRPr="00D204C5">
        <w:rPr>
          <w:sz w:val="18"/>
          <w:lang w:val="en-US"/>
        </w:rPr>
        <w:t>Note:</w:t>
      </w:r>
      <w:r w:rsidRPr="00D204C5">
        <w:rPr>
          <w:sz w:val="18"/>
          <w:lang w:val="en-US"/>
        </w:rPr>
        <w:tab/>
        <w:t xml:space="preserve">An instrument is registered when it is recorded on the Federal Register of Legislative Instruments </w:t>
      </w:r>
      <w:r w:rsidRPr="00D204C5">
        <w:rPr>
          <w:i/>
          <w:sz w:val="18"/>
          <w:lang w:val="en-US"/>
        </w:rPr>
        <w:t>(</w:t>
      </w:r>
      <w:r w:rsidRPr="00D204C5">
        <w:rPr>
          <w:b/>
          <w:bCs/>
          <w:i/>
          <w:sz w:val="18"/>
          <w:lang w:val="en-US"/>
        </w:rPr>
        <w:t>FRLI</w:t>
      </w:r>
      <w:r w:rsidRPr="00D204C5">
        <w:rPr>
          <w:i/>
          <w:sz w:val="18"/>
          <w:lang w:val="en-US"/>
        </w:rPr>
        <w:t xml:space="preserve">) </w:t>
      </w:r>
      <w:r w:rsidRPr="00D204C5">
        <w:rPr>
          <w:sz w:val="18"/>
          <w:lang w:val="en-US"/>
        </w:rPr>
        <w:t xml:space="preserve">in electronic form: see </w:t>
      </w:r>
      <w:r w:rsidRPr="00D204C5">
        <w:rPr>
          <w:i/>
          <w:spacing w:val="4"/>
          <w:sz w:val="18"/>
          <w:lang w:val="en-US"/>
        </w:rPr>
        <w:t xml:space="preserve">Legislative Instruments Act </w:t>
      </w:r>
      <w:r w:rsidRPr="00D204C5">
        <w:rPr>
          <w:i/>
          <w:iCs/>
          <w:sz w:val="18"/>
          <w:lang w:val="en-US"/>
        </w:rPr>
        <w:t>2003</w:t>
      </w:r>
      <w:r w:rsidRPr="00D204C5">
        <w:rPr>
          <w:sz w:val="18"/>
          <w:lang w:val="en-US"/>
        </w:rPr>
        <w:t xml:space="preserve">, s 4 (definition of </w:t>
      </w:r>
      <w:r w:rsidRPr="00D204C5">
        <w:rPr>
          <w:b/>
          <w:bCs/>
          <w:i/>
          <w:iCs/>
          <w:sz w:val="18"/>
          <w:lang w:val="en-US"/>
        </w:rPr>
        <w:t>register</w:t>
      </w:r>
      <w:r w:rsidRPr="00D204C5">
        <w:rPr>
          <w:sz w:val="18"/>
          <w:lang w:val="en-US"/>
        </w:rPr>
        <w:t xml:space="preserve">).  The FRLI may be accessed at </w:t>
      </w:r>
      <w:hyperlink r:id="rId8" w:history="1">
        <w:r w:rsidRPr="00D204C5">
          <w:rPr>
            <w:color w:val="0000FF"/>
            <w:sz w:val="18"/>
            <w:u w:val="single"/>
          </w:rPr>
          <w:t>http://www.frli.gov.au/</w:t>
        </w:r>
      </w:hyperlink>
      <w:r w:rsidRPr="00D204C5">
        <w:rPr>
          <w:sz w:val="18"/>
          <w:lang w:val="en-US"/>
        </w:rPr>
        <w:t>.</w:t>
      </w:r>
    </w:p>
    <w:p w:rsidR="00D204C5" w:rsidRDefault="00D204C5" w:rsidP="00972611">
      <w:pPr>
        <w:ind w:left="567" w:hanging="567"/>
        <w:rPr>
          <w:rFonts w:ascii="Times" w:hAnsi="Times"/>
          <w:bCs/>
          <w:sz w:val="24"/>
          <w:szCs w:val="20"/>
        </w:rPr>
      </w:pPr>
    </w:p>
    <w:p w:rsidR="00972611" w:rsidRPr="00752DF8" w:rsidRDefault="00972611" w:rsidP="00972611">
      <w:pPr>
        <w:ind w:left="567" w:hanging="567"/>
        <w:rPr>
          <w:rFonts w:ascii="Times" w:hAnsi="Times"/>
          <w:b/>
          <w:bCs/>
          <w:sz w:val="24"/>
          <w:szCs w:val="20"/>
        </w:rPr>
      </w:pPr>
      <w:r>
        <w:rPr>
          <w:rFonts w:ascii="Times" w:hAnsi="Times"/>
          <w:b/>
          <w:bCs/>
          <w:sz w:val="24"/>
          <w:szCs w:val="20"/>
        </w:rPr>
        <w:t xml:space="preserve">Declaration </w:t>
      </w:r>
      <w:r w:rsidRPr="00752DF8">
        <w:rPr>
          <w:rFonts w:ascii="Times" w:hAnsi="Times"/>
          <w:b/>
          <w:bCs/>
          <w:sz w:val="24"/>
          <w:szCs w:val="20"/>
        </w:rPr>
        <w:t xml:space="preserve"> </w:t>
      </w:r>
    </w:p>
    <w:p w:rsidR="00972611" w:rsidRDefault="00972611" w:rsidP="00972611">
      <w:pPr>
        <w:ind w:left="567" w:hanging="567"/>
        <w:rPr>
          <w:rFonts w:ascii="Times" w:hAnsi="Times"/>
          <w:bCs/>
          <w:sz w:val="24"/>
          <w:szCs w:val="20"/>
        </w:rPr>
      </w:pPr>
    </w:p>
    <w:p w:rsidR="000721E7" w:rsidRDefault="00972611" w:rsidP="00972611">
      <w:pPr>
        <w:ind w:left="567" w:hanging="567"/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>4.</w:t>
      </w:r>
      <w:r>
        <w:rPr>
          <w:rFonts w:ascii="Times" w:hAnsi="Times"/>
          <w:sz w:val="24"/>
          <w:szCs w:val="20"/>
        </w:rPr>
        <w:tab/>
      </w:r>
      <w:r w:rsidR="008E0E55">
        <w:rPr>
          <w:rFonts w:ascii="Times" w:hAnsi="Times"/>
          <w:sz w:val="24"/>
          <w:szCs w:val="20"/>
        </w:rPr>
        <w:t>T</w:t>
      </w:r>
      <w:r w:rsidR="005C365E">
        <w:rPr>
          <w:rFonts w:ascii="Times" w:hAnsi="Times"/>
          <w:sz w:val="24"/>
          <w:szCs w:val="20"/>
        </w:rPr>
        <w:t>he provisions to which Part</w:t>
      </w:r>
      <w:r>
        <w:rPr>
          <w:rFonts w:ascii="Times" w:hAnsi="Times"/>
          <w:sz w:val="24"/>
          <w:szCs w:val="20"/>
        </w:rPr>
        <w:t xml:space="preserve"> </w:t>
      </w:r>
      <w:r w:rsidR="007909CC">
        <w:rPr>
          <w:rFonts w:ascii="Times" w:hAnsi="Times"/>
          <w:sz w:val="24"/>
          <w:szCs w:val="20"/>
        </w:rPr>
        <w:t>3</w:t>
      </w:r>
      <w:r w:rsidR="005C365E">
        <w:rPr>
          <w:rFonts w:ascii="Times" w:hAnsi="Times"/>
          <w:sz w:val="24"/>
          <w:szCs w:val="20"/>
        </w:rPr>
        <w:t>-</w:t>
      </w:r>
      <w:r w:rsidR="007909CC">
        <w:rPr>
          <w:rFonts w:ascii="Times" w:hAnsi="Times"/>
          <w:sz w:val="24"/>
          <w:szCs w:val="20"/>
        </w:rPr>
        <w:t>7</w:t>
      </w:r>
      <w:r>
        <w:rPr>
          <w:rFonts w:ascii="Times" w:hAnsi="Times"/>
          <w:sz w:val="24"/>
          <w:szCs w:val="20"/>
        </w:rPr>
        <w:t xml:space="preserve"> of the</w:t>
      </w:r>
      <w:r w:rsidR="005C365E">
        <w:rPr>
          <w:rFonts w:ascii="Times" w:hAnsi="Times"/>
          <w:sz w:val="24"/>
          <w:szCs w:val="20"/>
        </w:rPr>
        <w:t xml:space="preserve"> Act applies</w:t>
      </w:r>
      <w:r w:rsidR="00F71ADD">
        <w:rPr>
          <w:rFonts w:ascii="Times" w:hAnsi="Times"/>
          <w:sz w:val="24"/>
          <w:szCs w:val="20"/>
        </w:rPr>
        <w:t xml:space="preserve"> </w:t>
      </w:r>
      <w:r>
        <w:rPr>
          <w:rFonts w:ascii="Times" w:hAnsi="Times"/>
          <w:sz w:val="24"/>
          <w:szCs w:val="20"/>
        </w:rPr>
        <w:t>appl</w:t>
      </w:r>
      <w:r w:rsidR="005C365E">
        <w:rPr>
          <w:rFonts w:ascii="Times" w:hAnsi="Times"/>
          <w:sz w:val="24"/>
          <w:szCs w:val="20"/>
        </w:rPr>
        <w:t>y</w:t>
      </w:r>
      <w:r>
        <w:rPr>
          <w:rFonts w:ascii="Times" w:hAnsi="Times"/>
          <w:sz w:val="24"/>
          <w:szCs w:val="20"/>
        </w:rPr>
        <w:t xml:space="preserve"> in relation to all persons as if</w:t>
      </w:r>
      <w:r w:rsidR="001D1C48">
        <w:rPr>
          <w:rFonts w:ascii="Times" w:hAnsi="Times"/>
          <w:sz w:val="24"/>
          <w:szCs w:val="20"/>
        </w:rPr>
        <w:t xml:space="preserve"> </w:t>
      </w:r>
      <w:r w:rsidR="000721E7">
        <w:rPr>
          <w:rFonts w:ascii="Times" w:hAnsi="Times"/>
          <w:sz w:val="24"/>
          <w:szCs w:val="20"/>
        </w:rPr>
        <w:t xml:space="preserve">Part 3.6 </w:t>
      </w:r>
      <w:r w:rsidR="001D1C48" w:rsidRPr="001D1C48">
        <w:rPr>
          <w:rFonts w:ascii="Times" w:hAnsi="Times"/>
          <w:sz w:val="24"/>
          <w:szCs w:val="20"/>
        </w:rPr>
        <w:t xml:space="preserve">of the </w:t>
      </w:r>
      <w:r w:rsidR="001D1C48" w:rsidRPr="001D1C48">
        <w:rPr>
          <w:rFonts w:ascii="Times" w:hAnsi="Times"/>
          <w:i/>
          <w:sz w:val="24"/>
          <w:szCs w:val="20"/>
        </w:rPr>
        <w:t>National Consumer Credit Protection Regulations 2010</w:t>
      </w:r>
      <w:r w:rsidR="001D1C48">
        <w:rPr>
          <w:rFonts w:ascii="Times" w:hAnsi="Times"/>
          <w:i/>
          <w:sz w:val="24"/>
          <w:szCs w:val="20"/>
        </w:rPr>
        <w:t xml:space="preserve"> </w:t>
      </w:r>
      <w:r w:rsidR="00C027D5">
        <w:rPr>
          <w:rFonts w:ascii="Times" w:hAnsi="Times"/>
          <w:sz w:val="24"/>
          <w:szCs w:val="20"/>
        </w:rPr>
        <w:t xml:space="preserve">(the </w:t>
      </w:r>
      <w:r w:rsidR="00317D52" w:rsidRPr="00317D52">
        <w:rPr>
          <w:rFonts w:ascii="Times" w:hAnsi="Times"/>
          <w:b/>
          <w:i/>
          <w:sz w:val="24"/>
          <w:szCs w:val="20"/>
        </w:rPr>
        <w:t>Regulations</w:t>
      </w:r>
      <w:r w:rsidR="00C027D5">
        <w:rPr>
          <w:rFonts w:ascii="Times" w:hAnsi="Times"/>
          <w:sz w:val="24"/>
          <w:szCs w:val="20"/>
        </w:rPr>
        <w:t xml:space="preserve">) </w:t>
      </w:r>
      <w:r w:rsidR="000721E7" w:rsidRPr="000721E7">
        <w:rPr>
          <w:rFonts w:ascii="Times" w:hAnsi="Times"/>
          <w:sz w:val="24"/>
          <w:szCs w:val="20"/>
        </w:rPr>
        <w:t>w</w:t>
      </w:r>
      <w:r w:rsidR="001D1C48">
        <w:rPr>
          <w:rFonts w:ascii="Times" w:hAnsi="Times"/>
          <w:sz w:val="24"/>
          <w:szCs w:val="20"/>
        </w:rPr>
        <w:t>ere modified or varied</w:t>
      </w:r>
      <w:r w:rsidR="00626152">
        <w:rPr>
          <w:rFonts w:ascii="Times" w:hAnsi="Times"/>
          <w:sz w:val="24"/>
          <w:szCs w:val="20"/>
        </w:rPr>
        <w:t xml:space="preserve"> </w:t>
      </w:r>
      <w:r w:rsidR="000721E7">
        <w:rPr>
          <w:rFonts w:ascii="Times" w:hAnsi="Times"/>
          <w:sz w:val="24"/>
          <w:szCs w:val="20"/>
        </w:rPr>
        <w:t xml:space="preserve">by, after regulation 28M, inserting: </w:t>
      </w:r>
    </w:p>
    <w:p w:rsidR="000721E7" w:rsidRDefault="000721E7" w:rsidP="00972611">
      <w:pPr>
        <w:ind w:left="567" w:hanging="567"/>
        <w:rPr>
          <w:rFonts w:ascii="Times" w:hAnsi="Times"/>
          <w:sz w:val="24"/>
          <w:szCs w:val="20"/>
        </w:rPr>
      </w:pPr>
    </w:p>
    <w:p w:rsidR="000721E7" w:rsidRPr="000721E7" w:rsidRDefault="000721E7" w:rsidP="000721E7">
      <w:pPr>
        <w:autoSpaceDE w:val="0"/>
        <w:autoSpaceDN w:val="0"/>
        <w:adjustRightInd w:val="0"/>
        <w:ind w:left="567"/>
        <w:rPr>
          <w:b/>
          <w:bCs/>
          <w:sz w:val="24"/>
          <w:szCs w:val="24"/>
          <w:lang w:eastAsia="en-AU"/>
        </w:rPr>
      </w:pPr>
      <w:r w:rsidRPr="000721E7">
        <w:rPr>
          <w:bCs/>
          <w:sz w:val="24"/>
          <w:szCs w:val="24"/>
          <w:lang w:eastAsia="en-AU"/>
        </w:rPr>
        <w:t>“</w:t>
      </w:r>
      <w:r w:rsidRPr="000721E7">
        <w:rPr>
          <w:b/>
          <w:bCs/>
          <w:sz w:val="24"/>
          <w:szCs w:val="24"/>
          <w:lang w:eastAsia="en-AU"/>
        </w:rPr>
        <w:t>28N</w:t>
      </w:r>
      <w:r w:rsidR="00FD49CC">
        <w:rPr>
          <w:b/>
          <w:bCs/>
          <w:sz w:val="24"/>
          <w:szCs w:val="24"/>
          <w:lang w:eastAsia="en-AU"/>
        </w:rPr>
        <w:t>A</w:t>
      </w:r>
      <w:r w:rsidRPr="000721E7">
        <w:rPr>
          <w:b/>
          <w:bCs/>
          <w:sz w:val="24"/>
          <w:szCs w:val="24"/>
          <w:lang w:eastAsia="en-AU"/>
        </w:rPr>
        <w:t xml:space="preserve"> Exemption — requirement to provide disclosure</w:t>
      </w:r>
      <w:r w:rsidR="00DF6D17">
        <w:rPr>
          <w:b/>
          <w:bCs/>
          <w:sz w:val="24"/>
          <w:szCs w:val="24"/>
          <w:lang w:eastAsia="en-AU"/>
        </w:rPr>
        <w:t xml:space="preserve"> </w:t>
      </w:r>
      <w:r w:rsidRPr="000721E7">
        <w:rPr>
          <w:b/>
          <w:bCs/>
          <w:sz w:val="24"/>
          <w:szCs w:val="24"/>
          <w:lang w:eastAsia="en-AU"/>
        </w:rPr>
        <w:t>documents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Pr="000721E7" w:rsidRDefault="000721E7" w:rsidP="000721E7">
      <w:pPr>
        <w:autoSpaceDE w:val="0"/>
        <w:autoSpaceDN w:val="0"/>
        <w:adjustRightInd w:val="0"/>
        <w:ind w:left="1134" w:hanging="567"/>
        <w:rPr>
          <w:rFonts w:ascii="Arial" w:hAnsi="Arial" w:cs="Arial"/>
          <w:b/>
          <w:bCs/>
          <w:sz w:val="20"/>
          <w:szCs w:val="20"/>
          <w:lang w:eastAsia="en-AU"/>
        </w:rPr>
      </w:pPr>
      <w:r w:rsidRPr="000721E7">
        <w:rPr>
          <w:sz w:val="24"/>
          <w:szCs w:val="24"/>
          <w:lang w:eastAsia="en-AU"/>
        </w:rPr>
        <w:t>(1)</w:t>
      </w:r>
      <w:r>
        <w:rPr>
          <w:sz w:val="24"/>
          <w:szCs w:val="24"/>
          <w:lang w:eastAsia="en-AU"/>
        </w:rPr>
        <w:tab/>
      </w:r>
      <w:r w:rsidR="00FD49CC">
        <w:rPr>
          <w:sz w:val="24"/>
          <w:szCs w:val="24"/>
          <w:lang w:eastAsia="en-AU"/>
        </w:rPr>
        <w:t>A</w:t>
      </w:r>
      <w:r w:rsidRPr="000721E7">
        <w:rPr>
          <w:sz w:val="24"/>
          <w:szCs w:val="24"/>
          <w:lang w:eastAsia="en-AU"/>
        </w:rPr>
        <w:t xml:space="preserve"> person who is a licensee or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a credit representative engaging in a credit activity is exempted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 xml:space="preserve">from </w:t>
      </w:r>
      <w:r w:rsidR="00FD49CC" w:rsidRPr="00FD49CC">
        <w:rPr>
          <w:sz w:val="24"/>
          <w:szCs w:val="24"/>
          <w:lang w:eastAsia="en-AU"/>
        </w:rPr>
        <w:t xml:space="preserve">section 113, </w:t>
      </w:r>
      <w:r w:rsidR="00FD49CC">
        <w:rPr>
          <w:sz w:val="24"/>
          <w:szCs w:val="24"/>
          <w:lang w:eastAsia="en-AU"/>
        </w:rPr>
        <w:t xml:space="preserve">121, </w:t>
      </w:r>
      <w:r w:rsidR="00FD49CC" w:rsidRPr="00FD49CC">
        <w:rPr>
          <w:sz w:val="24"/>
          <w:szCs w:val="24"/>
          <w:lang w:eastAsia="en-AU"/>
        </w:rPr>
        <w:t xml:space="preserve">126, 127, 136, </w:t>
      </w:r>
      <w:r w:rsidR="00FD49CC">
        <w:rPr>
          <w:sz w:val="24"/>
          <w:szCs w:val="24"/>
          <w:lang w:eastAsia="en-AU"/>
        </w:rPr>
        <w:t xml:space="preserve">144, </w:t>
      </w:r>
      <w:r w:rsidR="00FD49CC" w:rsidRPr="00FD49CC">
        <w:rPr>
          <w:sz w:val="24"/>
          <w:szCs w:val="24"/>
          <w:lang w:eastAsia="en-AU"/>
        </w:rPr>
        <w:t xml:space="preserve">149, 150, 158 </w:t>
      </w:r>
      <w:r w:rsidR="005D4F86">
        <w:rPr>
          <w:sz w:val="24"/>
          <w:szCs w:val="24"/>
          <w:lang w:eastAsia="en-AU"/>
        </w:rPr>
        <w:t>and</w:t>
      </w:r>
      <w:r w:rsidR="00FD49CC" w:rsidRPr="00FD49CC">
        <w:rPr>
          <w:sz w:val="24"/>
          <w:szCs w:val="24"/>
          <w:lang w:eastAsia="en-AU"/>
        </w:rPr>
        <w:t xml:space="preserve"> 160 of the Act (which deal with credit guides</w:t>
      </w:r>
      <w:r w:rsidR="00FD49CC">
        <w:rPr>
          <w:sz w:val="24"/>
          <w:szCs w:val="24"/>
          <w:lang w:eastAsia="en-AU"/>
        </w:rPr>
        <w:t xml:space="preserve"> and proposal disclosure documents</w:t>
      </w:r>
      <w:r w:rsidR="00FD49CC" w:rsidRPr="00FD49CC">
        <w:rPr>
          <w:sz w:val="24"/>
          <w:szCs w:val="24"/>
          <w:lang w:eastAsia="en-AU"/>
        </w:rPr>
        <w:t>)</w:t>
      </w:r>
      <w:r w:rsidRPr="000721E7">
        <w:rPr>
          <w:sz w:val="24"/>
          <w:szCs w:val="24"/>
          <w:lang w:eastAsia="en-AU"/>
        </w:rPr>
        <w:t xml:space="preserve"> if: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Pr="000721E7" w:rsidRDefault="000721E7" w:rsidP="000721E7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(a)</w:t>
      </w:r>
      <w:r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the</w:t>
      </w:r>
      <w:proofErr w:type="gramEnd"/>
      <w:r w:rsidRPr="000721E7">
        <w:rPr>
          <w:sz w:val="24"/>
          <w:szCs w:val="24"/>
          <w:lang w:eastAsia="en-AU"/>
        </w:rPr>
        <w:t xml:space="preserve"> person gives the consumer information, in writing,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about the contact details for a consumer to access the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approved external dispute resolution scheme of which the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person is a member; or</w:t>
      </w:r>
    </w:p>
    <w:p w:rsidR="000721E7" w:rsidRDefault="000721E7" w:rsidP="000721E7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</w:p>
    <w:p w:rsidR="000721E7" w:rsidRPr="000721E7" w:rsidRDefault="000721E7" w:rsidP="000721E7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(b)</w:t>
      </w:r>
      <w:r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the</w:t>
      </w:r>
      <w:proofErr w:type="gramEnd"/>
      <w:r w:rsidRPr="000721E7">
        <w:rPr>
          <w:sz w:val="24"/>
          <w:szCs w:val="24"/>
          <w:lang w:eastAsia="en-AU"/>
        </w:rPr>
        <w:t xml:space="preserve"> person has given the information mentioned in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paragraph (a) to the consumer within the previous 90 days.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Pr="000721E7" w:rsidRDefault="000721E7" w:rsidP="000721E7">
      <w:pPr>
        <w:autoSpaceDE w:val="0"/>
        <w:autoSpaceDN w:val="0"/>
        <w:adjustRightInd w:val="0"/>
        <w:ind w:left="1134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(2)</w:t>
      </w:r>
      <w:r>
        <w:rPr>
          <w:sz w:val="24"/>
          <w:szCs w:val="24"/>
          <w:lang w:eastAsia="en-AU"/>
        </w:rPr>
        <w:tab/>
      </w:r>
      <w:r w:rsidRPr="000721E7">
        <w:rPr>
          <w:sz w:val="24"/>
          <w:szCs w:val="24"/>
          <w:lang w:eastAsia="en-AU"/>
        </w:rPr>
        <w:t>The information mentioned in paragraph (1</w:t>
      </w:r>
      <w:proofErr w:type="gramStart"/>
      <w:r w:rsidRPr="000721E7">
        <w:rPr>
          <w:sz w:val="24"/>
          <w:szCs w:val="24"/>
          <w:lang w:eastAsia="en-AU"/>
        </w:rPr>
        <w:t>)(</w:t>
      </w:r>
      <w:proofErr w:type="gramEnd"/>
      <w:r w:rsidRPr="000721E7">
        <w:rPr>
          <w:sz w:val="24"/>
          <w:szCs w:val="24"/>
          <w:lang w:eastAsia="en-AU"/>
        </w:rPr>
        <w:t>a) may be given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to the consumer as follows: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Default="000721E7" w:rsidP="000721E7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(a)</w:t>
      </w:r>
      <w:r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in</w:t>
      </w:r>
      <w:proofErr w:type="gramEnd"/>
      <w:r w:rsidRPr="000721E7">
        <w:rPr>
          <w:sz w:val="24"/>
          <w:szCs w:val="24"/>
          <w:lang w:eastAsia="en-AU"/>
        </w:rPr>
        <w:t xml:space="preserve"> the manner set out in regulation 28L;</w:t>
      </w:r>
    </w:p>
    <w:p w:rsidR="000721E7" w:rsidRPr="000721E7" w:rsidRDefault="000721E7" w:rsidP="00FD49CC">
      <w:pPr>
        <w:autoSpaceDE w:val="0"/>
        <w:autoSpaceDN w:val="0"/>
        <w:adjustRightInd w:val="0"/>
        <w:ind w:left="567"/>
        <w:rPr>
          <w:sz w:val="24"/>
          <w:szCs w:val="24"/>
          <w:lang w:eastAsia="en-AU"/>
        </w:rPr>
      </w:pPr>
    </w:p>
    <w:p w:rsidR="000721E7" w:rsidRPr="000721E7" w:rsidRDefault="000721E7" w:rsidP="000721E7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lastRenderedPageBreak/>
        <w:t>(b)</w:t>
      </w:r>
      <w:r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together</w:t>
      </w:r>
      <w:proofErr w:type="gramEnd"/>
      <w:r w:rsidRPr="000721E7">
        <w:rPr>
          <w:sz w:val="24"/>
          <w:szCs w:val="24"/>
          <w:lang w:eastAsia="en-AU"/>
        </w:rPr>
        <w:t xml:space="preserve"> with some or all of the information mentioned in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a relevant provision of the Act</w:t>
      </w:r>
      <w:r w:rsidR="00FD49CC">
        <w:rPr>
          <w:sz w:val="24"/>
          <w:szCs w:val="24"/>
          <w:lang w:eastAsia="en-AU"/>
        </w:rPr>
        <w:t xml:space="preserve"> or section 16 of the Code</w:t>
      </w:r>
      <w:r w:rsidRPr="000721E7">
        <w:rPr>
          <w:sz w:val="24"/>
          <w:szCs w:val="24"/>
          <w:lang w:eastAsia="en-AU"/>
        </w:rPr>
        <w:t>.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Default="000721E7" w:rsidP="000721E7">
      <w:pPr>
        <w:autoSpaceDE w:val="0"/>
        <w:autoSpaceDN w:val="0"/>
        <w:adjustRightInd w:val="0"/>
        <w:ind w:left="1134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(3)</w:t>
      </w:r>
      <w:r>
        <w:rPr>
          <w:sz w:val="24"/>
          <w:szCs w:val="24"/>
          <w:lang w:eastAsia="en-AU"/>
        </w:rPr>
        <w:tab/>
      </w:r>
      <w:r w:rsidR="00FD49CC">
        <w:rPr>
          <w:sz w:val="24"/>
          <w:szCs w:val="24"/>
          <w:lang w:eastAsia="en-AU"/>
        </w:rPr>
        <w:t>A</w:t>
      </w:r>
      <w:r w:rsidRPr="000721E7">
        <w:rPr>
          <w:sz w:val="24"/>
          <w:szCs w:val="24"/>
          <w:lang w:eastAsia="en-AU"/>
        </w:rPr>
        <w:t xml:space="preserve"> person who is a credit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representative to whom regulation 28 applies is exempted from</w:t>
      </w:r>
      <w:r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a relevant provision of the Act.</w:t>
      </w:r>
    </w:p>
    <w:p w:rsidR="000721E7" w:rsidRP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Pr="000721E7" w:rsidRDefault="000721E7" w:rsidP="005D4F86">
      <w:pPr>
        <w:autoSpaceDE w:val="0"/>
        <w:autoSpaceDN w:val="0"/>
        <w:adjustRightInd w:val="0"/>
        <w:ind w:left="2160" w:hanging="1026"/>
        <w:rPr>
          <w:sz w:val="20"/>
          <w:szCs w:val="20"/>
          <w:lang w:eastAsia="en-AU"/>
        </w:rPr>
      </w:pPr>
      <w:r w:rsidRPr="005D4F86">
        <w:rPr>
          <w:iCs/>
          <w:sz w:val="20"/>
          <w:szCs w:val="20"/>
          <w:lang w:eastAsia="en-AU"/>
        </w:rPr>
        <w:t>Note</w:t>
      </w:r>
      <w:r w:rsidR="005D4F86">
        <w:rPr>
          <w:iCs/>
          <w:sz w:val="20"/>
          <w:szCs w:val="20"/>
          <w:lang w:eastAsia="en-AU"/>
        </w:rPr>
        <w:t>:</w:t>
      </w:r>
      <w:r w:rsidR="005D4F86">
        <w:rPr>
          <w:i/>
          <w:iCs/>
          <w:sz w:val="20"/>
          <w:szCs w:val="20"/>
          <w:lang w:eastAsia="en-AU"/>
        </w:rPr>
        <w:tab/>
      </w:r>
      <w:r w:rsidRPr="000721E7">
        <w:rPr>
          <w:sz w:val="20"/>
          <w:szCs w:val="20"/>
          <w:lang w:eastAsia="en-AU"/>
        </w:rPr>
        <w:t>Regulation 28 sets out circumstances where a credit representative is</w:t>
      </w:r>
      <w:r w:rsidR="00FD49CC">
        <w:rPr>
          <w:sz w:val="20"/>
          <w:szCs w:val="20"/>
          <w:lang w:eastAsia="en-AU"/>
        </w:rPr>
        <w:t xml:space="preserve"> </w:t>
      </w:r>
      <w:r w:rsidRPr="000721E7">
        <w:rPr>
          <w:sz w:val="20"/>
          <w:szCs w:val="20"/>
          <w:lang w:eastAsia="en-AU"/>
        </w:rPr>
        <w:t>not required to give contact details for a consumer to access an approved</w:t>
      </w:r>
      <w:r w:rsidR="00FD49CC">
        <w:rPr>
          <w:sz w:val="20"/>
          <w:szCs w:val="20"/>
          <w:lang w:eastAsia="en-AU"/>
        </w:rPr>
        <w:t xml:space="preserve"> </w:t>
      </w:r>
      <w:r w:rsidRPr="000721E7">
        <w:rPr>
          <w:sz w:val="20"/>
          <w:szCs w:val="20"/>
          <w:lang w:eastAsia="en-AU"/>
        </w:rPr>
        <w:t>external dispute resolution scheme.</w:t>
      </w:r>
    </w:p>
    <w:p w:rsidR="000721E7" w:rsidRDefault="000721E7" w:rsidP="000721E7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  <w:lang w:eastAsia="en-AU"/>
        </w:rPr>
      </w:pPr>
    </w:p>
    <w:p w:rsidR="000721E7" w:rsidRPr="000721E7" w:rsidRDefault="000721E7" w:rsidP="00FD49CC">
      <w:pPr>
        <w:autoSpaceDE w:val="0"/>
        <w:autoSpaceDN w:val="0"/>
        <w:adjustRightInd w:val="0"/>
        <w:ind w:left="567"/>
        <w:rPr>
          <w:rFonts w:ascii="Arial" w:hAnsi="Arial" w:cs="Arial"/>
          <w:i/>
          <w:iCs/>
          <w:sz w:val="24"/>
          <w:szCs w:val="24"/>
          <w:lang w:eastAsia="en-AU"/>
        </w:rPr>
      </w:pPr>
      <w:r w:rsidRPr="000721E7">
        <w:rPr>
          <w:rFonts w:ascii="Arial" w:hAnsi="Arial" w:cs="Arial"/>
          <w:i/>
          <w:iCs/>
          <w:sz w:val="24"/>
          <w:szCs w:val="24"/>
          <w:lang w:eastAsia="en-AU"/>
        </w:rPr>
        <w:t>Quotes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Pr="000721E7" w:rsidRDefault="000721E7" w:rsidP="00FD49CC">
      <w:pPr>
        <w:autoSpaceDE w:val="0"/>
        <w:autoSpaceDN w:val="0"/>
        <w:adjustRightInd w:val="0"/>
        <w:ind w:left="1134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(4)</w:t>
      </w:r>
      <w:r w:rsidR="00FD49CC">
        <w:rPr>
          <w:sz w:val="24"/>
          <w:szCs w:val="24"/>
          <w:lang w:eastAsia="en-AU"/>
        </w:rPr>
        <w:tab/>
        <w:t>A</w:t>
      </w:r>
      <w:r w:rsidRPr="000721E7">
        <w:rPr>
          <w:sz w:val="24"/>
          <w:szCs w:val="24"/>
          <w:lang w:eastAsia="en-AU"/>
        </w:rPr>
        <w:t xml:space="preserve"> licensee providing credit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 xml:space="preserve">assistance to </w:t>
      </w:r>
      <w:r w:rsidR="00BE0393">
        <w:rPr>
          <w:sz w:val="24"/>
          <w:szCs w:val="24"/>
          <w:lang w:eastAsia="en-AU"/>
        </w:rPr>
        <w:t xml:space="preserve">a </w:t>
      </w:r>
      <w:r w:rsidRPr="000721E7">
        <w:rPr>
          <w:sz w:val="24"/>
          <w:szCs w:val="24"/>
          <w:lang w:eastAsia="en-AU"/>
        </w:rPr>
        <w:t>consumer is exempted from sections 114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and 137 of the Act if: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Pr="000721E7" w:rsidRDefault="000721E7" w:rsidP="00FD49CC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(a)</w:t>
      </w:r>
      <w:r w:rsidR="00FD49CC"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before</w:t>
      </w:r>
      <w:proofErr w:type="gramEnd"/>
      <w:r w:rsidRPr="000721E7">
        <w:rPr>
          <w:sz w:val="24"/>
          <w:szCs w:val="24"/>
          <w:lang w:eastAsia="en-AU"/>
        </w:rPr>
        <w:t xml:space="preserve"> the licensee provides credit assistance to a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consumer, the licensee has entered into a written contract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with the consumer setting out the maximum amount that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will be payable by the consumer to the licensee in relation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to the licensee’s credit assistance and other services; or</w:t>
      </w:r>
    </w:p>
    <w:p w:rsidR="000721E7" w:rsidRDefault="000721E7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Default="000721E7" w:rsidP="00FD49CC">
      <w:pPr>
        <w:autoSpaceDE w:val="0"/>
        <w:autoSpaceDN w:val="0"/>
        <w:adjustRightInd w:val="0"/>
        <w:ind w:left="1701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(b)</w:t>
      </w:r>
      <w:r w:rsidR="00FD49CC"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both</w:t>
      </w:r>
      <w:proofErr w:type="gramEnd"/>
      <w:r w:rsidRPr="000721E7">
        <w:rPr>
          <w:sz w:val="24"/>
          <w:szCs w:val="24"/>
          <w:lang w:eastAsia="en-AU"/>
        </w:rPr>
        <w:t xml:space="preserve"> the following apply:</w:t>
      </w:r>
    </w:p>
    <w:p w:rsidR="00FD49CC" w:rsidRPr="000721E7" w:rsidRDefault="00FD49CC" w:rsidP="000721E7">
      <w:pPr>
        <w:autoSpaceDE w:val="0"/>
        <w:autoSpaceDN w:val="0"/>
        <w:adjustRightInd w:val="0"/>
        <w:rPr>
          <w:sz w:val="24"/>
          <w:szCs w:val="24"/>
          <w:lang w:eastAsia="en-AU"/>
        </w:rPr>
      </w:pPr>
    </w:p>
    <w:p w:rsidR="000721E7" w:rsidRDefault="000721E7" w:rsidP="00FD49CC">
      <w:pPr>
        <w:autoSpaceDE w:val="0"/>
        <w:autoSpaceDN w:val="0"/>
        <w:adjustRightInd w:val="0"/>
        <w:ind w:left="2268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(i)</w:t>
      </w:r>
      <w:r w:rsidR="00FD49CC"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before</w:t>
      </w:r>
      <w:proofErr w:type="gramEnd"/>
      <w:r w:rsidRPr="000721E7">
        <w:rPr>
          <w:sz w:val="24"/>
          <w:szCs w:val="24"/>
          <w:lang w:eastAsia="en-AU"/>
        </w:rPr>
        <w:t xml:space="preserve"> the licensee provides credit assistance to a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consumer, the licensee does not intend to impose a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fee or charge on the consumer for providing the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credit assistance or other services;</w:t>
      </w:r>
    </w:p>
    <w:p w:rsidR="00FD49CC" w:rsidRPr="000721E7" w:rsidRDefault="00FD49CC" w:rsidP="00FD49CC">
      <w:pPr>
        <w:autoSpaceDE w:val="0"/>
        <w:autoSpaceDN w:val="0"/>
        <w:adjustRightInd w:val="0"/>
        <w:ind w:left="2268" w:hanging="567"/>
        <w:rPr>
          <w:sz w:val="24"/>
          <w:szCs w:val="24"/>
          <w:lang w:eastAsia="en-AU"/>
        </w:rPr>
      </w:pPr>
    </w:p>
    <w:p w:rsidR="000721E7" w:rsidRPr="000721E7" w:rsidRDefault="000721E7" w:rsidP="00FD49CC">
      <w:pPr>
        <w:autoSpaceDE w:val="0"/>
        <w:autoSpaceDN w:val="0"/>
        <w:adjustRightInd w:val="0"/>
        <w:ind w:left="2268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(ii)</w:t>
      </w:r>
      <w:r w:rsidR="00FD49CC">
        <w:rPr>
          <w:sz w:val="24"/>
          <w:szCs w:val="24"/>
          <w:lang w:eastAsia="en-AU"/>
        </w:rPr>
        <w:tab/>
      </w:r>
      <w:proofErr w:type="gramStart"/>
      <w:r w:rsidRPr="000721E7">
        <w:rPr>
          <w:sz w:val="24"/>
          <w:szCs w:val="24"/>
          <w:lang w:eastAsia="en-AU"/>
        </w:rPr>
        <w:t>the</w:t>
      </w:r>
      <w:proofErr w:type="gramEnd"/>
      <w:r w:rsidRPr="000721E7">
        <w:rPr>
          <w:sz w:val="24"/>
          <w:szCs w:val="24"/>
          <w:lang w:eastAsia="en-AU"/>
        </w:rPr>
        <w:t xml:space="preserve"> licensee does not impose a fee or charge on the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consumer for the licensee’s credit assistance and</w:t>
      </w:r>
      <w:r w:rsidR="00FD49CC">
        <w:rPr>
          <w:sz w:val="24"/>
          <w:szCs w:val="24"/>
          <w:lang w:eastAsia="en-AU"/>
        </w:rPr>
        <w:t xml:space="preserve"> </w:t>
      </w:r>
      <w:r w:rsidRPr="000721E7">
        <w:rPr>
          <w:sz w:val="24"/>
          <w:szCs w:val="24"/>
          <w:lang w:eastAsia="en-AU"/>
        </w:rPr>
        <w:t>other services.</w:t>
      </w:r>
    </w:p>
    <w:p w:rsidR="000721E7" w:rsidRDefault="000721E7" w:rsidP="000721E7">
      <w:pPr>
        <w:rPr>
          <w:sz w:val="24"/>
          <w:szCs w:val="24"/>
          <w:lang w:eastAsia="en-AU"/>
        </w:rPr>
      </w:pPr>
    </w:p>
    <w:p w:rsidR="000721E7" w:rsidRPr="00AD5E1D" w:rsidRDefault="000721E7" w:rsidP="00AD5E1D">
      <w:pPr>
        <w:ind w:left="1134" w:hanging="567"/>
        <w:rPr>
          <w:sz w:val="24"/>
          <w:szCs w:val="24"/>
          <w:lang w:eastAsia="en-AU"/>
        </w:rPr>
      </w:pPr>
      <w:r w:rsidRPr="000721E7">
        <w:rPr>
          <w:sz w:val="24"/>
          <w:szCs w:val="24"/>
          <w:lang w:eastAsia="en-AU"/>
        </w:rPr>
        <w:t>(5)</w:t>
      </w:r>
      <w:r w:rsidR="00FD49CC">
        <w:rPr>
          <w:sz w:val="24"/>
          <w:szCs w:val="24"/>
          <w:lang w:eastAsia="en-AU"/>
        </w:rPr>
        <w:tab/>
      </w:r>
      <w:r w:rsidRPr="000721E7">
        <w:rPr>
          <w:sz w:val="24"/>
          <w:szCs w:val="24"/>
          <w:lang w:eastAsia="en-AU"/>
        </w:rPr>
        <w:t xml:space="preserve">This regulation ceases to have effect on </w:t>
      </w:r>
      <w:r w:rsidR="003D41E5">
        <w:rPr>
          <w:sz w:val="24"/>
          <w:szCs w:val="24"/>
          <w:lang w:eastAsia="en-AU"/>
        </w:rPr>
        <w:t>1 October 2011</w:t>
      </w:r>
      <w:r w:rsidRPr="000721E7">
        <w:rPr>
          <w:sz w:val="24"/>
          <w:szCs w:val="24"/>
          <w:lang w:eastAsia="en-AU"/>
        </w:rPr>
        <w:t>.</w:t>
      </w:r>
      <w:proofErr w:type="gramStart"/>
      <w:r w:rsidR="003D41E5">
        <w:rPr>
          <w:sz w:val="24"/>
          <w:szCs w:val="24"/>
          <w:lang w:eastAsia="en-AU"/>
        </w:rPr>
        <w:t>”.</w:t>
      </w:r>
      <w:proofErr w:type="gramEnd"/>
    </w:p>
    <w:p w:rsidR="003C497A" w:rsidRDefault="003C497A" w:rsidP="00972611">
      <w:pPr>
        <w:keepNext/>
        <w:ind w:left="709" w:hanging="709"/>
        <w:rPr>
          <w:rFonts w:ascii="Times" w:hAnsi="Times"/>
          <w:iCs/>
          <w:sz w:val="24"/>
          <w:szCs w:val="24"/>
        </w:rPr>
      </w:pPr>
    </w:p>
    <w:p w:rsidR="00317D52" w:rsidRPr="00317D52" w:rsidRDefault="00317D52" w:rsidP="00317D52">
      <w:pPr>
        <w:keepNext/>
        <w:ind w:left="1276" w:hanging="709"/>
        <w:rPr>
          <w:rFonts w:ascii="Times" w:hAnsi="Times"/>
          <w:iCs/>
          <w:sz w:val="20"/>
          <w:szCs w:val="20"/>
        </w:rPr>
      </w:pPr>
      <w:r w:rsidRPr="00317D52">
        <w:rPr>
          <w:rFonts w:ascii="Times" w:hAnsi="Times"/>
          <w:iCs/>
          <w:sz w:val="20"/>
          <w:szCs w:val="20"/>
        </w:rPr>
        <w:t>Note:</w:t>
      </w:r>
      <w:r w:rsidRPr="00317D52">
        <w:rPr>
          <w:rFonts w:ascii="Times" w:hAnsi="Times"/>
          <w:iCs/>
          <w:sz w:val="20"/>
          <w:szCs w:val="20"/>
        </w:rPr>
        <w:tab/>
        <w:t xml:space="preserve">This declaration replicates until 1 October </w:t>
      </w:r>
      <w:r w:rsidR="00C027D5">
        <w:rPr>
          <w:rFonts w:ascii="Times" w:hAnsi="Times"/>
          <w:iCs/>
          <w:sz w:val="20"/>
          <w:szCs w:val="20"/>
        </w:rPr>
        <w:t>2011</w:t>
      </w:r>
      <w:r w:rsidRPr="00317D52">
        <w:rPr>
          <w:rFonts w:ascii="Times" w:hAnsi="Times"/>
          <w:iCs/>
          <w:sz w:val="20"/>
          <w:szCs w:val="20"/>
        </w:rPr>
        <w:t xml:space="preserve"> the effect of the exemption under regulation 28N </w:t>
      </w:r>
      <w:r w:rsidR="00C027D5">
        <w:rPr>
          <w:rFonts w:ascii="Times" w:hAnsi="Times"/>
          <w:iCs/>
          <w:sz w:val="20"/>
          <w:szCs w:val="20"/>
        </w:rPr>
        <w:t xml:space="preserve">of the Regulations </w:t>
      </w:r>
      <w:r w:rsidRPr="00317D52">
        <w:rPr>
          <w:rFonts w:ascii="Times" w:hAnsi="Times"/>
          <w:iCs/>
          <w:sz w:val="20"/>
          <w:szCs w:val="20"/>
        </w:rPr>
        <w:t xml:space="preserve">as in force </w:t>
      </w:r>
      <w:r w:rsidR="00C027D5">
        <w:rPr>
          <w:rFonts w:ascii="Times" w:hAnsi="Times"/>
          <w:iCs/>
          <w:sz w:val="20"/>
          <w:szCs w:val="20"/>
        </w:rPr>
        <w:t xml:space="preserve">immediately </w:t>
      </w:r>
      <w:r w:rsidRPr="00317D52">
        <w:rPr>
          <w:rFonts w:ascii="Times" w:hAnsi="Times"/>
          <w:iCs/>
          <w:sz w:val="20"/>
          <w:szCs w:val="20"/>
        </w:rPr>
        <w:t>before 2 August 2011 as affect</w:t>
      </w:r>
      <w:r w:rsidR="00C027D5">
        <w:rPr>
          <w:rFonts w:ascii="Times" w:hAnsi="Times"/>
          <w:iCs/>
          <w:sz w:val="20"/>
          <w:szCs w:val="20"/>
        </w:rPr>
        <w:t>ed</w:t>
      </w:r>
      <w:r w:rsidRPr="00317D52">
        <w:rPr>
          <w:rFonts w:ascii="Times" w:hAnsi="Times"/>
          <w:iCs/>
          <w:sz w:val="20"/>
          <w:szCs w:val="20"/>
        </w:rPr>
        <w:t xml:space="preserve"> by ASIC Class Order [CO 10/1230].  It has been made to remove doubt about whether that exemption continues in force on and after that date</w:t>
      </w:r>
      <w:r w:rsidR="00C62BFD">
        <w:rPr>
          <w:rFonts w:ascii="Times" w:hAnsi="Times"/>
          <w:iCs/>
          <w:sz w:val="20"/>
          <w:szCs w:val="20"/>
        </w:rPr>
        <w:t>.  Such doubt</w:t>
      </w:r>
      <w:r w:rsidRPr="00317D52">
        <w:rPr>
          <w:rFonts w:ascii="Times" w:hAnsi="Times"/>
          <w:iCs/>
          <w:sz w:val="20"/>
          <w:szCs w:val="20"/>
        </w:rPr>
        <w:t xml:space="preserve"> may arise from the fact that an amendment expressed to extend </w:t>
      </w:r>
      <w:r w:rsidR="00C62BFD">
        <w:rPr>
          <w:rFonts w:ascii="Times" w:hAnsi="Times"/>
          <w:iCs/>
          <w:sz w:val="20"/>
          <w:szCs w:val="20"/>
        </w:rPr>
        <w:t>the</w:t>
      </w:r>
      <w:r w:rsidRPr="00317D52">
        <w:rPr>
          <w:rFonts w:ascii="Times" w:hAnsi="Times"/>
          <w:iCs/>
          <w:sz w:val="20"/>
          <w:szCs w:val="20"/>
        </w:rPr>
        <w:t xml:space="preserve"> operation </w:t>
      </w:r>
      <w:r w:rsidR="00C62BFD">
        <w:rPr>
          <w:rFonts w:ascii="Times" w:hAnsi="Times"/>
          <w:iCs/>
          <w:sz w:val="20"/>
          <w:szCs w:val="20"/>
        </w:rPr>
        <w:t xml:space="preserve">of regulation 28N </w:t>
      </w:r>
      <w:r w:rsidRPr="00317D52">
        <w:rPr>
          <w:rFonts w:ascii="Times" w:hAnsi="Times"/>
          <w:iCs/>
          <w:sz w:val="20"/>
          <w:szCs w:val="20"/>
        </w:rPr>
        <w:t xml:space="preserve">came into force after </w:t>
      </w:r>
      <w:r w:rsidR="00C62BFD">
        <w:rPr>
          <w:rFonts w:ascii="Times" w:hAnsi="Times"/>
          <w:iCs/>
          <w:sz w:val="20"/>
          <w:szCs w:val="20"/>
        </w:rPr>
        <w:t>it</w:t>
      </w:r>
      <w:r w:rsidRPr="00317D52">
        <w:rPr>
          <w:rFonts w:ascii="Times" w:hAnsi="Times"/>
          <w:iCs/>
          <w:sz w:val="20"/>
          <w:szCs w:val="20"/>
        </w:rPr>
        <w:t xml:space="preserve"> ceased to have effect.</w:t>
      </w:r>
    </w:p>
    <w:p w:rsidR="00AD5E1D" w:rsidRDefault="00AD5E1D" w:rsidP="00972611">
      <w:pPr>
        <w:keepNext/>
        <w:ind w:left="709" w:hanging="709"/>
        <w:rPr>
          <w:rFonts w:ascii="Times" w:hAnsi="Times"/>
          <w:iCs/>
          <w:sz w:val="24"/>
          <w:szCs w:val="24"/>
        </w:rPr>
      </w:pPr>
    </w:p>
    <w:p w:rsidR="00B2302E" w:rsidRDefault="00B2302E" w:rsidP="00972611">
      <w:pPr>
        <w:keepNext/>
        <w:ind w:left="709" w:hanging="709"/>
        <w:rPr>
          <w:rFonts w:ascii="Times" w:hAnsi="Times"/>
          <w:iCs/>
          <w:sz w:val="24"/>
          <w:szCs w:val="24"/>
        </w:rPr>
      </w:pPr>
    </w:p>
    <w:p w:rsidR="00972611" w:rsidRDefault="00972611" w:rsidP="00972611">
      <w:pPr>
        <w:keepNext/>
        <w:ind w:left="709" w:hanging="709"/>
        <w:rPr>
          <w:rFonts w:ascii="Times" w:hAnsi="Times"/>
          <w:iCs/>
          <w:sz w:val="24"/>
          <w:szCs w:val="24"/>
        </w:rPr>
      </w:pPr>
      <w:r>
        <w:rPr>
          <w:rFonts w:ascii="Times" w:hAnsi="Times"/>
          <w:iCs/>
          <w:sz w:val="24"/>
          <w:szCs w:val="24"/>
        </w:rPr>
        <w:t xml:space="preserve">Dated this </w:t>
      </w:r>
      <w:r w:rsidR="003D41E5">
        <w:rPr>
          <w:rFonts w:ascii="Times" w:hAnsi="Times"/>
          <w:iCs/>
          <w:sz w:val="24"/>
          <w:szCs w:val="24"/>
        </w:rPr>
        <w:t>2nd</w:t>
      </w:r>
      <w:r>
        <w:rPr>
          <w:rFonts w:ascii="Times" w:hAnsi="Times"/>
          <w:iCs/>
          <w:sz w:val="24"/>
          <w:szCs w:val="24"/>
        </w:rPr>
        <w:t xml:space="preserve"> day of </w:t>
      </w:r>
      <w:r w:rsidR="003D41E5">
        <w:rPr>
          <w:rFonts w:ascii="Times" w:hAnsi="Times"/>
          <w:iCs/>
          <w:sz w:val="24"/>
          <w:szCs w:val="24"/>
        </w:rPr>
        <w:t>August 2011</w:t>
      </w:r>
    </w:p>
    <w:p w:rsidR="00972611" w:rsidRDefault="00972611" w:rsidP="00972611">
      <w:pPr>
        <w:keepNext/>
        <w:ind w:left="709" w:hanging="709"/>
        <w:rPr>
          <w:rFonts w:ascii="Times" w:hAnsi="Times"/>
          <w:iCs/>
          <w:sz w:val="24"/>
          <w:szCs w:val="24"/>
        </w:rPr>
      </w:pPr>
    </w:p>
    <w:p w:rsidR="00586D91" w:rsidRDefault="00586D91" w:rsidP="00972611">
      <w:pPr>
        <w:ind w:left="709" w:hanging="709"/>
        <w:rPr>
          <w:rFonts w:ascii="Times" w:hAnsi="Times"/>
          <w:iCs/>
          <w:sz w:val="24"/>
          <w:szCs w:val="24"/>
        </w:rPr>
      </w:pPr>
    </w:p>
    <w:p w:rsidR="00972611" w:rsidRDefault="00972611" w:rsidP="00972611">
      <w:pPr>
        <w:ind w:left="709" w:hanging="709"/>
        <w:rPr>
          <w:rFonts w:ascii="Times" w:hAnsi="Times"/>
          <w:iCs/>
          <w:sz w:val="24"/>
          <w:szCs w:val="24"/>
        </w:rPr>
      </w:pPr>
    </w:p>
    <w:p w:rsidR="00AD5E1D" w:rsidRDefault="00AD5E1D" w:rsidP="00972611">
      <w:pPr>
        <w:ind w:left="709" w:hanging="709"/>
        <w:rPr>
          <w:rFonts w:ascii="Times" w:hAnsi="Times"/>
          <w:iCs/>
          <w:sz w:val="24"/>
          <w:szCs w:val="24"/>
        </w:rPr>
      </w:pPr>
    </w:p>
    <w:p w:rsidR="00972611" w:rsidRDefault="00972611" w:rsidP="00972611">
      <w:pPr>
        <w:ind w:left="709" w:hanging="709"/>
        <w:rPr>
          <w:rFonts w:ascii="Times" w:hAnsi="Times"/>
          <w:iCs/>
          <w:sz w:val="24"/>
          <w:szCs w:val="24"/>
        </w:rPr>
      </w:pPr>
      <w:r w:rsidRPr="005553CB">
        <w:rPr>
          <w:rFonts w:ascii="Times" w:hAnsi="Times"/>
          <w:iCs/>
          <w:sz w:val="24"/>
          <w:szCs w:val="24"/>
        </w:rPr>
        <w:t xml:space="preserve">Signed by Stephen Yen </w:t>
      </w:r>
      <w:r w:rsidRPr="00E52850">
        <w:rPr>
          <w:rFonts w:ascii="Times" w:hAnsi="Times"/>
          <w:iCs/>
          <w:szCs w:val="22"/>
        </w:rPr>
        <w:t>PSM</w:t>
      </w:r>
      <w:r>
        <w:rPr>
          <w:rFonts w:ascii="Times" w:hAnsi="Times"/>
          <w:iCs/>
          <w:sz w:val="24"/>
          <w:szCs w:val="24"/>
        </w:rPr>
        <w:t xml:space="preserve"> </w:t>
      </w:r>
    </w:p>
    <w:p w:rsidR="00972611" w:rsidRDefault="00972611" w:rsidP="000E4470">
      <w:pPr>
        <w:ind w:left="709" w:hanging="709"/>
      </w:pPr>
      <w:proofErr w:type="gramStart"/>
      <w:r w:rsidRPr="005553CB">
        <w:rPr>
          <w:rFonts w:ascii="Times" w:hAnsi="Times"/>
          <w:iCs/>
          <w:sz w:val="24"/>
          <w:szCs w:val="24"/>
        </w:rPr>
        <w:t>as</w:t>
      </w:r>
      <w:proofErr w:type="gramEnd"/>
      <w:r w:rsidRPr="005553CB">
        <w:rPr>
          <w:rFonts w:ascii="Times" w:hAnsi="Times"/>
          <w:iCs/>
          <w:sz w:val="24"/>
          <w:szCs w:val="24"/>
        </w:rPr>
        <w:t xml:space="preserve"> a delegate of the Australian Securities and Investments Commission</w:t>
      </w:r>
    </w:p>
    <w:sectPr w:rsidR="00972611" w:rsidSect="004F4F88"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32" w:rsidRDefault="00D92432" w:rsidP="004F4F88">
      <w:r>
        <w:separator/>
      </w:r>
    </w:p>
  </w:endnote>
  <w:endnote w:type="continuationSeparator" w:id="0">
    <w:p w:rsidR="00D92432" w:rsidRDefault="00D92432" w:rsidP="004F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32" w:rsidRDefault="00D92432" w:rsidP="004F4F88">
      <w:r>
        <w:separator/>
      </w:r>
    </w:p>
  </w:footnote>
  <w:footnote w:type="continuationSeparator" w:id="0">
    <w:p w:rsidR="00D92432" w:rsidRDefault="00D92432" w:rsidP="004F4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9376"/>
      <w:docPartObj>
        <w:docPartGallery w:val="Page Numbers (Top of Page)"/>
        <w:docPartUnique/>
      </w:docPartObj>
    </w:sdtPr>
    <w:sdtContent>
      <w:p w:rsidR="00897B0D" w:rsidRDefault="00B97EE0" w:rsidP="003D41E5">
        <w:pPr>
          <w:pStyle w:val="Header"/>
          <w:jc w:val="center"/>
        </w:pPr>
        <w:fldSimple w:instr=" PAGE   \* MERGEFORMAT ">
          <w:r w:rsidR="003503F8">
            <w:rPr>
              <w:noProof/>
            </w:rPr>
            <w:t>2</w:t>
          </w:r>
        </w:fldSimple>
      </w:p>
    </w:sdtContent>
  </w:sdt>
  <w:p w:rsidR="00897B0D" w:rsidRDefault="00897B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0D" w:rsidRDefault="00897B0D" w:rsidP="00302CBE">
    <w:pPr>
      <w:pStyle w:val="Header"/>
      <w:jc w:val="right"/>
    </w:pPr>
  </w:p>
  <w:p w:rsidR="00897B0D" w:rsidRDefault="00897B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DA9"/>
    <w:multiLevelType w:val="hybridMultilevel"/>
    <w:tmpl w:val="083EA8A8"/>
    <w:lvl w:ilvl="0" w:tplc="6644C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611"/>
    <w:rsid w:val="0003182F"/>
    <w:rsid w:val="000475C9"/>
    <w:rsid w:val="00056569"/>
    <w:rsid w:val="000721E7"/>
    <w:rsid w:val="0009418D"/>
    <w:rsid w:val="000E4470"/>
    <w:rsid w:val="000F6C21"/>
    <w:rsid w:val="00190A11"/>
    <w:rsid w:val="001B6C26"/>
    <w:rsid w:val="001D1C48"/>
    <w:rsid w:val="001F46DC"/>
    <w:rsid w:val="00203727"/>
    <w:rsid w:val="00213ACE"/>
    <w:rsid w:val="00245063"/>
    <w:rsid w:val="00256766"/>
    <w:rsid w:val="00266728"/>
    <w:rsid w:val="00281B63"/>
    <w:rsid w:val="00291A5F"/>
    <w:rsid w:val="002B11FE"/>
    <w:rsid w:val="002B52D3"/>
    <w:rsid w:val="0030141F"/>
    <w:rsid w:val="00302CBE"/>
    <w:rsid w:val="003103A2"/>
    <w:rsid w:val="00312602"/>
    <w:rsid w:val="003132C5"/>
    <w:rsid w:val="003147C8"/>
    <w:rsid w:val="00314FAE"/>
    <w:rsid w:val="00315773"/>
    <w:rsid w:val="00317D52"/>
    <w:rsid w:val="003503F8"/>
    <w:rsid w:val="003676A6"/>
    <w:rsid w:val="003946AB"/>
    <w:rsid w:val="003C497A"/>
    <w:rsid w:val="003D41E5"/>
    <w:rsid w:val="003E17B7"/>
    <w:rsid w:val="0041661E"/>
    <w:rsid w:val="00446E3E"/>
    <w:rsid w:val="00454D6F"/>
    <w:rsid w:val="00463166"/>
    <w:rsid w:val="004734C8"/>
    <w:rsid w:val="004A03B5"/>
    <w:rsid w:val="004A6A36"/>
    <w:rsid w:val="004D427E"/>
    <w:rsid w:val="004F1A22"/>
    <w:rsid w:val="004F4F88"/>
    <w:rsid w:val="00512732"/>
    <w:rsid w:val="00531487"/>
    <w:rsid w:val="00563939"/>
    <w:rsid w:val="00586D91"/>
    <w:rsid w:val="005B0A2D"/>
    <w:rsid w:val="005B1684"/>
    <w:rsid w:val="005B7633"/>
    <w:rsid w:val="005B7F54"/>
    <w:rsid w:val="005C365E"/>
    <w:rsid w:val="005C754D"/>
    <w:rsid w:val="005D4F86"/>
    <w:rsid w:val="006030D2"/>
    <w:rsid w:val="00626152"/>
    <w:rsid w:val="006339C9"/>
    <w:rsid w:val="006456B2"/>
    <w:rsid w:val="00646115"/>
    <w:rsid w:val="0068383A"/>
    <w:rsid w:val="006D359A"/>
    <w:rsid w:val="006F2037"/>
    <w:rsid w:val="0071294E"/>
    <w:rsid w:val="007852DD"/>
    <w:rsid w:val="007909CC"/>
    <w:rsid w:val="007B4E88"/>
    <w:rsid w:val="007D3D57"/>
    <w:rsid w:val="00822389"/>
    <w:rsid w:val="00832527"/>
    <w:rsid w:val="008421EA"/>
    <w:rsid w:val="008579EF"/>
    <w:rsid w:val="00897B0D"/>
    <w:rsid w:val="008E0E55"/>
    <w:rsid w:val="008F77F8"/>
    <w:rsid w:val="00951768"/>
    <w:rsid w:val="009664B4"/>
    <w:rsid w:val="009705B9"/>
    <w:rsid w:val="00972611"/>
    <w:rsid w:val="00977A2D"/>
    <w:rsid w:val="009A367D"/>
    <w:rsid w:val="009B25A5"/>
    <w:rsid w:val="00A00F84"/>
    <w:rsid w:val="00A01C44"/>
    <w:rsid w:val="00A11D7A"/>
    <w:rsid w:val="00A13016"/>
    <w:rsid w:val="00A261D7"/>
    <w:rsid w:val="00A57B54"/>
    <w:rsid w:val="00AA4001"/>
    <w:rsid w:val="00AB342B"/>
    <w:rsid w:val="00AD5E1D"/>
    <w:rsid w:val="00B00014"/>
    <w:rsid w:val="00B2302E"/>
    <w:rsid w:val="00B54B8B"/>
    <w:rsid w:val="00B868A2"/>
    <w:rsid w:val="00B97EE0"/>
    <w:rsid w:val="00BB2340"/>
    <w:rsid w:val="00BC6257"/>
    <w:rsid w:val="00BC64DA"/>
    <w:rsid w:val="00BE0393"/>
    <w:rsid w:val="00BE4CFE"/>
    <w:rsid w:val="00C027D5"/>
    <w:rsid w:val="00C11FC8"/>
    <w:rsid w:val="00C349C8"/>
    <w:rsid w:val="00C625E4"/>
    <w:rsid w:val="00C62BFD"/>
    <w:rsid w:val="00C73AFD"/>
    <w:rsid w:val="00C9075E"/>
    <w:rsid w:val="00C9213D"/>
    <w:rsid w:val="00CA0297"/>
    <w:rsid w:val="00CB7361"/>
    <w:rsid w:val="00CE7F2C"/>
    <w:rsid w:val="00D10F6D"/>
    <w:rsid w:val="00D204C5"/>
    <w:rsid w:val="00D30801"/>
    <w:rsid w:val="00D421D2"/>
    <w:rsid w:val="00D92432"/>
    <w:rsid w:val="00DC1D63"/>
    <w:rsid w:val="00DF6D17"/>
    <w:rsid w:val="00E07F79"/>
    <w:rsid w:val="00E1617F"/>
    <w:rsid w:val="00E34D89"/>
    <w:rsid w:val="00E367D2"/>
    <w:rsid w:val="00E52850"/>
    <w:rsid w:val="00E76739"/>
    <w:rsid w:val="00EB54FD"/>
    <w:rsid w:val="00ED22ED"/>
    <w:rsid w:val="00EF12E0"/>
    <w:rsid w:val="00F0707C"/>
    <w:rsid w:val="00F33D97"/>
    <w:rsid w:val="00F54D0E"/>
    <w:rsid w:val="00F71ADD"/>
    <w:rsid w:val="00F75656"/>
    <w:rsid w:val="00F923CB"/>
    <w:rsid w:val="00FA5CFA"/>
    <w:rsid w:val="00FC6AF6"/>
    <w:rsid w:val="00FD227E"/>
    <w:rsid w:val="00FD49CC"/>
    <w:rsid w:val="00FF077C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11"/>
    <w:rPr>
      <w:sz w:val="22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6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F88"/>
    <w:rPr>
      <w:sz w:val="22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F4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F88"/>
    <w:rPr>
      <w:sz w:val="2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63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9CA1-6AB2-4296-AA93-9AE8D6D0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Rushika Curtis</cp:lastModifiedBy>
  <cp:revision>2</cp:revision>
  <cp:lastPrinted>2011-08-02T05:08:00Z</cp:lastPrinted>
  <dcterms:created xsi:type="dcterms:W3CDTF">2011-08-02T05:29:00Z</dcterms:created>
  <dcterms:modified xsi:type="dcterms:W3CDTF">2011-08-02T05:29:00Z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A780659</vt:lpwstr>
  </property>
  <property fmtid="{D5CDD505-2E9C-101B-9397-08002B2CF9AE}" pid="4" name="Objective-Title">
    <vt:lpwstr>Class Order CO 11-760</vt:lpwstr>
  </property>
  <property fmtid="{D5CDD505-2E9C-101B-9397-08002B2CF9AE}" pid="5" name="Objective-Comment">
    <vt:lpwstr/>
  </property>
  <property fmtid="{D5CDD505-2E9C-101B-9397-08002B2CF9AE}" pid="6" name="Objective-CreationStamp">
    <vt:filetime>2011-08-02T01:20:40Z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2011-08-02T05:12:23Z</vt:filetime>
  </property>
  <property fmtid="{D5CDD505-2E9C-101B-9397-08002B2CF9AE}" pid="10" name="Objective-ModificationStamp">
    <vt:filetime>2011-08-02T05:12:25Z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 2011:</vt:lpwstr>
  </property>
  <property fmtid="{D5CDD505-2E9C-101B-9397-08002B2CF9AE}" pid="13" name="Objective-Parent">
    <vt:lpwstr>Class Orders 2011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9</vt:i4>
  </property>
  <property fmtid="{D5CDD505-2E9C-101B-9397-08002B2CF9AE}" pid="17" name="Objective-VersionComment">
    <vt:lpwstr/>
  </property>
  <property fmtid="{D5CDD505-2E9C-101B-9397-08002B2CF9AE}" pid="18" name="Objective-FileNumber">
    <vt:lpwstr>2010 - 002692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