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794"/>
        <w:gridCol w:w="2438"/>
      </w:tblGrid>
      <w:tr w:rsidR="00090A6F" w:rsidRPr="0000292B">
        <w:tc>
          <w:tcPr>
            <w:tcW w:w="3794" w:type="dxa"/>
          </w:tcPr>
          <w:p w:rsidR="00090A6F" w:rsidRPr="0000292B" w:rsidRDefault="00364B30">
            <w:pPr>
              <w:pStyle w:val="CoverStandard"/>
            </w:pPr>
            <w:r>
              <w:t>AASB</w:t>
            </w:r>
            <w:r w:rsidR="00831497">
              <w:t xml:space="preserve"> Standard</w:t>
            </w:r>
          </w:p>
        </w:tc>
        <w:tc>
          <w:tcPr>
            <w:tcW w:w="2438" w:type="dxa"/>
          </w:tcPr>
          <w:p w:rsidR="00090A6F" w:rsidRPr="0000292B" w:rsidRDefault="00831497">
            <w:pPr>
              <w:pStyle w:val="CoverNumber"/>
            </w:pPr>
            <w:r>
              <w:t>AASB</w:t>
            </w:r>
            <w:r w:rsidR="00090A6F" w:rsidRPr="0000292B">
              <w:t xml:space="preserve"> </w:t>
            </w:r>
            <w:bookmarkStart w:id="0" w:name="DocNo"/>
            <w:r w:rsidR="00BF5E40">
              <w:t>2011-</w:t>
            </w:r>
            <w:r w:rsidR="003B65B6">
              <w:t>4</w:t>
            </w:r>
            <w:bookmarkEnd w:id="0"/>
          </w:p>
          <w:p w:rsidR="00090A6F" w:rsidRPr="0000292B" w:rsidRDefault="000E718B" w:rsidP="000E718B">
            <w:pPr>
              <w:pStyle w:val="CoverDate"/>
            </w:pPr>
            <w:bookmarkStart w:id="1" w:name="DocDate"/>
            <w:r>
              <w:t>July</w:t>
            </w:r>
            <w:r w:rsidR="00BF5E40">
              <w:t xml:space="preserve"> 2011</w:t>
            </w:r>
            <w:bookmarkEnd w:id="1"/>
          </w:p>
        </w:tc>
      </w:tr>
    </w:tbl>
    <w:p w:rsidR="00090A6F" w:rsidRPr="0000292B" w:rsidRDefault="00831497" w:rsidP="00667869">
      <w:pPr>
        <w:pStyle w:val="CoverTitle"/>
        <w:spacing w:before="800"/>
      </w:pPr>
      <w:bookmarkStart w:id="2" w:name="_GoBack"/>
      <w:bookmarkEnd w:id="2"/>
      <w:r>
        <w:t>Amendments to</w:t>
      </w:r>
      <w:r w:rsidR="00C444C3">
        <w:t xml:space="preserve"> Australian Accounting Standard</w:t>
      </w:r>
      <w:r w:rsidR="00C82B21">
        <w:t>s</w:t>
      </w:r>
      <w:r>
        <w:t xml:space="preserve"> </w:t>
      </w:r>
      <w:r w:rsidR="00D9758D">
        <w:t>to Remove Individual Key Management Personnel Disclosure Requirements</w:t>
      </w:r>
      <w:bookmarkStart w:id="3" w:name="ArisingNo"/>
      <w:bookmarkEnd w:id="3"/>
    </w:p>
    <w:p w:rsidR="00737714" w:rsidRDefault="00737714" w:rsidP="00C5022C">
      <w:pPr>
        <w:pStyle w:val="CoverTitle"/>
      </w:pPr>
    </w:p>
    <w:p w:rsidR="00C5022C" w:rsidRPr="00C5022C" w:rsidRDefault="002B7803" w:rsidP="00C5022C">
      <w:pPr>
        <w:pStyle w:val="CoverSubtitle"/>
      </w:pPr>
      <w:r>
        <w:t>[</w:t>
      </w:r>
      <w:bookmarkStart w:id="4" w:name="AmendingNos"/>
      <w:r w:rsidR="00BF5E40">
        <w:t>AASB 124</w:t>
      </w:r>
      <w:bookmarkEnd w:id="4"/>
      <w:r>
        <w:t>]</w:t>
      </w:r>
    </w:p>
    <w:p w:rsidR="00737714" w:rsidRPr="0000292B" w:rsidRDefault="00737714" w:rsidP="00737714"/>
    <w:p w:rsidR="00090A6F" w:rsidRPr="0000292B" w:rsidRDefault="008B643A">
      <w:pPr>
        <w:sectPr w:rsidR="00090A6F" w:rsidRPr="0000292B">
          <w:pgSz w:w="11907" w:h="16840"/>
          <w:pgMar w:top="3686" w:right="2835" w:bottom="3686" w:left="2835" w:header="720" w:footer="3255" w:gutter="0"/>
          <w:paperSrc w:first="58" w:other="58"/>
          <w:cols w:space="720"/>
        </w:sectPr>
      </w:pPr>
      <w:r>
        <w:rPr>
          <w:noProof/>
          <w:lang w:eastAsia="en-AU"/>
        </w:rPr>
        <w:drawing>
          <wp:anchor distT="0" distB="0" distL="114300" distR="114300" simplePos="0" relativeHeight="251657728" behindDoc="0" locked="1" layoutInCell="1" allowOverlap="1" wp14:anchorId="08684C9F" wp14:editId="245036A5">
            <wp:simplePos x="0" y="0"/>
            <wp:positionH relativeFrom="page">
              <wp:posOffset>1764030</wp:posOffset>
            </wp:positionH>
            <wp:positionV relativeFrom="page">
              <wp:posOffset>7272655</wp:posOffset>
            </wp:positionV>
            <wp:extent cx="1676400" cy="1333500"/>
            <wp:effectExtent l="0" t="0" r="0" b="0"/>
            <wp:wrapNone/>
            <wp:docPr id="5" name="Picture 5" descr="AASB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7714" w:rsidRPr="0000292B" w:rsidRDefault="00737714" w:rsidP="00737714">
      <w:pPr>
        <w:pStyle w:val="Heading2"/>
      </w:pPr>
      <w:r w:rsidRPr="0000292B">
        <w:lastRenderedPageBreak/>
        <w:t xml:space="preserve">Obtaining a Copy of this </w:t>
      </w:r>
      <w:r w:rsidR="00C5022C">
        <w:t>Accounting Standard</w:t>
      </w:r>
    </w:p>
    <w:p w:rsidR="00737714" w:rsidRPr="0000292B" w:rsidRDefault="00737714" w:rsidP="00737714">
      <w:pPr>
        <w:pStyle w:val="CommentsPage"/>
      </w:pPr>
      <w:r w:rsidRPr="0000292B">
        <w:t xml:space="preserve">This </w:t>
      </w:r>
      <w:r w:rsidR="00C5022C">
        <w:t>Standard</w:t>
      </w:r>
      <w:r w:rsidRPr="0000292B">
        <w:t xml:space="preserve"> is available o</w:t>
      </w:r>
      <w:r w:rsidR="00923261">
        <w:t>n the AASB website: www.aasb.gov</w:t>
      </w:r>
      <w:r w:rsidRPr="0000292B">
        <w:t>.au.</w:t>
      </w:r>
    </w:p>
    <w:p w:rsidR="00737714" w:rsidRPr="0000292B" w:rsidRDefault="00737714" w:rsidP="003E0A68">
      <w:pPr>
        <w:pStyle w:val="CommentsPage"/>
        <w:ind w:right="-146"/>
      </w:pPr>
      <w:r w:rsidRPr="0000292B">
        <w:t xml:space="preserve">Alternatively, printed copies of this </w:t>
      </w:r>
      <w:r w:rsidR="00C5022C">
        <w:t>Standard</w:t>
      </w:r>
      <w:r w:rsidR="003E0A68" w:rsidRPr="0000292B">
        <w:t xml:space="preserve"> are available </w:t>
      </w:r>
      <w:r w:rsidR="00C5022C">
        <w:t xml:space="preserve">for purchase </w:t>
      </w:r>
      <w:r w:rsidR="003E0A68" w:rsidRPr="0000292B">
        <w:t>by contacting:</w:t>
      </w:r>
    </w:p>
    <w:p w:rsidR="00737714" w:rsidRPr="0000292B" w:rsidRDefault="00737714" w:rsidP="00737714"/>
    <w:tbl>
      <w:tblPr>
        <w:tblW w:w="0" w:type="auto"/>
        <w:tblLook w:val="0000" w:firstRow="0" w:lastRow="0" w:firstColumn="0" w:lastColumn="0" w:noHBand="0" w:noVBand="0"/>
      </w:tblPr>
      <w:tblGrid>
        <w:gridCol w:w="3856"/>
        <w:gridCol w:w="1928"/>
      </w:tblGrid>
      <w:tr w:rsidR="00737714" w:rsidRPr="0000292B" w:rsidTr="003D1DD4">
        <w:tc>
          <w:tcPr>
            <w:tcW w:w="3856" w:type="dxa"/>
          </w:tcPr>
          <w:p w:rsidR="00737714" w:rsidRPr="0000292B" w:rsidRDefault="00737714" w:rsidP="00E24399">
            <w:r w:rsidRPr="0000292B">
              <w:t xml:space="preserve">The </w:t>
            </w:r>
            <w:r w:rsidR="003E0A68" w:rsidRPr="0000292B">
              <w:t>Customer Service Officer</w:t>
            </w:r>
          </w:p>
          <w:p w:rsidR="00737714" w:rsidRPr="0000292B" w:rsidRDefault="00737714" w:rsidP="00E24399">
            <w:r w:rsidRPr="0000292B">
              <w:t>Australian Accounting Standards Board</w:t>
            </w:r>
          </w:p>
          <w:p w:rsidR="00737714" w:rsidRPr="0000292B" w:rsidRDefault="003E0A68" w:rsidP="00E24399">
            <w:r w:rsidRPr="0000292B">
              <w:t>Level 7</w:t>
            </w:r>
          </w:p>
          <w:p w:rsidR="00737714" w:rsidRPr="0000292B" w:rsidRDefault="003E0A68" w:rsidP="00E24399">
            <w:r w:rsidRPr="0000292B">
              <w:t>600 Bourke Street</w:t>
            </w:r>
          </w:p>
          <w:p w:rsidR="003E0A68" w:rsidRPr="0000292B" w:rsidRDefault="007455F0" w:rsidP="00E24399">
            <w:r>
              <w:t>Melbourne   Victoria</w:t>
            </w:r>
          </w:p>
          <w:p w:rsidR="00737714" w:rsidRDefault="00737714" w:rsidP="00E24399">
            <w:r w:rsidRPr="0000292B">
              <w:t>AUSTRALIA</w:t>
            </w:r>
          </w:p>
          <w:p w:rsidR="00C5022C" w:rsidRPr="0000292B" w:rsidRDefault="00C5022C" w:rsidP="00E24399"/>
        </w:tc>
        <w:tc>
          <w:tcPr>
            <w:tcW w:w="1928" w:type="dxa"/>
            <w:tcMar>
              <w:left w:w="108" w:type="dxa"/>
              <w:right w:w="108" w:type="dxa"/>
            </w:tcMar>
          </w:tcPr>
          <w:p w:rsidR="00C5022C" w:rsidRDefault="00C5022C" w:rsidP="00C5022C"/>
          <w:p w:rsidR="00C5022C" w:rsidRPr="00C5022C" w:rsidRDefault="00C5022C" w:rsidP="00C5022C">
            <w:pPr>
              <w:rPr>
                <w:b/>
              </w:rPr>
            </w:pPr>
            <w:r w:rsidRPr="00C5022C">
              <w:rPr>
                <w:b/>
              </w:rPr>
              <w:t>Postal address:</w:t>
            </w:r>
          </w:p>
          <w:p w:rsidR="00E06C2F" w:rsidRDefault="00C5022C" w:rsidP="00C5022C">
            <w:r w:rsidRPr="00C5022C">
              <w:t>PO Box 204</w:t>
            </w:r>
          </w:p>
          <w:p w:rsidR="00B271BA" w:rsidRDefault="00C5022C" w:rsidP="00C5022C">
            <w:r w:rsidRPr="00C5022C">
              <w:t>Collins St</w:t>
            </w:r>
            <w:r w:rsidR="00AD42DA">
              <w:t>reet</w:t>
            </w:r>
            <w:r w:rsidRPr="00C5022C">
              <w:t xml:space="preserve"> West</w:t>
            </w:r>
          </w:p>
          <w:p w:rsidR="003E0A68" w:rsidRDefault="00C5022C" w:rsidP="00C5022C">
            <w:r w:rsidRPr="00C5022C">
              <w:t>Vic</w:t>
            </w:r>
            <w:r>
              <w:t>toria</w:t>
            </w:r>
            <w:r w:rsidRPr="00C5022C">
              <w:t xml:space="preserve">   8007</w:t>
            </w:r>
          </w:p>
          <w:p w:rsidR="00C5022C" w:rsidRPr="0000292B" w:rsidRDefault="00C5022C" w:rsidP="00C5022C">
            <w:r>
              <w:t>AUSTRALIA</w:t>
            </w:r>
          </w:p>
        </w:tc>
      </w:tr>
      <w:tr w:rsidR="00C5022C" w:rsidRPr="0000292B" w:rsidTr="003D1DD4">
        <w:tc>
          <w:tcPr>
            <w:tcW w:w="3856" w:type="dxa"/>
          </w:tcPr>
          <w:p w:rsidR="00C5022C" w:rsidRPr="00C5022C" w:rsidRDefault="00C5022C" w:rsidP="00C5022C">
            <w:pPr>
              <w:tabs>
                <w:tab w:val="left" w:pos="907"/>
              </w:tabs>
            </w:pPr>
            <w:r w:rsidRPr="00C5022C">
              <w:t>Phone:</w:t>
            </w:r>
            <w:r w:rsidRPr="00C5022C">
              <w:tab/>
              <w:t>(03) 9617 7637</w:t>
            </w:r>
          </w:p>
          <w:p w:rsidR="00C5022C" w:rsidRPr="00C5022C" w:rsidRDefault="00C5022C" w:rsidP="00C5022C">
            <w:pPr>
              <w:tabs>
                <w:tab w:val="left" w:pos="907"/>
              </w:tabs>
            </w:pPr>
            <w:r w:rsidRPr="00C5022C">
              <w:t>Fax:</w:t>
            </w:r>
            <w:r w:rsidRPr="00C5022C">
              <w:tab/>
              <w:t>(03) 9617 7608</w:t>
            </w:r>
          </w:p>
          <w:p w:rsidR="00C5022C" w:rsidRDefault="00923261" w:rsidP="00C5022C">
            <w:pPr>
              <w:tabs>
                <w:tab w:val="left" w:pos="907"/>
              </w:tabs>
            </w:pPr>
            <w:r>
              <w:t>E-mail:</w:t>
            </w:r>
            <w:r>
              <w:tab/>
              <w:t>publications@aasb.gov</w:t>
            </w:r>
            <w:r w:rsidR="00C5022C" w:rsidRPr="00C5022C">
              <w:t>.au</w:t>
            </w:r>
          </w:p>
          <w:p w:rsidR="00C5022C" w:rsidRPr="00C5022C" w:rsidRDefault="00923261" w:rsidP="00C5022C">
            <w:pPr>
              <w:tabs>
                <w:tab w:val="left" w:pos="907"/>
              </w:tabs>
            </w:pPr>
            <w:r>
              <w:t>Website:</w:t>
            </w:r>
            <w:r>
              <w:tab/>
              <w:t>www.aasb.gov</w:t>
            </w:r>
            <w:r w:rsidR="00C5022C">
              <w:t>.au</w:t>
            </w:r>
          </w:p>
          <w:p w:rsidR="00C5022C" w:rsidRPr="00C5022C" w:rsidRDefault="00C5022C" w:rsidP="00C5022C"/>
        </w:tc>
        <w:tc>
          <w:tcPr>
            <w:tcW w:w="1928" w:type="dxa"/>
            <w:tcMar>
              <w:left w:w="0" w:type="dxa"/>
              <w:right w:w="0" w:type="dxa"/>
            </w:tcMar>
          </w:tcPr>
          <w:p w:rsidR="00C5022C" w:rsidRPr="007455F0" w:rsidRDefault="00C5022C" w:rsidP="007455F0">
            <w:pPr>
              <w:tabs>
                <w:tab w:val="left" w:pos="802"/>
              </w:tabs>
              <w:ind w:left="77"/>
              <w:rPr>
                <w:b/>
              </w:rPr>
            </w:pPr>
          </w:p>
        </w:tc>
      </w:tr>
    </w:tbl>
    <w:p w:rsidR="00737714" w:rsidRPr="0000292B" w:rsidRDefault="00737714" w:rsidP="00737714"/>
    <w:p w:rsidR="007455F0" w:rsidRPr="0000292B" w:rsidRDefault="007455F0" w:rsidP="007455F0">
      <w:pPr>
        <w:framePr w:hSpace="181" w:wrap="notBeside" w:hAnchor="margin" w:yAlign="bottom"/>
      </w:pPr>
      <w:r w:rsidRPr="0000292B">
        <w:t>COPYRIGHT</w:t>
      </w:r>
    </w:p>
    <w:p w:rsidR="007455F0" w:rsidRPr="0000292B" w:rsidRDefault="007455F0" w:rsidP="007455F0">
      <w:pPr>
        <w:framePr w:hSpace="181" w:wrap="notBeside" w:hAnchor="margin" w:yAlign="bottom"/>
      </w:pPr>
    </w:p>
    <w:p w:rsidR="007455F0" w:rsidRDefault="00EC4AFD" w:rsidP="007455F0">
      <w:pPr>
        <w:framePr w:hSpace="181" w:wrap="notBeside" w:hAnchor="margin" w:yAlign="bottom"/>
      </w:pPr>
      <w:r>
        <w:t xml:space="preserve">© </w:t>
      </w:r>
      <w:r w:rsidR="004A417F">
        <w:t>Commonwealth of Australia</w:t>
      </w:r>
      <w:r>
        <w:t xml:space="preserve"> </w:t>
      </w:r>
      <w:bookmarkStart w:id="5" w:name="Year"/>
      <w:r w:rsidR="00BF5E40">
        <w:t>2011</w:t>
      </w:r>
      <w:bookmarkEnd w:id="5"/>
    </w:p>
    <w:p w:rsidR="008F5963" w:rsidRDefault="008F5963" w:rsidP="007455F0">
      <w:pPr>
        <w:framePr w:hSpace="181" w:wrap="notBeside" w:hAnchor="margin" w:yAlign="bottom"/>
      </w:pPr>
    </w:p>
    <w:p w:rsidR="00EC4AFD" w:rsidRDefault="00EC4AFD" w:rsidP="00EC4AFD">
      <w:pPr>
        <w:framePr w:hSpace="181" w:wrap="notBeside" w:hAnchor="margin" w:yAlign="bottom"/>
      </w:pPr>
      <w:bookmarkStart w:id="6" w:name="CopyrightText"/>
      <w:r>
        <w:t xml:space="preserve">This work is copyright.  Apart from any use as permitted under the </w:t>
      </w:r>
      <w:r w:rsidRPr="00364B30">
        <w:rPr>
          <w:i/>
        </w:rPr>
        <w:t>Copyright Act 1968</w:t>
      </w:r>
      <w:r>
        <w:t>, no part may be reproduced by any process without prior wri</w:t>
      </w:r>
      <w:r w:rsidR="00364B30">
        <w:t>tten permission.  Requests and e</w:t>
      </w:r>
      <w:r>
        <w:t xml:space="preserve">nquiries concerning reproduction and rights should be addressed to The Director of Finance and Administration, </w:t>
      </w:r>
      <w:r w:rsidRPr="0000292B">
        <w:t>Australian Accounting Standards Board</w:t>
      </w:r>
      <w:r>
        <w:t>, PO Box 204, Collins Street West, Victoria 8007</w:t>
      </w:r>
      <w:r w:rsidRPr="0000292B">
        <w:t>.</w:t>
      </w:r>
      <w:bookmarkEnd w:id="6"/>
    </w:p>
    <w:p w:rsidR="00FF647E" w:rsidRDefault="00FF647E" w:rsidP="00EC4AFD">
      <w:pPr>
        <w:framePr w:hSpace="181" w:wrap="notBeside" w:hAnchor="margin" w:yAlign="bottom"/>
      </w:pPr>
    </w:p>
    <w:p w:rsidR="007455F0" w:rsidRDefault="007455F0" w:rsidP="007455F0">
      <w:pPr>
        <w:framePr w:hSpace="181" w:wrap="notBeside" w:hAnchor="margin" w:yAlign="bottom"/>
      </w:pPr>
      <w:r w:rsidRPr="0000292B">
        <w:t xml:space="preserve">ISSN </w:t>
      </w:r>
      <w:bookmarkStart w:id="7" w:name="ISSN"/>
      <w:r w:rsidR="00BF5E40">
        <w:t>1036-4803</w:t>
      </w:r>
      <w:bookmarkEnd w:id="7"/>
    </w:p>
    <w:p w:rsidR="00090A6F" w:rsidRPr="0000292B" w:rsidRDefault="00090A6F">
      <w:pPr>
        <w:pStyle w:val="Heading2"/>
      </w:pPr>
      <w:r w:rsidRPr="0000292B">
        <w:t xml:space="preserve">Other </w:t>
      </w:r>
      <w:r w:rsidR="003E0A68" w:rsidRPr="0000292B">
        <w:t>Enquiries</w:t>
      </w:r>
    </w:p>
    <w:p w:rsidR="00090A6F" w:rsidRPr="0000292B" w:rsidRDefault="00090A6F">
      <w:pPr>
        <w:pStyle w:val="CoverContact"/>
      </w:pPr>
      <w:r w:rsidRPr="0000292B">
        <w:t>Phone:</w:t>
      </w:r>
      <w:r w:rsidRPr="0000292B">
        <w:tab/>
        <w:t>(03) 9617 7600</w:t>
      </w:r>
    </w:p>
    <w:p w:rsidR="00090A6F" w:rsidRPr="0000292B" w:rsidRDefault="00090A6F">
      <w:pPr>
        <w:pStyle w:val="CoverContact"/>
      </w:pPr>
      <w:r w:rsidRPr="0000292B">
        <w:t>Fax:</w:t>
      </w:r>
      <w:r w:rsidRPr="0000292B">
        <w:tab/>
        <w:t>(03) 9617 7608</w:t>
      </w:r>
    </w:p>
    <w:p w:rsidR="00090A6F" w:rsidRPr="0000292B" w:rsidRDefault="00923261">
      <w:pPr>
        <w:pStyle w:val="CoverContact"/>
      </w:pPr>
      <w:r>
        <w:t>E-mail:</w:t>
      </w:r>
      <w:r>
        <w:tab/>
        <w:t>standard@aasb.gov</w:t>
      </w:r>
      <w:r w:rsidR="00090A6F" w:rsidRPr="0000292B">
        <w:t>.au</w:t>
      </w:r>
    </w:p>
    <w:p w:rsidR="007455F0" w:rsidRPr="0000292B" w:rsidRDefault="007455F0"/>
    <w:p w:rsidR="00090A6F" w:rsidRPr="0000292B" w:rsidRDefault="00090A6F">
      <w:pPr>
        <w:sectPr w:rsidR="00090A6F" w:rsidRPr="0000292B">
          <w:headerReference w:type="even" r:id="rId10"/>
          <w:headerReference w:type="default" r:id="rId11"/>
          <w:footerReference w:type="default" r:id="rId12"/>
          <w:headerReference w:type="first" r:id="rId13"/>
          <w:pgSz w:w="11907" w:h="16840"/>
          <w:pgMar w:top="3686" w:right="2837" w:bottom="3686" w:left="2837" w:header="706" w:footer="3254" w:gutter="0"/>
          <w:paperSrc w:first="58" w:other="58"/>
          <w:cols w:space="720"/>
        </w:sectPr>
      </w:pPr>
    </w:p>
    <w:p w:rsidR="00090A6F" w:rsidRPr="0000292B" w:rsidRDefault="00090A6F">
      <w:pPr>
        <w:pStyle w:val="Heading1"/>
      </w:pPr>
      <w:r w:rsidRPr="0000292B">
        <w:lastRenderedPageBreak/>
        <w:t>CONTENTS</w:t>
      </w:r>
    </w:p>
    <w:p w:rsidR="00090A6F" w:rsidRPr="0000292B" w:rsidRDefault="00090A6F">
      <w:pPr>
        <w:pStyle w:val="ContentsCapsPlain"/>
      </w:pPr>
      <w:r w:rsidRPr="0000292B">
        <w:t>Preface</w:t>
      </w:r>
    </w:p>
    <w:p w:rsidR="00090A6F" w:rsidRPr="0000292B" w:rsidRDefault="00090A6F">
      <w:pPr>
        <w:pStyle w:val="ContentsCapsBold"/>
      </w:pPr>
      <w:r w:rsidRPr="0000292B">
        <w:t>Accounting Standard</w:t>
      </w:r>
    </w:p>
    <w:p w:rsidR="00090A6F" w:rsidRDefault="00090A6F">
      <w:pPr>
        <w:pStyle w:val="ContentsCapsBold"/>
        <w:rPr>
          <w:i/>
          <w:iCs/>
        </w:rPr>
      </w:pPr>
      <w:r w:rsidRPr="0000292B">
        <w:t xml:space="preserve">AASB </w:t>
      </w:r>
      <w:r w:rsidR="009C2479" w:rsidRPr="00BC0D5D">
        <w:rPr>
          <w:iCs/>
        </w:rPr>
        <w:fldChar w:fldCharType="begin" w:fldLock="1"/>
      </w:r>
      <w:r w:rsidR="009C2479" w:rsidRPr="00BC0D5D">
        <w:rPr>
          <w:iCs/>
        </w:rPr>
        <w:instrText xml:space="preserve"> REF </w:instrText>
      </w:r>
      <w:r w:rsidR="009C2479">
        <w:rPr>
          <w:iCs/>
        </w:rPr>
        <w:instrText>Doc</w:instrText>
      </w:r>
      <w:r w:rsidR="009C2479" w:rsidRPr="00BC0D5D">
        <w:rPr>
          <w:iCs/>
        </w:rPr>
        <w:instrText xml:space="preserve">No \* charformat </w:instrText>
      </w:r>
      <w:r w:rsidR="009C2479" w:rsidRPr="00BC0D5D">
        <w:rPr>
          <w:iCs/>
        </w:rPr>
        <w:fldChar w:fldCharType="separate"/>
      </w:r>
      <w:r w:rsidR="00BF5E40" w:rsidRPr="00BF5E40">
        <w:rPr>
          <w:iCs/>
        </w:rPr>
        <w:t>2011-</w:t>
      </w:r>
      <w:r w:rsidR="00112DCD">
        <w:rPr>
          <w:iCs/>
        </w:rPr>
        <w:t>4</w:t>
      </w:r>
      <w:r w:rsidR="009C2479" w:rsidRPr="00BC0D5D">
        <w:rPr>
          <w:iCs/>
        </w:rPr>
        <w:fldChar w:fldCharType="end"/>
      </w:r>
      <w:r w:rsidRPr="0000292B">
        <w:t xml:space="preserve"> </w:t>
      </w:r>
      <w:r w:rsidR="009C2479" w:rsidRPr="009C2479">
        <w:rPr>
          <w:i/>
        </w:rPr>
        <w:t xml:space="preserve">AmenDMENTS TO aUSTRALIAN aCCOUNTING sTANDARDS </w:t>
      </w:r>
      <w:r w:rsidR="009C5EA9">
        <w:rPr>
          <w:i/>
        </w:rPr>
        <w:t>TO REMOVE INDIVIDUAL KEY MANAGEMENT PERSONNEL DISCLOSURE REQUIREMENTS</w:t>
      </w:r>
      <w:r w:rsidR="009C2479" w:rsidRPr="009C2479">
        <w:rPr>
          <w:i/>
          <w:iCs/>
        </w:rPr>
        <w:fldChar w:fldCharType="begin" w:fldLock="1"/>
      </w:r>
      <w:r w:rsidR="009C2479" w:rsidRPr="009C2479">
        <w:rPr>
          <w:i/>
          <w:iCs/>
        </w:rPr>
        <w:instrText xml:space="preserve"> REF aRISINGNo \* charformat</w:instrText>
      </w:r>
      <w:r w:rsidR="009C2479">
        <w:rPr>
          <w:i/>
          <w:iCs/>
        </w:rPr>
        <w:instrText xml:space="preserve"> </w:instrText>
      </w:r>
      <w:r w:rsidR="009C2479" w:rsidRPr="009C2479">
        <w:rPr>
          <w:i/>
          <w:iCs/>
        </w:rPr>
        <w:fldChar w:fldCharType="end"/>
      </w:r>
    </w:p>
    <w:p w:rsidR="002B7803" w:rsidRPr="002B7803" w:rsidRDefault="002B7803" w:rsidP="002B7803"/>
    <w:p w:rsidR="00090A6F" w:rsidRPr="0000292B" w:rsidRDefault="00090A6F">
      <w:pPr>
        <w:pStyle w:val="ContentsParaHead"/>
      </w:pPr>
      <w:r w:rsidRPr="0000292B">
        <w:t>Paragraphs</w:t>
      </w:r>
    </w:p>
    <w:p w:rsidR="00090A6F" w:rsidRPr="0000292B" w:rsidRDefault="00090A6F">
      <w:pPr>
        <w:pStyle w:val="ContentsLevel1"/>
      </w:pPr>
      <w:bookmarkStart w:id="8" w:name="TOCRange"/>
      <w:r w:rsidRPr="0000292B">
        <w:t>Objective</w:t>
      </w:r>
      <w:r w:rsidRPr="0000292B">
        <w:tab/>
      </w:r>
      <w:r w:rsidR="0086499D">
        <w:t>1</w:t>
      </w:r>
    </w:p>
    <w:p w:rsidR="00090A6F" w:rsidRDefault="00090A6F">
      <w:pPr>
        <w:pStyle w:val="ContentsLevel1"/>
      </w:pPr>
      <w:r w:rsidRPr="0000292B">
        <w:t>Application</w:t>
      </w:r>
      <w:r w:rsidRPr="0000292B">
        <w:tab/>
      </w:r>
      <w:r w:rsidR="0086499D">
        <w:t>2 – 3</w:t>
      </w:r>
    </w:p>
    <w:p w:rsidR="00BF5E40" w:rsidRDefault="00BF5E40" w:rsidP="00BF5E40">
      <w:pPr>
        <w:pStyle w:val="ContentsLevel1"/>
      </w:pPr>
      <w:r>
        <w:t>Amendment</w:t>
      </w:r>
      <w:r w:rsidR="0086499D">
        <w:t>s</w:t>
      </w:r>
      <w:r>
        <w:t xml:space="preserve"> to AASB 124</w:t>
      </w:r>
      <w:r>
        <w:tab/>
      </w:r>
      <w:r w:rsidR="0086499D">
        <w:t>4</w:t>
      </w:r>
      <w:r w:rsidR="00F56C28">
        <w:t xml:space="preserve"> – 6</w:t>
      </w:r>
    </w:p>
    <w:p w:rsidR="00C82B21" w:rsidRDefault="00C82B21" w:rsidP="00BF5E40">
      <w:pPr>
        <w:pStyle w:val="ContentsLevel1"/>
      </w:pPr>
    </w:p>
    <w:p w:rsidR="00C82B21" w:rsidRDefault="00C82B21" w:rsidP="00BF5E40">
      <w:pPr>
        <w:pStyle w:val="ContentsLevel1"/>
      </w:pPr>
      <w:r>
        <w:t>BASIS FOR CONCLUSIONS</w:t>
      </w:r>
      <w:r>
        <w:tab/>
      </w:r>
      <w:r w:rsidRPr="00C82B21">
        <w:rPr>
          <w:i/>
        </w:rPr>
        <w:t>Page 7</w:t>
      </w:r>
    </w:p>
    <w:p w:rsidR="00C82B21" w:rsidRDefault="00C82B21" w:rsidP="00BF5E40">
      <w:pPr>
        <w:pStyle w:val="ContentsLevel1"/>
      </w:pPr>
    </w:p>
    <w:p w:rsidR="00090A6F" w:rsidRPr="0000292B" w:rsidRDefault="00090A6F">
      <w:pPr>
        <w:pStyle w:val="ContentsBox"/>
      </w:pPr>
      <w:bookmarkStart w:id="9" w:name="ContentsMarker"/>
      <w:bookmarkEnd w:id="9"/>
      <w:bookmarkEnd w:id="8"/>
      <w:r w:rsidRPr="0000292B">
        <w:t xml:space="preserve">Australian Accounting Standard AASB </w:t>
      </w:r>
      <w:r w:rsidR="00BC0D5D" w:rsidRPr="00BC0D5D">
        <w:rPr>
          <w:iCs/>
        </w:rPr>
        <w:fldChar w:fldCharType="begin" w:fldLock="1"/>
      </w:r>
      <w:r w:rsidR="00BC0D5D" w:rsidRPr="00BC0D5D">
        <w:rPr>
          <w:iCs/>
        </w:rPr>
        <w:instrText xml:space="preserve"> REF </w:instrText>
      </w:r>
      <w:r w:rsidR="009C2479">
        <w:rPr>
          <w:iCs/>
        </w:rPr>
        <w:instrText>Doc</w:instrText>
      </w:r>
      <w:r w:rsidR="00BC0D5D" w:rsidRPr="00BC0D5D">
        <w:rPr>
          <w:iCs/>
        </w:rPr>
        <w:instrText xml:space="preserve">No \* charformat </w:instrText>
      </w:r>
      <w:r w:rsidR="00BC0D5D" w:rsidRPr="00BC0D5D">
        <w:rPr>
          <w:iCs/>
        </w:rPr>
        <w:fldChar w:fldCharType="separate"/>
      </w:r>
      <w:r w:rsidR="00BF5E40" w:rsidRPr="00BF5E40">
        <w:rPr>
          <w:iCs/>
        </w:rPr>
        <w:t>2011-</w:t>
      </w:r>
      <w:r w:rsidR="00112DCD">
        <w:rPr>
          <w:iCs/>
        </w:rPr>
        <w:t>4</w:t>
      </w:r>
      <w:r w:rsidR="00BC0D5D" w:rsidRPr="00BC0D5D">
        <w:rPr>
          <w:iCs/>
        </w:rPr>
        <w:fldChar w:fldCharType="end"/>
      </w:r>
      <w:r w:rsidRPr="0000292B">
        <w:t xml:space="preserve"> </w:t>
      </w:r>
      <w:r w:rsidR="009C2479" w:rsidRPr="009C2479">
        <w:rPr>
          <w:i/>
        </w:rPr>
        <w:t xml:space="preserve">Amendments to Australian Accounting Standards </w:t>
      </w:r>
      <w:r w:rsidR="009C5EA9">
        <w:rPr>
          <w:i/>
        </w:rPr>
        <w:t>to Remove Individual Key Management Personnel Disclosure Requirements</w:t>
      </w:r>
      <w:r w:rsidRPr="0000292B">
        <w:rPr>
          <w:i/>
          <w:iCs/>
        </w:rPr>
        <w:fldChar w:fldCharType="begin" w:fldLock="1"/>
      </w:r>
      <w:r w:rsidRPr="0000292B">
        <w:rPr>
          <w:i/>
          <w:iCs/>
        </w:rPr>
        <w:instrText xml:space="preserve"> REF </w:instrText>
      </w:r>
      <w:r w:rsidR="009C2479">
        <w:rPr>
          <w:i/>
          <w:iCs/>
        </w:rPr>
        <w:instrText>ArisingNo</w:instrText>
      </w:r>
      <w:r w:rsidRPr="0000292B">
        <w:rPr>
          <w:i/>
          <w:iCs/>
        </w:rPr>
        <w:instrText xml:space="preserve"> \* charformat </w:instrText>
      </w:r>
      <w:r w:rsidRPr="0000292B">
        <w:rPr>
          <w:i/>
          <w:iCs/>
        </w:rPr>
        <w:fldChar w:fldCharType="end"/>
      </w:r>
      <w:r w:rsidRPr="0000292B">
        <w:rPr>
          <w:i/>
          <w:iCs/>
        </w:rPr>
        <w:t xml:space="preserve"> </w:t>
      </w:r>
      <w:r w:rsidRPr="0000292B">
        <w:t xml:space="preserve">is set out in paragraphs </w:t>
      </w:r>
      <w:r w:rsidR="00F56C28">
        <w:t xml:space="preserve">1 – </w:t>
      </w:r>
      <w:r w:rsidR="006E4331">
        <w:t>6</w:t>
      </w:r>
      <w:r w:rsidRPr="0000292B">
        <w:t xml:space="preserve">. </w:t>
      </w:r>
      <w:r w:rsidR="00F56C28">
        <w:t xml:space="preserve"> </w:t>
      </w:r>
      <w:r w:rsidRPr="0000292B">
        <w:t>All the pa</w:t>
      </w:r>
      <w:r w:rsidR="009C2479">
        <w:t>ragraphs have equal authority.</w:t>
      </w:r>
    </w:p>
    <w:p w:rsidR="00090A6F" w:rsidRPr="0000292B" w:rsidRDefault="00090A6F">
      <w:pPr>
        <w:pStyle w:val="ContentsBox"/>
        <w:pBdr>
          <w:top w:val="none" w:sz="0" w:space="0" w:color="auto"/>
          <w:left w:val="none" w:sz="0" w:space="0" w:color="auto"/>
          <w:bottom w:val="none" w:sz="0" w:space="0" w:color="auto"/>
          <w:right w:val="none" w:sz="0" w:space="0" w:color="auto"/>
        </w:pBdr>
      </w:pPr>
    </w:p>
    <w:p w:rsidR="00090A6F" w:rsidRPr="0000292B" w:rsidRDefault="00090A6F">
      <w:pPr>
        <w:sectPr w:rsidR="00090A6F" w:rsidRPr="0000292B">
          <w:headerReference w:type="even" r:id="rId14"/>
          <w:headerReference w:type="default" r:id="rId15"/>
          <w:footerReference w:type="default" r:id="rId16"/>
          <w:headerReference w:type="first" r:id="rId17"/>
          <w:pgSz w:w="11907" w:h="16840"/>
          <w:pgMar w:top="3686" w:right="2837" w:bottom="3686" w:left="2837" w:header="706" w:footer="3254" w:gutter="0"/>
          <w:paperSrc w:first="58" w:other="58"/>
          <w:cols w:space="720"/>
        </w:sectPr>
      </w:pPr>
    </w:p>
    <w:p w:rsidR="00090A6F" w:rsidRPr="0000292B" w:rsidRDefault="00090A6F">
      <w:pPr>
        <w:pStyle w:val="Heading1"/>
      </w:pPr>
      <w:r w:rsidRPr="0000292B">
        <w:lastRenderedPageBreak/>
        <w:t>Preface</w:t>
      </w:r>
    </w:p>
    <w:p w:rsidR="000F64CC" w:rsidRPr="0000292B" w:rsidRDefault="009C2479" w:rsidP="00EB6D9B">
      <w:pPr>
        <w:pStyle w:val="Heading2"/>
      </w:pPr>
      <w:r>
        <w:t xml:space="preserve">Standards Amended by AASB </w:t>
      </w:r>
      <w:r w:rsidRPr="00BC0D5D">
        <w:fldChar w:fldCharType="begin" w:fldLock="1"/>
      </w:r>
      <w:r w:rsidRPr="00BC0D5D">
        <w:instrText xml:space="preserve"> REF </w:instrText>
      </w:r>
      <w:r>
        <w:instrText>Doc</w:instrText>
      </w:r>
      <w:r w:rsidRPr="00BC0D5D">
        <w:instrText xml:space="preserve">No \* charformat </w:instrText>
      </w:r>
      <w:r w:rsidRPr="00BC0D5D">
        <w:fldChar w:fldCharType="separate"/>
      </w:r>
      <w:r w:rsidR="00BF5E40" w:rsidRPr="00BF5E40">
        <w:t>2011-</w:t>
      </w:r>
      <w:r w:rsidR="00112DCD">
        <w:t>4</w:t>
      </w:r>
      <w:r w:rsidRPr="00BC0D5D">
        <w:fldChar w:fldCharType="end"/>
      </w:r>
    </w:p>
    <w:p w:rsidR="00BF5E40" w:rsidRPr="00BE7287" w:rsidRDefault="009C2479" w:rsidP="00BE7287">
      <w:pPr>
        <w:pStyle w:val="NoNumPlain1"/>
      </w:pPr>
      <w:r>
        <w:t>Th</w:t>
      </w:r>
      <w:bookmarkStart w:id="10" w:name="PrefaceNos"/>
      <w:bookmarkEnd w:id="10"/>
      <w:r>
        <w:t xml:space="preserve">is Standard makes amendments to </w:t>
      </w:r>
      <w:r w:rsidR="00BE7287">
        <w:t>Australian Accounting Standard AASB </w:t>
      </w:r>
      <w:r w:rsidR="00BF5E40">
        <w:t xml:space="preserve">124 </w:t>
      </w:r>
      <w:r w:rsidR="00BF5E40" w:rsidRPr="00BF5E40">
        <w:rPr>
          <w:i/>
        </w:rPr>
        <w:t>Related Party Disclosures</w:t>
      </w:r>
      <w:r w:rsidR="00BE7287">
        <w:t>.</w:t>
      </w:r>
    </w:p>
    <w:p w:rsidR="00BE7287" w:rsidRDefault="00401ECA" w:rsidP="00BE7287">
      <w:pPr>
        <w:pStyle w:val="NoNumPlain1"/>
      </w:pPr>
      <w:r>
        <w:t xml:space="preserve">These </w:t>
      </w:r>
      <w:r w:rsidR="00460FBB">
        <w:t>a</w:t>
      </w:r>
      <w:r>
        <w:t>mendments arise from</w:t>
      </w:r>
      <w:r w:rsidR="00D00FD5">
        <w:t xml:space="preserve"> </w:t>
      </w:r>
      <w:r w:rsidR="00BE7287">
        <w:t xml:space="preserve">a decision of the AASB to </w:t>
      </w:r>
      <w:r w:rsidR="00D00FD5" w:rsidRPr="0000292B">
        <w:fldChar w:fldCharType="begin" w:fldLock="1"/>
      </w:r>
      <w:r w:rsidR="00D00FD5" w:rsidRPr="0000292B">
        <w:instrText xml:space="preserve"> REF </w:instrText>
      </w:r>
      <w:r w:rsidR="00D00FD5">
        <w:instrText>ArisingNo</w:instrText>
      </w:r>
      <w:r w:rsidR="00D00FD5" w:rsidRPr="0000292B">
        <w:instrText xml:space="preserve">  \* charformat </w:instrText>
      </w:r>
      <w:r w:rsidR="00D00FD5" w:rsidRPr="0000292B">
        <w:fldChar w:fldCharType="end"/>
      </w:r>
      <w:r w:rsidR="00BE7287">
        <w:t xml:space="preserve">remove the individual key management personnel </w:t>
      </w:r>
      <w:r w:rsidR="00990C28">
        <w:t xml:space="preserve">(KMP) </w:t>
      </w:r>
      <w:r w:rsidR="00A446BE">
        <w:t xml:space="preserve">disclosures </w:t>
      </w:r>
      <w:r w:rsidR="00BE7287">
        <w:t>from AASB 124 on the basis they:</w:t>
      </w:r>
    </w:p>
    <w:p w:rsidR="00F93C58" w:rsidRDefault="00BE7287" w:rsidP="00CA0F69">
      <w:pPr>
        <w:pStyle w:val="Bullet1"/>
      </w:pPr>
      <w:r>
        <w:t>are not part of International Financial Reporting Standards</w:t>
      </w:r>
      <w:r w:rsidR="00ED2368">
        <w:t xml:space="preserve"> (IFRSs)</w:t>
      </w:r>
      <w:r w:rsidR="00BD2777">
        <w:t xml:space="preserve">, which include requirements </w:t>
      </w:r>
      <w:r w:rsidR="001F71E2">
        <w:t xml:space="preserve">to disclose </w:t>
      </w:r>
      <w:r w:rsidR="00BD2777">
        <w:t xml:space="preserve">aggregate (rather than individual) </w:t>
      </w:r>
      <w:r w:rsidR="001F71E2">
        <w:t xml:space="preserve">amounts of </w:t>
      </w:r>
      <w:r w:rsidR="00CB59FF">
        <w:t xml:space="preserve">KMP </w:t>
      </w:r>
      <w:r w:rsidR="00BD2777">
        <w:t>compensation</w:t>
      </w:r>
      <w:r>
        <w:t>;</w:t>
      </w:r>
    </w:p>
    <w:p w:rsidR="006264A6" w:rsidRDefault="00BE7287" w:rsidP="00CA0F69">
      <w:pPr>
        <w:pStyle w:val="Bullet1"/>
      </w:pPr>
      <w:r>
        <w:t xml:space="preserve">are not included </w:t>
      </w:r>
      <w:r w:rsidRPr="00CA0F69">
        <w:t>in New Zealand accounting standards and, accordingly, their remova</w:t>
      </w:r>
      <w:r w:rsidR="00F93C58">
        <w:t xml:space="preserve">l </w:t>
      </w:r>
      <w:r w:rsidRPr="00CA0F69">
        <w:t xml:space="preserve">is consistent with meeting the </w:t>
      </w:r>
      <w:r w:rsidR="00F93C58">
        <w:t xml:space="preserve">2010 </w:t>
      </w:r>
      <w:r w:rsidRPr="00CA0F69">
        <w:t xml:space="preserve">Outcome Proposal of the Australian and New Zealand governments that for-profit entities </w:t>
      </w:r>
      <w:r w:rsidR="00034089" w:rsidRPr="00CA0F69">
        <w:t>are able to use a single set of accounting standards and prepare only one set of financial statements</w:t>
      </w:r>
      <w:r w:rsidR="006264A6">
        <w:t>;</w:t>
      </w:r>
    </w:p>
    <w:p w:rsidR="00ED2368" w:rsidRDefault="00ED2368" w:rsidP="00ED2368">
      <w:pPr>
        <w:pStyle w:val="Bullet1"/>
      </w:pPr>
      <w:r>
        <w:t>are considered by the AASB to be more in the nature of governance disclosures that are better dealt with as p</w:t>
      </w:r>
      <w:r w:rsidR="00990C28">
        <w:t xml:space="preserve">art of the </w:t>
      </w:r>
      <w:r w:rsidR="001F71E2">
        <w:rPr>
          <w:i/>
        </w:rPr>
        <w:t>Corporations </w:t>
      </w:r>
      <w:r w:rsidR="00990C28" w:rsidRPr="00C30419">
        <w:rPr>
          <w:i/>
        </w:rPr>
        <w:t>Act</w:t>
      </w:r>
      <w:r w:rsidR="00A446BE">
        <w:rPr>
          <w:i/>
        </w:rPr>
        <w:t> </w:t>
      </w:r>
      <w:r w:rsidR="00C30419" w:rsidRPr="00C30419">
        <w:rPr>
          <w:i/>
        </w:rPr>
        <w:t>2001</w:t>
      </w:r>
      <w:r w:rsidR="00990C28">
        <w:t>;</w:t>
      </w:r>
    </w:p>
    <w:p w:rsidR="00990C28" w:rsidRDefault="00BA1D09" w:rsidP="00CA0F69">
      <w:pPr>
        <w:pStyle w:val="Bullet1"/>
      </w:pPr>
      <w:r>
        <w:t xml:space="preserve">were originally included </w:t>
      </w:r>
      <w:r w:rsidR="00ED2368">
        <w:t xml:space="preserve">in AASB 124 </w:t>
      </w:r>
      <w:r>
        <w:t xml:space="preserve">when fewer similar disclosure requirements were included in the </w:t>
      </w:r>
      <w:r w:rsidRPr="00C30419">
        <w:t>Corporations Act</w:t>
      </w:r>
      <w:r w:rsidRPr="00ED2368">
        <w:rPr>
          <w:i/>
        </w:rPr>
        <w:t xml:space="preserve"> </w:t>
      </w:r>
      <w:r w:rsidR="00ED2368">
        <w:t xml:space="preserve">and, in many respects, </w:t>
      </w:r>
      <w:r w:rsidR="00031961">
        <w:t xml:space="preserve">relate to similar </w:t>
      </w:r>
      <w:r w:rsidR="00ED2368">
        <w:t xml:space="preserve">disclosure requirements </w:t>
      </w:r>
      <w:r w:rsidR="00C30419">
        <w:t xml:space="preserve">currently in that Act </w:t>
      </w:r>
      <w:r w:rsidR="00ED2368">
        <w:t>and therefore detract from the clarity of the requirements applying in this area</w:t>
      </w:r>
      <w:r w:rsidR="00990C28">
        <w:t>; and</w:t>
      </w:r>
    </w:p>
    <w:p w:rsidR="00ED2368" w:rsidRDefault="003D3BE2" w:rsidP="00CA0F69">
      <w:pPr>
        <w:pStyle w:val="Bullet1"/>
      </w:pPr>
      <w:r>
        <w:t xml:space="preserve">could be considered </w:t>
      </w:r>
      <w:r w:rsidR="003D5273">
        <w:t>(during the transition period for th</w:t>
      </w:r>
      <w:r w:rsidR="00C30419">
        <w:t>is</w:t>
      </w:r>
      <w:r w:rsidR="003D5273">
        <w:t xml:space="preserve"> Amending Standard) </w:t>
      </w:r>
      <w:r>
        <w:t>for inclusion in the C</w:t>
      </w:r>
      <w:r w:rsidR="003D5273">
        <w:t xml:space="preserve">orporations </w:t>
      </w:r>
      <w:r>
        <w:t>A</w:t>
      </w:r>
      <w:r w:rsidR="003D5273">
        <w:t>ct</w:t>
      </w:r>
      <w:r>
        <w:t xml:space="preserve"> </w:t>
      </w:r>
      <w:r w:rsidR="00C30419">
        <w:t xml:space="preserve">or other legislation </w:t>
      </w:r>
      <w:r>
        <w:t xml:space="preserve">to the extent they </w:t>
      </w:r>
      <w:r w:rsidR="003D5273">
        <w:t xml:space="preserve">presently </w:t>
      </w:r>
      <w:r>
        <w:t xml:space="preserve">go beyond the requirements </w:t>
      </w:r>
      <w:r w:rsidR="003D5273">
        <w:t xml:space="preserve">in legislation and </w:t>
      </w:r>
      <w:r>
        <w:t>are consider</w:t>
      </w:r>
      <w:r w:rsidR="003D5273">
        <w:t>ed</w:t>
      </w:r>
      <w:r>
        <w:t xml:space="preserve"> </w:t>
      </w:r>
      <w:r w:rsidR="003D5273">
        <w:t>appropriate in light of government policy.</w:t>
      </w:r>
    </w:p>
    <w:p w:rsidR="00090A6F" w:rsidRPr="0000292B" w:rsidRDefault="00090A6F" w:rsidP="00BE7287">
      <w:pPr>
        <w:pStyle w:val="PlainHanging0"/>
      </w:pPr>
    </w:p>
    <w:p w:rsidR="00090A6F" w:rsidRPr="0000292B" w:rsidRDefault="00090A6F">
      <w:pPr>
        <w:sectPr w:rsidR="00090A6F" w:rsidRPr="0000292B">
          <w:headerReference w:type="even" r:id="rId18"/>
          <w:headerReference w:type="default" r:id="rId19"/>
          <w:footerReference w:type="default" r:id="rId20"/>
          <w:headerReference w:type="first" r:id="rId21"/>
          <w:pgSz w:w="11907" w:h="16840"/>
          <w:pgMar w:top="3686" w:right="2837" w:bottom="3686" w:left="2837" w:header="706" w:footer="3254" w:gutter="0"/>
          <w:paperSrc w:first="58" w:other="58"/>
          <w:cols w:space="720"/>
        </w:sectPr>
      </w:pPr>
    </w:p>
    <w:p w:rsidR="001662B8" w:rsidRPr="0000292B" w:rsidRDefault="001662B8" w:rsidP="001662B8">
      <w:pPr>
        <w:pStyle w:val="Heading1"/>
      </w:pPr>
      <w:r w:rsidRPr="0000292B">
        <w:lastRenderedPageBreak/>
        <w:t xml:space="preserve">aCCOUNTING STANDARD AASB </w:t>
      </w:r>
      <w:r w:rsidRPr="00BC0D5D">
        <w:rPr>
          <w:iCs/>
        </w:rPr>
        <w:fldChar w:fldCharType="begin" w:fldLock="1"/>
      </w:r>
      <w:r w:rsidRPr="00BC0D5D">
        <w:rPr>
          <w:iCs/>
        </w:rPr>
        <w:instrText xml:space="preserve"> REF </w:instrText>
      </w:r>
      <w:r>
        <w:rPr>
          <w:iCs/>
        </w:rPr>
        <w:instrText>Doc</w:instrText>
      </w:r>
      <w:r w:rsidRPr="00BC0D5D">
        <w:rPr>
          <w:iCs/>
        </w:rPr>
        <w:instrText xml:space="preserve">No \* charformat </w:instrText>
      </w:r>
      <w:r w:rsidRPr="00BC0D5D">
        <w:rPr>
          <w:iCs/>
        </w:rPr>
        <w:fldChar w:fldCharType="separate"/>
      </w:r>
      <w:r w:rsidR="00BF5E40" w:rsidRPr="00BF5E40">
        <w:rPr>
          <w:iCs/>
        </w:rPr>
        <w:t>2011-</w:t>
      </w:r>
      <w:r w:rsidR="00112DCD">
        <w:rPr>
          <w:iCs/>
        </w:rPr>
        <w:t>4</w:t>
      </w:r>
      <w:r w:rsidRPr="00BC0D5D">
        <w:rPr>
          <w:iCs/>
        </w:rPr>
        <w:fldChar w:fldCharType="end"/>
      </w:r>
    </w:p>
    <w:p w:rsidR="001662B8" w:rsidRDefault="001662B8" w:rsidP="001662B8">
      <w:r>
        <w:t>The Australian Accounting Standards Board makes Accounting Standard AASB </w:t>
      </w:r>
      <w:r w:rsidR="00667869">
        <w:fldChar w:fldCharType="begin" w:fldLock="1"/>
      </w:r>
      <w:r w:rsidR="00667869">
        <w:instrText xml:space="preserve"> REF DocNo  \* charformat </w:instrText>
      </w:r>
      <w:r w:rsidR="00667869">
        <w:fldChar w:fldCharType="separate"/>
      </w:r>
      <w:r w:rsidR="00BF5E40">
        <w:t>2011-</w:t>
      </w:r>
      <w:r w:rsidR="00112DCD">
        <w:t>4</w:t>
      </w:r>
      <w:r w:rsidR="00667869">
        <w:fldChar w:fldCharType="end"/>
      </w:r>
      <w:r>
        <w:t xml:space="preserve"> </w:t>
      </w:r>
      <w:r w:rsidRPr="001662B8">
        <w:rPr>
          <w:i/>
        </w:rPr>
        <w:t xml:space="preserve">Amendments to Australian Accounting Standards </w:t>
      </w:r>
      <w:r w:rsidR="009C5EA9">
        <w:rPr>
          <w:i/>
        </w:rPr>
        <w:t>to Remove Individual Key Management Personnel Disclosure Requirements</w:t>
      </w:r>
      <w:r w:rsidRPr="001662B8">
        <w:rPr>
          <w:i/>
          <w:iCs/>
        </w:rPr>
        <w:fldChar w:fldCharType="begin" w:fldLock="1"/>
      </w:r>
      <w:r w:rsidRPr="001662B8">
        <w:rPr>
          <w:i/>
          <w:iCs/>
        </w:rPr>
        <w:instrText xml:space="preserve"> REF ArisingNo  \* charformat </w:instrText>
      </w:r>
      <w:r w:rsidRPr="001662B8">
        <w:rPr>
          <w:i/>
          <w:iCs/>
        </w:rPr>
        <w:fldChar w:fldCharType="end"/>
      </w:r>
      <w:r w:rsidR="002B7803">
        <w:rPr>
          <w:i/>
          <w:iCs/>
        </w:rPr>
        <w:t xml:space="preserve"> </w:t>
      </w:r>
      <w:r>
        <w:t xml:space="preserve">under section 334 of the </w:t>
      </w:r>
      <w:r>
        <w:rPr>
          <w:i/>
          <w:iCs/>
        </w:rPr>
        <w:t>Corporations Act 2001</w:t>
      </w:r>
      <w:r>
        <w:t>.</w:t>
      </w:r>
    </w:p>
    <w:p w:rsidR="001662B8" w:rsidRDefault="001662B8" w:rsidP="001662B8"/>
    <w:tbl>
      <w:tblPr>
        <w:tblW w:w="0" w:type="auto"/>
        <w:tblLook w:val="0000" w:firstRow="0" w:lastRow="0" w:firstColumn="0" w:lastColumn="0" w:noHBand="0" w:noVBand="0"/>
      </w:tblPr>
      <w:tblGrid>
        <w:gridCol w:w="3226"/>
        <w:gridCol w:w="3227"/>
      </w:tblGrid>
      <w:tr w:rsidR="001662B8">
        <w:tc>
          <w:tcPr>
            <w:tcW w:w="3226" w:type="dxa"/>
          </w:tcPr>
          <w:p w:rsidR="001662B8" w:rsidRDefault="001662B8" w:rsidP="007F1D3D"/>
        </w:tc>
        <w:tc>
          <w:tcPr>
            <w:tcW w:w="3227" w:type="dxa"/>
          </w:tcPr>
          <w:p w:rsidR="001662B8" w:rsidRDefault="00812637" w:rsidP="00511C34">
            <w:pPr>
              <w:jc w:val="right"/>
            </w:pPr>
            <w:r>
              <w:t xml:space="preserve">Kevin </w:t>
            </w:r>
            <w:r w:rsidR="006C2E9B">
              <w:t xml:space="preserve">M. </w:t>
            </w:r>
            <w:r>
              <w:t>Stevenson</w:t>
            </w:r>
          </w:p>
        </w:tc>
      </w:tr>
      <w:tr w:rsidR="001662B8">
        <w:tc>
          <w:tcPr>
            <w:tcW w:w="3226" w:type="dxa"/>
          </w:tcPr>
          <w:p w:rsidR="001662B8" w:rsidRDefault="001662B8" w:rsidP="006243C4">
            <w:r>
              <w:t xml:space="preserve">Dated </w:t>
            </w:r>
            <w:bookmarkStart w:id="11" w:name="DateSigned"/>
            <w:r w:rsidR="00814B34">
              <w:t>7</w:t>
            </w:r>
            <w:r w:rsidR="00BF5E40">
              <w:t xml:space="preserve"> </w:t>
            </w:r>
            <w:r w:rsidR="006243C4">
              <w:t>Jul</w:t>
            </w:r>
            <w:r w:rsidR="00A446BE">
              <w:t>y</w:t>
            </w:r>
            <w:r w:rsidR="00BF5E40">
              <w:t xml:space="preserve"> 2011</w:t>
            </w:r>
            <w:bookmarkEnd w:id="11"/>
          </w:p>
        </w:tc>
        <w:tc>
          <w:tcPr>
            <w:tcW w:w="3227" w:type="dxa"/>
          </w:tcPr>
          <w:p w:rsidR="001662B8" w:rsidRDefault="001662B8" w:rsidP="007F1D3D">
            <w:pPr>
              <w:jc w:val="right"/>
            </w:pPr>
            <w:r>
              <w:t xml:space="preserve">Chair </w:t>
            </w:r>
            <w:r w:rsidR="00812637">
              <w:t>–</w:t>
            </w:r>
            <w:r>
              <w:t xml:space="preserve"> AASB</w:t>
            </w:r>
          </w:p>
        </w:tc>
      </w:tr>
    </w:tbl>
    <w:p w:rsidR="001662B8" w:rsidRDefault="001662B8" w:rsidP="001662B8"/>
    <w:p w:rsidR="001662B8" w:rsidRDefault="001662B8" w:rsidP="001662B8"/>
    <w:p w:rsidR="00090A6F" w:rsidRPr="0000292B" w:rsidRDefault="00090A6F">
      <w:pPr>
        <w:pStyle w:val="Heading1"/>
      </w:pPr>
      <w:r w:rsidRPr="0000292B">
        <w:t xml:space="preserve">aCCOUNTING STANDARD AASB </w:t>
      </w:r>
      <w:r w:rsidR="00BC0D5D" w:rsidRPr="00BC0D5D">
        <w:rPr>
          <w:iCs/>
        </w:rPr>
        <w:fldChar w:fldCharType="begin" w:fldLock="1"/>
      </w:r>
      <w:r w:rsidR="00BC0D5D" w:rsidRPr="00BC0D5D">
        <w:rPr>
          <w:iCs/>
        </w:rPr>
        <w:instrText xml:space="preserve"> REF </w:instrText>
      </w:r>
      <w:r w:rsidR="001662B8">
        <w:rPr>
          <w:iCs/>
        </w:rPr>
        <w:instrText>Doc</w:instrText>
      </w:r>
      <w:r w:rsidR="00BC0D5D" w:rsidRPr="00BC0D5D">
        <w:rPr>
          <w:iCs/>
        </w:rPr>
        <w:instrText xml:space="preserve">No \* charformat </w:instrText>
      </w:r>
      <w:r w:rsidR="00BC0D5D" w:rsidRPr="00BC0D5D">
        <w:rPr>
          <w:iCs/>
        </w:rPr>
        <w:fldChar w:fldCharType="separate"/>
      </w:r>
      <w:r w:rsidR="00BF5E40" w:rsidRPr="00BF5E40">
        <w:rPr>
          <w:iCs/>
        </w:rPr>
        <w:t>2011-</w:t>
      </w:r>
      <w:r w:rsidR="00112DCD">
        <w:rPr>
          <w:iCs/>
        </w:rPr>
        <w:t>4</w:t>
      </w:r>
      <w:r w:rsidR="00BC0D5D" w:rsidRPr="00BC0D5D">
        <w:rPr>
          <w:iCs/>
        </w:rPr>
        <w:fldChar w:fldCharType="end"/>
      </w:r>
    </w:p>
    <w:p w:rsidR="00090A6F" w:rsidRDefault="001662B8">
      <w:pPr>
        <w:pStyle w:val="Heading1Italic"/>
      </w:pPr>
      <w:r>
        <w:t xml:space="preserve">AMENDMENTS TO AUSTRALIAN ACCOUNTING STANDARDS </w:t>
      </w:r>
      <w:r w:rsidR="00025835">
        <w:t>TO REMOVE INDIVIDUAL</w:t>
      </w:r>
      <w:r w:rsidR="00025835">
        <w:br/>
        <w:t>KEY MANAGEMENT PERSONNEL</w:t>
      </w:r>
      <w:r w:rsidR="00025835">
        <w:br/>
        <w:t>DISCLOSURE REQUIREMENTS</w:t>
      </w:r>
      <w:r w:rsidR="00090A6F" w:rsidRPr="0000292B">
        <w:fldChar w:fldCharType="begin" w:fldLock="1"/>
      </w:r>
      <w:r w:rsidR="00090A6F" w:rsidRPr="0000292B">
        <w:instrText xml:space="preserve"> REF </w:instrText>
      </w:r>
      <w:r>
        <w:instrText>ArisingNo</w:instrText>
      </w:r>
      <w:r w:rsidR="00090A6F" w:rsidRPr="0000292B">
        <w:instrText xml:space="preserve">  \* charformat </w:instrText>
      </w:r>
      <w:r w:rsidR="00090A6F" w:rsidRPr="0000292B">
        <w:fldChar w:fldCharType="end"/>
      </w:r>
    </w:p>
    <w:p w:rsidR="00090A6F" w:rsidRPr="0000292B" w:rsidRDefault="00090A6F">
      <w:pPr>
        <w:pStyle w:val="Heading2"/>
      </w:pPr>
      <w:bookmarkStart w:id="12" w:name="TOCStart"/>
      <w:bookmarkEnd w:id="12"/>
      <w:r w:rsidRPr="0000292B">
        <w:t>Objective</w:t>
      </w:r>
    </w:p>
    <w:p w:rsidR="00BF5E40" w:rsidRDefault="001662B8" w:rsidP="00BF5E40">
      <w:pPr>
        <w:pStyle w:val="NumPlain1"/>
        <w:numPr>
          <w:ilvl w:val="0"/>
          <w:numId w:val="20"/>
        </w:numPr>
      </w:pPr>
      <w:r>
        <w:t xml:space="preserve">The </w:t>
      </w:r>
      <w:r w:rsidR="00460FBB">
        <w:t>o</w:t>
      </w:r>
      <w:r>
        <w:t>bjective of this Standard is to make amendments to</w:t>
      </w:r>
      <w:r w:rsidR="00025835">
        <w:t xml:space="preserve"> </w:t>
      </w:r>
      <w:r w:rsidR="00BF5E40">
        <w:t>AASB</w:t>
      </w:r>
      <w:r w:rsidR="00025835">
        <w:t> </w:t>
      </w:r>
      <w:r w:rsidR="00BF5E40">
        <w:t xml:space="preserve">124 </w:t>
      </w:r>
      <w:r w:rsidR="00BF5E40" w:rsidRPr="00025835">
        <w:rPr>
          <w:i/>
        </w:rPr>
        <w:t>Related Party Disclosures</w:t>
      </w:r>
      <w:r w:rsidR="00025835">
        <w:t xml:space="preserve"> to remove individual key management personnel disclosure requirements.</w:t>
      </w:r>
    </w:p>
    <w:p w:rsidR="00090A6F" w:rsidRPr="0000292B" w:rsidRDefault="00090A6F">
      <w:pPr>
        <w:pStyle w:val="Heading2"/>
      </w:pPr>
      <w:r w:rsidRPr="0000292B">
        <w:t>Application</w:t>
      </w:r>
    </w:p>
    <w:p w:rsidR="00025835" w:rsidRDefault="00025835" w:rsidP="00511C34">
      <w:pPr>
        <w:pStyle w:val="NumBold1"/>
      </w:pPr>
      <w:r>
        <w:t xml:space="preserve">This Standard applies to </w:t>
      </w:r>
      <w:r w:rsidR="00511C34">
        <w:t xml:space="preserve">each </w:t>
      </w:r>
      <w:r>
        <w:t xml:space="preserve">disclosing </w:t>
      </w:r>
      <w:r w:rsidR="00511C34">
        <w:t>entity</w:t>
      </w:r>
      <w:r>
        <w:t xml:space="preserve">, or group of which a disclosing entity is the parent, </w:t>
      </w:r>
      <w:r w:rsidR="00511C34">
        <w:t xml:space="preserve">that is required to prepare financial reports in accordance with Part 2M.3 of the </w:t>
      </w:r>
      <w:r w:rsidR="00511C34" w:rsidRPr="00D74038">
        <w:t>Corporations Act</w:t>
      </w:r>
      <w:r>
        <w:t>.</w:t>
      </w:r>
    </w:p>
    <w:p w:rsidR="00090A6F" w:rsidRPr="00027E8B" w:rsidRDefault="00090A6F" w:rsidP="00027E8B">
      <w:pPr>
        <w:pStyle w:val="NumBold1"/>
      </w:pPr>
      <w:r w:rsidRPr="00027E8B">
        <w:t xml:space="preserve">This Standard applies to annual reporting periods </w:t>
      </w:r>
      <w:bookmarkStart w:id="13" w:name="ApplyText"/>
      <w:r w:rsidRPr="00027E8B">
        <w:t>beginning</w:t>
      </w:r>
      <w:bookmarkEnd w:id="13"/>
      <w:r w:rsidRPr="00027E8B">
        <w:t xml:space="preserve"> on or after </w:t>
      </w:r>
      <w:bookmarkStart w:id="14" w:name="ApplyDate"/>
      <w:r w:rsidR="00BF5E40">
        <w:t>1 July 201</w:t>
      </w:r>
      <w:r w:rsidR="006C2E9B">
        <w:t>3</w:t>
      </w:r>
      <w:bookmarkEnd w:id="14"/>
      <w:r w:rsidRPr="00027E8B">
        <w:t>.</w:t>
      </w:r>
      <w:bookmarkStart w:id="15" w:name="EarlyNoText"/>
      <w:r w:rsidR="00F14BDB">
        <w:t xml:space="preserve">  Early adoption of this S</w:t>
      </w:r>
      <w:r w:rsidR="0078116B" w:rsidRPr="00027E8B">
        <w:t>tandard is not permitted.</w:t>
      </w:r>
      <w:bookmarkEnd w:id="15"/>
    </w:p>
    <w:p w:rsidR="00BF5E40" w:rsidRDefault="00BF5E40">
      <w:pPr>
        <w:pStyle w:val="Heading2"/>
      </w:pPr>
      <w:r>
        <w:t xml:space="preserve">Amendments to </w:t>
      </w:r>
      <w:bookmarkStart w:id="16" w:name="StndNo2"/>
      <w:r>
        <w:t>AASB 124</w:t>
      </w:r>
      <w:bookmarkEnd w:id="16"/>
    </w:p>
    <w:p w:rsidR="00BF5E40" w:rsidRDefault="0042795F">
      <w:pPr>
        <w:pStyle w:val="NumPlain1"/>
      </w:pPr>
      <w:r>
        <w:t>Paragraphs Aus1.1, Aus1.4, Aus1.4.1, Aus1.5, Aus1.</w:t>
      </w:r>
      <w:r w:rsidR="008E5A73">
        <w:t>9</w:t>
      </w:r>
      <w:r>
        <w:t xml:space="preserve"> and paragraphs Aus2</w:t>
      </w:r>
      <w:r w:rsidR="0086499D">
        <w:t>9</w:t>
      </w:r>
      <w:r>
        <w:t>.1 to Aus2</w:t>
      </w:r>
      <w:r w:rsidR="0086499D">
        <w:t>9</w:t>
      </w:r>
      <w:r>
        <w:t>.9.3</w:t>
      </w:r>
      <w:r w:rsidR="00C5446C">
        <w:t xml:space="preserve">, including </w:t>
      </w:r>
      <w:r w:rsidR="00A446BE">
        <w:t xml:space="preserve">headings </w:t>
      </w:r>
      <w:r w:rsidR="00C5446C">
        <w:t xml:space="preserve">associated </w:t>
      </w:r>
      <w:r w:rsidR="00A446BE">
        <w:t>with paragraphs Aus29.1 to Aus29.9.3,</w:t>
      </w:r>
      <w:r>
        <w:t xml:space="preserve"> are deleted from AASB 124.</w:t>
      </w:r>
    </w:p>
    <w:p w:rsidR="008E5A73" w:rsidRDefault="008E5A73" w:rsidP="00F56C28">
      <w:pPr>
        <w:pStyle w:val="NumPlain1"/>
        <w:keepNext/>
      </w:pPr>
      <w:r>
        <w:lastRenderedPageBreak/>
        <w:t>Paragraph Aus1.3 is amended to read as follows:</w:t>
      </w:r>
    </w:p>
    <w:p w:rsidR="002F157B" w:rsidRDefault="002F6182" w:rsidP="00B27C68">
      <w:pPr>
        <w:pStyle w:val="PlainHanging1"/>
        <w:ind w:left="1190" w:hanging="680"/>
      </w:pPr>
      <w:r>
        <w:t>Aus1.3</w:t>
      </w:r>
      <w:r>
        <w:tab/>
      </w:r>
      <w:r w:rsidR="002F157B">
        <w:t xml:space="preserve">This Standard does not apply to general purpose financial statements of </w:t>
      </w:r>
      <w:r>
        <w:t>not-for-profit public sector entities.</w:t>
      </w:r>
    </w:p>
    <w:p w:rsidR="002F6182" w:rsidRDefault="002F6182" w:rsidP="002F6182">
      <w:pPr>
        <w:pStyle w:val="NumPlain1"/>
      </w:pPr>
      <w:r>
        <w:t>Paragraph Aus1.8 is amended to read as follows:</w:t>
      </w:r>
    </w:p>
    <w:p w:rsidR="002F6182" w:rsidRDefault="002F6182" w:rsidP="00B27C68">
      <w:pPr>
        <w:pStyle w:val="PlainHanging1"/>
        <w:ind w:left="1190" w:hanging="680"/>
      </w:pPr>
      <w:r>
        <w:t>Aus1.8</w:t>
      </w:r>
      <w:r>
        <w:tab/>
        <w:t xml:space="preserve">The requirements of this Standard apply to the financial statements where information resulting from their application is material in accordance with AASB 1031 </w:t>
      </w:r>
      <w:r w:rsidRPr="00F56C28">
        <w:rPr>
          <w:i/>
        </w:rPr>
        <w:t>Materiality</w:t>
      </w:r>
      <w:r>
        <w:t>.</w:t>
      </w:r>
    </w:p>
    <w:p w:rsidR="00B508DC" w:rsidRDefault="00B508DC" w:rsidP="00B508DC">
      <w:pPr>
        <w:pStyle w:val="Heading2"/>
        <w:sectPr w:rsidR="00B508DC" w:rsidSect="00590051">
          <w:headerReference w:type="even" r:id="rId22"/>
          <w:headerReference w:type="default" r:id="rId23"/>
          <w:footerReference w:type="default" r:id="rId24"/>
          <w:headerReference w:type="first" r:id="rId25"/>
          <w:footerReference w:type="first" r:id="rId26"/>
          <w:pgSz w:w="11907" w:h="16840" w:code="9"/>
          <w:pgMar w:top="3686" w:right="2835" w:bottom="3686" w:left="2835" w:header="709" w:footer="3255" w:gutter="0"/>
          <w:paperSrc w:first="58" w:other="58"/>
          <w:cols w:space="720"/>
          <w:docGrid w:linePitch="65"/>
        </w:sectPr>
      </w:pPr>
    </w:p>
    <w:p w:rsidR="00B508DC" w:rsidRDefault="00B508DC" w:rsidP="00B508DC">
      <w:pPr>
        <w:pStyle w:val="Heading1"/>
      </w:pPr>
      <w:r>
        <w:lastRenderedPageBreak/>
        <w:t>basis for conclusions</w:t>
      </w:r>
    </w:p>
    <w:p w:rsidR="00F5603D" w:rsidRDefault="00F5603D" w:rsidP="00EB3916">
      <w:pPr>
        <w:pStyle w:val="Heading2"/>
      </w:pPr>
      <w:r>
        <w:t>Background</w:t>
      </w:r>
    </w:p>
    <w:p w:rsidR="00890F06" w:rsidRDefault="000C25F6" w:rsidP="00D31A41">
      <w:pPr>
        <w:pStyle w:val="NumBC1"/>
      </w:pPr>
      <w:r>
        <w:t xml:space="preserve">This Basis for Conclusions summarises </w:t>
      </w:r>
      <w:r w:rsidR="001F71E2">
        <w:t xml:space="preserve">the </w:t>
      </w:r>
      <w:r>
        <w:t xml:space="preserve">AASB’s considerations in deciding that the disclosure requirements regarding individual key management personnel (KMP) should be removed from AASB 124 </w:t>
      </w:r>
      <w:r w:rsidRPr="00EB3916">
        <w:rPr>
          <w:i/>
        </w:rPr>
        <w:t>Related Party Disclosures</w:t>
      </w:r>
      <w:r>
        <w:t>.  Individual AASB members gave greater weight to some factors than to others.</w:t>
      </w:r>
    </w:p>
    <w:p w:rsidR="00A56B91" w:rsidRDefault="00A56B91" w:rsidP="00A56B91">
      <w:pPr>
        <w:pStyle w:val="Heading3"/>
      </w:pPr>
      <w:r>
        <w:t>Additional Australian requirements</w:t>
      </w:r>
    </w:p>
    <w:p w:rsidR="000C25F6" w:rsidRDefault="00124F2F" w:rsidP="00D31A41">
      <w:pPr>
        <w:pStyle w:val="NumBC1"/>
      </w:pPr>
      <w:r>
        <w:t>T</w:t>
      </w:r>
      <w:r w:rsidR="000C25F6" w:rsidRPr="00EB3916">
        <w:t xml:space="preserve">he AASB adopts </w:t>
      </w:r>
      <w:r w:rsidR="000C25F6">
        <w:t>International Financial Reporting Standards (</w:t>
      </w:r>
      <w:r w:rsidR="000C25F6" w:rsidRPr="00EB3916">
        <w:t>IFRSs</w:t>
      </w:r>
      <w:r w:rsidR="000C25F6">
        <w:t>)</w:t>
      </w:r>
      <w:r w:rsidR="000C25F6" w:rsidRPr="00EB3916">
        <w:t xml:space="preserve"> </w:t>
      </w:r>
      <w:r w:rsidR="006B4896">
        <w:t xml:space="preserve">by </w:t>
      </w:r>
      <w:r w:rsidR="000C25F6" w:rsidRPr="00EB3916">
        <w:t>incorporat</w:t>
      </w:r>
      <w:r w:rsidR="006B4896">
        <w:t>ing them</w:t>
      </w:r>
      <w:r w:rsidR="000C25F6" w:rsidRPr="00EB3916">
        <w:t xml:space="preserve"> in</w:t>
      </w:r>
      <w:r w:rsidR="006B4896">
        <w:t>to</w:t>
      </w:r>
      <w:r w:rsidR="000C25F6" w:rsidRPr="00EB3916">
        <w:t xml:space="preserve"> Australian Accou</w:t>
      </w:r>
      <w:r w:rsidR="000C25F6">
        <w:t>n</w:t>
      </w:r>
      <w:r w:rsidR="000C25F6" w:rsidRPr="00EB3916">
        <w:t xml:space="preserve">ting Standards and publicly accountable for-profit entities are required to apply them in preparing their general purpose financial statements.  </w:t>
      </w:r>
      <w:r>
        <w:t>(</w:t>
      </w:r>
      <w:r w:rsidR="000C25F6" w:rsidRPr="00EB3916">
        <w:t xml:space="preserve">Public accountability is defined in AASB 1053 </w:t>
      </w:r>
      <w:r w:rsidR="000C25F6" w:rsidRPr="00EB3916">
        <w:rPr>
          <w:i/>
        </w:rPr>
        <w:t>Application of Tiers of Australian Accounting Standards</w:t>
      </w:r>
      <w:r w:rsidR="001F71E2">
        <w:t xml:space="preserve"> and includes listed and other disclosing entities</w:t>
      </w:r>
      <w:r w:rsidR="000C25F6" w:rsidRPr="00EB3916">
        <w:t>.</w:t>
      </w:r>
      <w:r>
        <w:t>)</w:t>
      </w:r>
      <w:r w:rsidR="000C25F6" w:rsidRPr="00EB3916">
        <w:t xml:space="preserve">  The AASB includes some disclosure requirements that are in addition to the IFRSs, but aims to keep these to a minimum on the basis that the IFRSs represent best international practice for general purpose financial reporting of publicly accountable for-profit entities</w:t>
      </w:r>
      <w:r w:rsidR="00777914">
        <w:t>.</w:t>
      </w:r>
    </w:p>
    <w:p w:rsidR="00F5603D" w:rsidRPr="005A406C" w:rsidRDefault="00890F06" w:rsidP="00D31A41">
      <w:pPr>
        <w:pStyle w:val="NumBC1"/>
      </w:pPr>
      <w:r w:rsidRPr="00890F06">
        <w:t>Prior to adopting</w:t>
      </w:r>
      <w:r w:rsidR="005A406C">
        <w:t xml:space="preserve"> IFRSs</w:t>
      </w:r>
      <w:r w:rsidR="001F71E2">
        <w:t xml:space="preserve"> in 2005</w:t>
      </w:r>
      <w:r w:rsidR="005A406C">
        <w:t>, the AASB had</w:t>
      </w:r>
      <w:r w:rsidRPr="00890F06">
        <w:t xml:space="preserve"> on issue </w:t>
      </w:r>
      <w:r w:rsidR="00F5603D" w:rsidRPr="00890F06">
        <w:t>AASB 104</w:t>
      </w:r>
      <w:r w:rsidR="00345572">
        <w:t>6</w:t>
      </w:r>
      <w:r w:rsidR="00F5603D" w:rsidRPr="00890F06">
        <w:t xml:space="preserve"> </w:t>
      </w:r>
      <w:r w:rsidRPr="00890F06">
        <w:rPr>
          <w:i/>
        </w:rPr>
        <w:t>Director and Executive Disclosures by Disclosing Entities</w:t>
      </w:r>
      <w:r w:rsidR="002078D4">
        <w:t xml:space="preserve">, which included disclosure requirements in respect of </w:t>
      </w:r>
      <w:r w:rsidR="005A406C">
        <w:t xml:space="preserve">the compensation, equity holdings and loans of </w:t>
      </w:r>
      <w:r w:rsidR="002078D4">
        <w:t xml:space="preserve">individual KMP.  When IFRSs were adopted, these requirements were largely carried forward </w:t>
      </w:r>
      <w:r w:rsidR="005A406C">
        <w:t xml:space="preserve">for disclosing entities </w:t>
      </w:r>
      <w:r w:rsidR="000C25F6">
        <w:t>as ‘Aus’ paragraphs in AASB 124</w:t>
      </w:r>
      <w:r w:rsidR="005A406C" w:rsidRPr="00EB3916">
        <w:t>, which incorporate</w:t>
      </w:r>
      <w:r w:rsidR="005A406C">
        <w:t>s</w:t>
      </w:r>
      <w:r w:rsidR="005A406C" w:rsidRPr="00EB3916">
        <w:t xml:space="preserve"> </w:t>
      </w:r>
      <w:r w:rsidR="005A406C">
        <w:t>IA</w:t>
      </w:r>
      <w:r w:rsidR="00C11344">
        <w:t>S </w:t>
      </w:r>
      <w:r w:rsidR="005A406C" w:rsidRPr="00EB3916">
        <w:t>24</w:t>
      </w:r>
      <w:r w:rsidR="005A406C" w:rsidRPr="00EB3916">
        <w:rPr>
          <w:i/>
        </w:rPr>
        <w:t xml:space="preserve"> Related Party Disclosures</w:t>
      </w:r>
      <w:r w:rsidR="005A406C">
        <w:t>.</w:t>
      </w:r>
    </w:p>
    <w:p w:rsidR="005D319B" w:rsidRDefault="005A406C" w:rsidP="00D31A41">
      <w:pPr>
        <w:pStyle w:val="NumBC1"/>
      </w:pPr>
      <w:r>
        <w:t>S</w:t>
      </w:r>
      <w:r w:rsidR="00E803B7" w:rsidRPr="00455F19">
        <w:t>ection</w:t>
      </w:r>
      <w:r w:rsidR="00E803B7">
        <w:t xml:space="preserve"> 300A of the </w:t>
      </w:r>
      <w:r w:rsidR="00E803B7" w:rsidRPr="005C5F8A">
        <w:rPr>
          <w:i/>
        </w:rPr>
        <w:t>Corporations Act 2001</w:t>
      </w:r>
      <w:r w:rsidR="00E803B7" w:rsidRPr="005C5F8A">
        <w:t xml:space="preserve"> </w:t>
      </w:r>
      <w:r w:rsidR="00E803B7">
        <w:t>and Regulation</w:t>
      </w:r>
      <w:r w:rsidR="00E803B7" w:rsidRPr="00455F19">
        <w:t xml:space="preserve"> 2M.3.03</w:t>
      </w:r>
      <w:r w:rsidR="00E803B7">
        <w:t xml:space="preserve"> </w:t>
      </w:r>
      <w:r>
        <w:t xml:space="preserve">were amended </w:t>
      </w:r>
      <w:r w:rsidR="00E803B7">
        <w:t>in 2007</w:t>
      </w:r>
      <w:r>
        <w:t xml:space="preserve"> to require </w:t>
      </w:r>
      <w:r w:rsidR="00E803B7">
        <w:t xml:space="preserve">disclosing entities that are companies to report </w:t>
      </w:r>
      <w:r w:rsidR="006B4896">
        <w:t xml:space="preserve">individual </w:t>
      </w:r>
      <w:r w:rsidR="00E803B7">
        <w:t>remuneration information in the directors’ report.</w:t>
      </w:r>
      <w:r>
        <w:rPr>
          <w:rStyle w:val="FootnoteReference"/>
        </w:rPr>
        <w:footnoteReference w:id="1"/>
      </w:r>
      <w:r w:rsidR="00E803B7">
        <w:t xml:space="preserve">  The </w:t>
      </w:r>
      <w:r w:rsidR="00F6116A">
        <w:t>AAS</w:t>
      </w:r>
      <w:r w:rsidR="00E803B7">
        <w:t>B</w:t>
      </w:r>
      <w:r w:rsidR="00F6116A">
        <w:t xml:space="preserve"> responded by </w:t>
      </w:r>
      <w:r w:rsidR="00E803B7">
        <w:t>amend</w:t>
      </w:r>
      <w:r w:rsidR="00F6116A">
        <w:t>ing AASB 1</w:t>
      </w:r>
      <w:r w:rsidR="00E803B7">
        <w:t xml:space="preserve">24 to relieve disclosing entities that are </w:t>
      </w:r>
      <w:r w:rsidR="00E803B7" w:rsidRPr="003D50B5">
        <w:t xml:space="preserve">companies </w:t>
      </w:r>
      <w:r w:rsidR="00E803B7">
        <w:t xml:space="preserve">from </w:t>
      </w:r>
      <w:r w:rsidR="00E803B7" w:rsidRPr="003D50B5">
        <w:t>comply</w:t>
      </w:r>
      <w:r w:rsidR="006B4896">
        <w:t>ing with the paragraphs in AASB </w:t>
      </w:r>
      <w:r w:rsidR="00E803B7" w:rsidRPr="003D50B5">
        <w:t>12</w:t>
      </w:r>
      <w:r w:rsidR="00E803B7">
        <w:t>4</w:t>
      </w:r>
      <w:r w:rsidR="00E803B7" w:rsidRPr="003D50B5">
        <w:t xml:space="preserve"> that have</w:t>
      </w:r>
      <w:r w:rsidR="00E803B7">
        <w:t xml:space="preserve"> been</w:t>
      </w:r>
      <w:r w:rsidR="00E803B7" w:rsidRPr="003D50B5">
        <w:t xml:space="preserve"> included in the Corporations Act</w:t>
      </w:r>
      <w:r w:rsidR="006B4896">
        <w:t xml:space="preserve"> and Regulation </w:t>
      </w:r>
      <w:r w:rsidR="00E803B7">
        <w:t>2M.3.03</w:t>
      </w:r>
      <w:r w:rsidR="00A56B91">
        <w:t>, following a due process that involved issuing</w:t>
      </w:r>
      <w:r w:rsidR="00E803B7">
        <w:t xml:space="preserve"> </w:t>
      </w:r>
      <w:r w:rsidR="00A56B91">
        <w:t xml:space="preserve">ED 162 </w:t>
      </w:r>
      <w:r w:rsidR="00A56B91" w:rsidRPr="00725942">
        <w:rPr>
          <w:i/>
        </w:rPr>
        <w:t>Proposed Amendments to Key Management Personnel Disclosures by Disclosing Entities</w:t>
      </w:r>
      <w:r w:rsidR="00A56B91">
        <w:t xml:space="preserve"> </w:t>
      </w:r>
      <w:r w:rsidR="006B4896">
        <w:t>in April</w:t>
      </w:r>
      <w:r w:rsidR="00D31A41">
        <w:t> </w:t>
      </w:r>
      <w:r w:rsidR="006B4896">
        <w:t xml:space="preserve">2008 </w:t>
      </w:r>
      <w:r w:rsidR="00A56B91">
        <w:t xml:space="preserve">for public comment.  The </w:t>
      </w:r>
      <w:r w:rsidR="006B4896">
        <w:t xml:space="preserve">resulting </w:t>
      </w:r>
      <w:r w:rsidR="00A56B91">
        <w:t xml:space="preserve">amendment </w:t>
      </w:r>
      <w:r w:rsidR="00E803B7">
        <w:t>avoid</w:t>
      </w:r>
      <w:r w:rsidR="00A56B91">
        <w:t>ed</w:t>
      </w:r>
      <w:r w:rsidR="00E803B7">
        <w:t xml:space="preserve"> </w:t>
      </w:r>
      <w:r w:rsidR="00A56B91">
        <w:lastRenderedPageBreak/>
        <w:t xml:space="preserve">requiring </w:t>
      </w:r>
      <w:r w:rsidR="00E803B7">
        <w:t xml:space="preserve">each disclosing entity that is a </w:t>
      </w:r>
      <w:r w:rsidR="00E803B7" w:rsidRPr="003D50B5">
        <w:t>compan</w:t>
      </w:r>
      <w:r w:rsidR="006B4896">
        <w:t xml:space="preserve">y </w:t>
      </w:r>
      <w:r w:rsidR="00E803B7" w:rsidRPr="003D50B5">
        <w:t xml:space="preserve">to disclose this information </w:t>
      </w:r>
      <w:r w:rsidR="00E803B7">
        <w:t xml:space="preserve">twice </w:t>
      </w:r>
      <w:r w:rsidR="00E803B7" w:rsidRPr="003D50B5">
        <w:t xml:space="preserve">– in </w:t>
      </w:r>
      <w:r w:rsidR="00E803B7">
        <w:t>its</w:t>
      </w:r>
      <w:r w:rsidR="00E803B7" w:rsidRPr="003D50B5">
        <w:t xml:space="preserve"> </w:t>
      </w:r>
      <w:r w:rsidR="00E803B7">
        <w:t>directors’</w:t>
      </w:r>
      <w:r w:rsidR="00E803B7" w:rsidRPr="003D50B5">
        <w:t xml:space="preserve"> report</w:t>
      </w:r>
      <w:r w:rsidR="00E803B7">
        <w:t xml:space="preserve"> and in its financial statements</w:t>
      </w:r>
      <w:r w:rsidR="00E803B7" w:rsidRPr="003D50B5">
        <w:t>.</w:t>
      </w:r>
      <w:r w:rsidR="003214D5">
        <w:rPr>
          <w:rStyle w:val="FootnoteReference"/>
        </w:rPr>
        <w:footnoteReference w:id="2"/>
      </w:r>
      <w:r w:rsidR="005D319B">
        <w:t xml:space="preserve">  The existing AASB 124 retains </w:t>
      </w:r>
      <w:r w:rsidR="001F71E2">
        <w:t xml:space="preserve">Australian-specific </w:t>
      </w:r>
      <w:r w:rsidR="005D319B">
        <w:t>individual KMP disclosure requirements on remuneration in relation to disclosing entities other than companies, and on equity holdings, loans, and other transactions and balances in relation to all disclosing entities.</w:t>
      </w:r>
    </w:p>
    <w:p w:rsidR="00A56B91" w:rsidRDefault="00A56B91" w:rsidP="00A56B91">
      <w:pPr>
        <w:pStyle w:val="Heading3"/>
      </w:pPr>
      <w:r>
        <w:t>Constituent views</w:t>
      </w:r>
    </w:p>
    <w:p w:rsidR="00E803B7" w:rsidRPr="00BC0794" w:rsidRDefault="00E803B7" w:rsidP="00D31A41">
      <w:pPr>
        <w:pStyle w:val="NumBC1"/>
      </w:pPr>
      <w:r>
        <w:t>A number of c</w:t>
      </w:r>
      <w:r w:rsidR="003214D5">
        <w:t>onstituents who commented on ED </w:t>
      </w:r>
      <w:r>
        <w:t xml:space="preserve">162 encouraged the Board to consider removing all the </w:t>
      </w:r>
      <w:r w:rsidR="003214D5">
        <w:t>individual KMP</w:t>
      </w:r>
      <w:r>
        <w:t xml:space="preserve"> disclosure</w:t>
      </w:r>
      <w:r w:rsidR="003214D5">
        <w:t xml:space="preserve"> requirements (</w:t>
      </w:r>
      <w:r>
        <w:t>Aus paragraphs</w:t>
      </w:r>
      <w:r w:rsidR="003214D5">
        <w:t>)</w:t>
      </w:r>
      <w:r>
        <w:t xml:space="preserve"> </w:t>
      </w:r>
      <w:r w:rsidR="003214D5">
        <w:t>from</w:t>
      </w:r>
      <w:r>
        <w:t xml:space="preserve"> AASB</w:t>
      </w:r>
      <w:r w:rsidR="003214D5">
        <w:t> </w:t>
      </w:r>
      <w:r>
        <w:t xml:space="preserve">124.  </w:t>
      </w:r>
      <w:r w:rsidR="003214D5">
        <w:t xml:space="preserve">Accordingly, in ED 200A </w:t>
      </w:r>
      <w:bookmarkStart w:id="17" w:name="EDTitle"/>
      <w:r w:rsidR="003214D5" w:rsidRPr="003214D5">
        <w:rPr>
          <w:i/>
        </w:rPr>
        <w:t>Proposals to Harmonise Australian and New Zealand Standards in Relation to Entities Applying IFRSs as Adopted in Australia and New Zealand</w:t>
      </w:r>
      <w:bookmarkEnd w:id="17"/>
      <w:r w:rsidR="003214D5">
        <w:t xml:space="preserve"> </w:t>
      </w:r>
      <w:r w:rsidR="006B4896">
        <w:t xml:space="preserve">(issued in July 2010) </w:t>
      </w:r>
      <w:r w:rsidR="003214D5">
        <w:t>t</w:t>
      </w:r>
      <w:r>
        <w:t xml:space="preserve">he </w:t>
      </w:r>
      <w:r w:rsidR="003214D5">
        <w:t>AAS</w:t>
      </w:r>
      <w:r>
        <w:t>B</w:t>
      </w:r>
      <w:r w:rsidR="003214D5">
        <w:t xml:space="preserve"> specifically sought comment on whether the individual KMP disclosure requirements should be retained or removed.  All of those who responded to this question supported their removal.</w:t>
      </w:r>
    </w:p>
    <w:p w:rsidR="00E803B7" w:rsidRDefault="00A71733" w:rsidP="00D31A41">
      <w:pPr>
        <w:pStyle w:val="NumBC1"/>
      </w:pPr>
      <w:r>
        <w:t xml:space="preserve">The views expressed by constituents on ED 162 and ED 200A were largely based on </w:t>
      </w:r>
      <w:r w:rsidR="00E803B7">
        <w:t>two factors:</w:t>
      </w:r>
    </w:p>
    <w:p w:rsidR="00E803B7" w:rsidRDefault="00E803B7" w:rsidP="00D31A41">
      <w:pPr>
        <w:pStyle w:val="NumBC2"/>
      </w:pPr>
      <w:r>
        <w:t xml:space="preserve">a view that individual </w:t>
      </w:r>
      <w:r w:rsidR="00A71733">
        <w:t>KMP</w:t>
      </w:r>
      <w:r>
        <w:t xml:space="preserve"> disclosures are a governance matter that would be most appropriately dealt with directly by </w:t>
      </w:r>
      <w:r w:rsidR="006B4896">
        <w:t>the G</w:t>
      </w:r>
      <w:r>
        <w:t>overnment through the Corporations Act; and</w:t>
      </w:r>
    </w:p>
    <w:p w:rsidR="00E803B7" w:rsidRDefault="00E803B7" w:rsidP="00D31A41">
      <w:pPr>
        <w:pStyle w:val="NumBC2"/>
      </w:pPr>
      <w:r>
        <w:t xml:space="preserve">a desire to remove as much Australian specific text from the AASB’s Standards that </w:t>
      </w:r>
      <w:r w:rsidR="006B4896">
        <w:t>incorporate</w:t>
      </w:r>
      <w:r>
        <w:t xml:space="preserve"> IFRSs so that those Standards replicate as closely as possible the content of the IFRSs as issued by the IASB.</w:t>
      </w:r>
    </w:p>
    <w:p w:rsidR="00D31A41" w:rsidRDefault="00D31A41" w:rsidP="00D31A41">
      <w:pPr>
        <w:pStyle w:val="NumBC1"/>
      </w:pPr>
      <w:r>
        <w:t>Constituents have also raised concerns about the potential for confusion because all of the AASB 124 individual KMP disclosures apply to disclosing entities that are not companies, while only a subset of those disclosures apply to disclosing entities that are companies (as explained in paragraph BC4).</w:t>
      </w:r>
    </w:p>
    <w:p w:rsidR="00B508DC" w:rsidRDefault="00B508DC" w:rsidP="00B508DC">
      <w:pPr>
        <w:pStyle w:val="Heading2"/>
      </w:pPr>
      <w:r>
        <w:t>New Zealand Convergence</w:t>
      </w:r>
    </w:p>
    <w:p w:rsidR="00B508DC" w:rsidRDefault="00B508DC" w:rsidP="00D31A41">
      <w:pPr>
        <w:pStyle w:val="NumBC1"/>
      </w:pPr>
      <w:r>
        <w:t>The AASB and the New Zealand accounting standard setter have been converging their standards over recent years</w:t>
      </w:r>
      <w:r w:rsidR="000C1076">
        <w:t xml:space="preserve">.  A key </w:t>
      </w:r>
      <w:r>
        <w:t xml:space="preserve">aim </w:t>
      </w:r>
      <w:r w:rsidR="000C1076">
        <w:t>is to</w:t>
      </w:r>
      <w:r>
        <w:t xml:space="preserve"> meet the Outcome Proposals set by the Australian and New Zealand governments, which include enabling </w:t>
      </w:r>
      <w:r w:rsidRPr="00CA0F69">
        <w:t xml:space="preserve">for-profit entities </w:t>
      </w:r>
      <w:r>
        <w:t xml:space="preserve">to </w:t>
      </w:r>
      <w:r w:rsidRPr="00CA0F69">
        <w:t xml:space="preserve">use a single </w:t>
      </w:r>
      <w:r w:rsidRPr="00CA0F69">
        <w:lastRenderedPageBreak/>
        <w:t>set of accounting standards and prepare only one set of financial statements</w:t>
      </w:r>
      <w:r>
        <w:t xml:space="preserve"> </w:t>
      </w:r>
      <w:r w:rsidR="000C1076">
        <w:t>for</w:t>
      </w:r>
      <w:r>
        <w:t xml:space="preserve"> both jurisdictions.</w:t>
      </w:r>
      <w:r w:rsidR="00E30AC3">
        <w:rPr>
          <w:rStyle w:val="FootnoteReference"/>
        </w:rPr>
        <w:footnoteReference w:id="3"/>
      </w:r>
      <w:r>
        <w:t xml:space="preserve">  The New Zealand accounting standards also incorporate IFRSs and do not contain additional individual </w:t>
      </w:r>
      <w:r w:rsidR="00433D77">
        <w:t>KMP</w:t>
      </w:r>
      <w:r>
        <w:t xml:space="preserve"> disclosure requirements.</w:t>
      </w:r>
    </w:p>
    <w:p w:rsidR="008B5A1E" w:rsidRDefault="008B5A1E" w:rsidP="00D31A41">
      <w:pPr>
        <w:pStyle w:val="NumBC1"/>
      </w:pPr>
      <w:r>
        <w:t>The AASB concluded that it is in the interests of trans-Tasman convergence, and achieving the Outcome Proposals, to remove the individual KMP disclosure requirements from Australian Accounting Standards.</w:t>
      </w:r>
    </w:p>
    <w:p w:rsidR="00151AD7" w:rsidRDefault="00151AD7" w:rsidP="00D31A41">
      <w:pPr>
        <w:pStyle w:val="NumBC1"/>
      </w:pPr>
      <w:r>
        <w:t xml:space="preserve">The </w:t>
      </w:r>
      <w:r w:rsidR="005F6727">
        <w:t xml:space="preserve">AASB noted that the </w:t>
      </w:r>
      <w:r>
        <w:t xml:space="preserve">Australian Treasury and New Zealand Ministry of Economic Development are aware that the legislative requirements </w:t>
      </w:r>
      <w:r w:rsidR="005F6727">
        <w:t xml:space="preserve">regarding individual KMP disclosures </w:t>
      </w:r>
      <w:r>
        <w:t xml:space="preserve">may need to </w:t>
      </w:r>
      <w:r w:rsidR="005F6727">
        <w:t xml:space="preserve">be </w:t>
      </w:r>
      <w:r>
        <w:t xml:space="preserve">changed </w:t>
      </w:r>
      <w:r w:rsidR="005F6727">
        <w:t>i</w:t>
      </w:r>
      <w:r>
        <w:t>n order to align the</w:t>
      </w:r>
      <w:r w:rsidR="005F6727">
        <w:t>m across the two jurisdictions.</w:t>
      </w:r>
    </w:p>
    <w:p w:rsidR="00B508DC" w:rsidRDefault="00B508DC" w:rsidP="00B508DC">
      <w:pPr>
        <w:pStyle w:val="Heading2"/>
      </w:pPr>
      <w:r>
        <w:t>Nature of Disclosures</w:t>
      </w:r>
    </w:p>
    <w:p w:rsidR="00B508DC" w:rsidRDefault="00345572" w:rsidP="00D31A41">
      <w:pPr>
        <w:pStyle w:val="NumBC1"/>
      </w:pPr>
      <w:r>
        <w:t>The AASB 1046 disclosure requ</w:t>
      </w:r>
      <w:r w:rsidR="00433D77">
        <w:t>irements (noted in paragraph BC3</w:t>
      </w:r>
      <w:r>
        <w:t>) that were carried forward when Australi</w:t>
      </w:r>
      <w:r w:rsidR="000C1076">
        <w:t>a</w:t>
      </w:r>
      <w:r>
        <w:t xml:space="preserve"> adopted IFRSs were,</w:t>
      </w:r>
      <w:r w:rsidR="00B508DC">
        <w:t xml:space="preserve"> in part</w:t>
      </w:r>
      <w:r>
        <w:t xml:space="preserve">, </w:t>
      </w:r>
      <w:r w:rsidR="00B508DC">
        <w:t>the product of an earlier policy of removing disclosure requirements from corporations legislation and including them in accounting standards.  In the years since adopting IFRSs, there has been more emphasis on including governance-type disclosures directly in legislation.</w:t>
      </w:r>
    </w:p>
    <w:p w:rsidR="00B508DC" w:rsidRDefault="00151AD7" w:rsidP="00D31A41">
      <w:pPr>
        <w:pStyle w:val="NumBC1"/>
      </w:pPr>
      <w:r>
        <w:t>More disclosure requirements have been added to Section 300A of the Corporations Act regarding disclosures about individual KMP as well as a requirement for a remuneration report for listed companies s</w:t>
      </w:r>
      <w:r w:rsidR="00B508DC">
        <w:t xml:space="preserve">ince </w:t>
      </w:r>
      <w:r w:rsidR="006B4896">
        <w:t xml:space="preserve">the </w:t>
      </w:r>
      <w:r>
        <w:t>A</w:t>
      </w:r>
      <w:r w:rsidR="006B4896">
        <w:t>ASB</w:t>
      </w:r>
      <w:r>
        <w:t xml:space="preserve"> first made the Standards </w:t>
      </w:r>
      <w:r w:rsidR="00433D77">
        <w:t>incorporat</w:t>
      </w:r>
      <w:r>
        <w:t>ing IFRSs</w:t>
      </w:r>
      <w:r w:rsidR="00B508DC">
        <w:t>.</w:t>
      </w:r>
    </w:p>
    <w:p w:rsidR="0083541F" w:rsidRDefault="0083541F" w:rsidP="00D31A41">
      <w:pPr>
        <w:pStyle w:val="NumBC1"/>
      </w:pPr>
      <w:r w:rsidRPr="0042292B">
        <w:t xml:space="preserve">The AASB concluded that </w:t>
      </w:r>
      <w:r>
        <w:t xml:space="preserve">the IAS 24 </w:t>
      </w:r>
      <w:r w:rsidRPr="00EB3916">
        <w:t xml:space="preserve">requirements </w:t>
      </w:r>
      <w:r>
        <w:t xml:space="preserve">(included in AASB 124) </w:t>
      </w:r>
      <w:r w:rsidRPr="00EB3916">
        <w:t xml:space="preserve">to disclose </w:t>
      </w:r>
      <w:r w:rsidR="008336EA">
        <w:t xml:space="preserve">amounts of </w:t>
      </w:r>
      <w:r w:rsidRPr="00EB3916">
        <w:t xml:space="preserve">aggregate </w:t>
      </w:r>
      <w:r>
        <w:t>K</w:t>
      </w:r>
      <w:r w:rsidRPr="00EB3916">
        <w:t xml:space="preserve">MP compensation as well as treating KMP as related parties for the purposes of the other </w:t>
      </w:r>
      <w:r>
        <w:t xml:space="preserve">disclosure </w:t>
      </w:r>
      <w:r w:rsidRPr="00EB3916">
        <w:t xml:space="preserve">requirements </w:t>
      </w:r>
      <w:r w:rsidR="008336EA">
        <w:t>are</w:t>
      </w:r>
      <w:r w:rsidRPr="00EB3916">
        <w:t xml:space="preserve"> sufficient in the </w:t>
      </w:r>
      <w:r w:rsidR="00151AD7">
        <w:t xml:space="preserve">context </w:t>
      </w:r>
      <w:r w:rsidRPr="00EB3916">
        <w:t xml:space="preserve">of </w:t>
      </w:r>
      <w:r w:rsidR="00151AD7">
        <w:t xml:space="preserve">the role </w:t>
      </w:r>
      <w:r w:rsidR="00380D5A">
        <w:t xml:space="preserve">of </w:t>
      </w:r>
      <w:r w:rsidRPr="00EB3916">
        <w:t xml:space="preserve">accounting standards in </w:t>
      </w:r>
      <w:r w:rsidR="00C305DB">
        <w:t xml:space="preserve">meeting the objective of general purpose </w:t>
      </w:r>
      <w:r w:rsidRPr="00EB3916">
        <w:t>financial reporting.</w:t>
      </w:r>
      <w:r w:rsidR="00C305DB">
        <w:rPr>
          <w:rStyle w:val="FootnoteReference"/>
        </w:rPr>
        <w:footnoteReference w:id="4"/>
      </w:r>
    </w:p>
    <w:p w:rsidR="005B18B4" w:rsidRDefault="004D7F37" w:rsidP="005B18B4">
      <w:pPr>
        <w:pStyle w:val="Heading2"/>
      </w:pPr>
      <w:r>
        <w:t>Timing</w:t>
      </w:r>
    </w:p>
    <w:p w:rsidR="00EE40F9" w:rsidRDefault="004D7F37" w:rsidP="00D31A41">
      <w:pPr>
        <w:pStyle w:val="NumBC1"/>
      </w:pPr>
      <w:r>
        <w:t xml:space="preserve">The </w:t>
      </w:r>
      <w:r w:rsidR="00EE40F9">
        <w:t xml:space="preserve">amendments to AASB 124 to remove </w:t>
      </w:r>
      <w:r>
        <w:t>the disclosure requirements regarding individual KMP</w:t>
      </w:r>
      <w:r w:rsidR="00EE40F9">
        <w:t xml:space="preserve"> are applicable to</w:t>
      </w:r>
      <w:r w:rsidR="00EE40F9" w:rsidRPr="00EE40F9">
        <w:t xml:space="preserve"> </w:t>
      </w:r>
      <w:r w:rsidR="00EE40F9" w:rsidRPr="00027E8B">
        <w:t xml:space="preserve">annual </w:t>
      </w:r>
      <w:r w:rsidR="00EE40F9" w:rsidRPr="00027E8B">
        <w:lastRenderedPageBreak/>
        <w:t xml:space="preserve">reporting periods beginning on or after </w:t>
      </w:r>
      <w:r w:rsidR="00EE40F9">
        <w:t>1 July 2013, and early adoption is not permitted.  Accordingly, relevant disclosing entities will need to comply with the disclosure requirements for at least another two years.</w:t>
      </w:r>
    </w:p>
    <w:p w:rsidR="00EE40F9" w:rsidRDefault="00EE40F9" w:rsidP="00D31A41">
      <w:pPr>
        <w:pStyle w:val="NumBC1"/>
      </w:pPr>
      <w:r>
        <w:t xml:space="preserve">The AASB concluded that </w:t>
      </w:r>
      <w:r w:rsidR="00057593">
        <w:t xml:space="preserve">the transition </w:t>
      </w:r>
      <w:r>
        <w:t xml:space="preserve">period </w:t>
      </w:r>
      <w:r w:rsidR="00057593">
        <w:t>should be sufficient</w:t>
      </w:r>
      <w:r>
        <w:t xml:space="preserve"> to allow the relevant government agencies </w:t>
      </w:r>
      <w:r w:rsidR="005B335B">
        <w:t xml:space="preserve">to consider whether there is a need to amend their existing requirements regarding disclosures relating to individual KMP and, if so, the manner in which they should be amended.  In particular, the AASB </w:t>
      </w:r>
      <w:r w:rsidR="00AF449F">
        <w:t xml:space="preserve">was mindful of allowing sufficient time </w:t>
      </w:r>
      <w:r w:rsidR="005B335B">
        <w:t>to conduct any relevant public consultation in view of other developments that are taking place in connection with governance disclosure requirements.</w:t>
      </w:r>
    </w:p>
    <w:sectPr w:rsidR="00EE40F9" w:rsidSect="00590051">
      <w:footerReference w:type="default" r:id="rId27"/>
      <w:pgSz w:w="11907" w:h="16840" w:code="9"/>
      <w:pgMar w:top="3686" w:right="2835" w:bottom="3686" w:left="2835" w:header="709" w:footer="3255" w:gutter="0"/>
      <w:paperSrc w:first="58" w:other="58"/>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A9D" w:rsidRDefault="00A70A9D">
      <w:r>
        <w:separator/>
      </w:r>
    </w:p>
  </w:endnote>
  <w:endnote w:type="continuationSeparator" w:id="0">
    <w:p w:rsidR="00A70A9D" w:rsidRDefault="00A7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9D" w:rsidRDefault="00A70A9D">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Pr="00BF5E40">
      <w:rPr>
        <w:b/>
      </w:rPr>
      <w:t>2011-</w:t>
    </w:r>
    <w:r w:rsidR="003B65B6">
      <w:rPr>
        <w:b/>
      </w:rPr>
      <w:t>4</w:t>
    </w:r>
    <w:r>
      <w:rPr>
        <w:b/>
      </w:rPr>
      <w:fldChar w:fldCharType="end"/>
    </w:r>
    <w:r>
      <w:rPr>
        <w:b/>
      </w:rPr>
      <w:tab/>
    </w:r>
    <w:r>
      <w:fldChar w:fldCharType="begin"/>
    </w:r>
    <w:r>
      <w:instrText>PAGE</w:instrText>
    </w:r>
    <w:r>
      <w:fldChar w:fldCharType="separate"/>
    </w:r>
    <w:r w:rsidR="00667869">
      <w:rPr>
        <w:noProof/>
      </w:rPr>
      <w:t>2</w:t>
    </w:r>
    <w:r>
      <w:fldChar w:fldCharType="end"/>
    </w:r>
    <w:r>
      <w:tab/>
    </w:r>
    <w:r>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9D" w:rsidRDefault="00A70A9D">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Pr="00BF5E40">
      <w:rPr>
        <w:b/>
      </w:rPr>
      <w:t>2011-</w:t>
    </w:r>
    <w:r w:rsidR="003B65B6">
      <w:rPr>
        <w:b/>
      </w:rPr>
      <w:t>4</w:t>
    </w:r>
    <w:r>
      <w:rPr>
        <w:b/>
      </w:rPr>
      <w:fldChar w:fldCharType="end"/>
    </w:r>
    <w:r>
      <w:rPr>
        <w:b/>
      </w:rPr>
      <w:tab/>
    </w:r>
    <w:r>
      <w:fldChar w:fldCharType="begin"/>
    </w:r>
    <w:r>
      <w:instrText>PAGE</w:instrText>
    </w:r>
    <w:r>
      <w:fldChar w:fldCharType="separate"/>
    </w:r>
    <w:r w:rsidR="00667869">
      <w:rPr>
        <w:noProof/>
      </w:rPr>
      <w:t>3</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9D" w:rsidRDefault="00A70A9D">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Pr="00BF5E40">
      <w:rPr>
        <w:b/>
      </w:rPr>
      <w:t>2011-</w:t>
    </w:r>
    <w:r w:rsidR="003B65B6">
      <w:rPr>
        <w:b/>
      </w:rPr>
      <w:t>4</w:t>
    </w:r>
    <w:r>
      <w:rPr>
        <w:b/>
      </w:rPr>
      <w:fldChar w:fldCharType="end"/>
    </w:r>
    <w:r>
      <w:rPr>
        <w:b/>
      </w:rPr>
      <w:tab/>
    </w:r>
    <w:r>
      <w:fldChar w:fldCharType="begin"/>
    </w:r>
    <w:r>
      <w:instrText>PAGE</w:instrText>
    </w:r>
    <w:r>
      <w:fldChar w:fldCharType="separate"/>
    </w:r>
    <w:r w:rsidR="00667869">
      <w:rPr>
        <w:noProof/>
      </w:rPr>
      <w:t>4</w:t>
    </w:r>
    <w:r>
      <w:fldChar w:fldCharType="end"/>
    </w:r>
    <w:r>
      <w:tab/>
    </w:r>
    <w:r>
      <w:rPr>
        <w:b/>
        <w:bCs/>
      </w:rPr>
      <w:t>PREFACE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F0F" w:rsidRDefault="00602F0F">
    <w:pPr>
      <w:pStyle w:val="Footer"/>
      <w:rPr>
        <w:b/>
      </w:rPr>
    </w:pPr>
  </w:p>
  <w:p w:rsidR="00A70A9D" w:rsidRDefault="00A70A9D">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Pr="00BF5E40">
      <w:rPr>
        <w:b/>
      </w:rPr>
      <w:t>2011-</w:t>
    </w:r>
    <w:r w:rsidR="003B65B6">
      <w:rPr>
        <w:b/>
      </w:rPr>
      <w:t>4</w:t>
    </w:r>
    <w:r>
      <w:rPr>
        <w:b/>
      </w:rPr>
      <w:fldChar w:fldCharType="end"/>
    </w:r>
    <w:r>
      <w:rPr>
        <w:b/>
      </w:rPr>
      <w:tab/>
    </w:r>
    <w:r>
      <w:fldChar w:fldCharType="begin"/>
    </w:r>
    <w:r>
      <w:instrText>PAGE</w:instrText>
    </w:r>
    <w:r>
      <w:fldChar w:fldCharType="separate"/>
    </w:r>
    <w:r w:rsidR="00667869">
      <w:rPr>
        <w:noProof/>
      </w:rPr>
      <w:t>6</w:t>
    </w:r>
    <w:r>
      <w:fldChar w:fldCharType="end"/>
    </w:r>
    <w:r>
      <w:tab/>
    </w:r>
    <w:r>
      <w:rPr>
        <w:b/>
        <w:bCs/>
      </w:rPr>
      <w:t>STANDARD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9D" w:rsidRDefault="00A70A9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F0F" w:rsidRDefault="00602F0F">
    <w:pPr>
      <w:pStyle w:val="Footer"/>
      <w:rPr>
        <w:b/>
      </w:rPr>
    </w:pPr>
  </w:p>
  <w:p w:rsidR="00602F0F" w:rsidRDefault="00602F0F">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Pr="00BF5E40">
      <w:rPr>
        <w:b/>
      </w:rPr>
      <w:t>2011-</w:t>
    </w:r>
    <w:r>
      <w:rPr>
        <w:b/>
      </w:rPr>
      <w:t>4</w:t>
    </w:r>
    <w:r>
      <w:rPr>
        <w:b/>
      </w:rPr>
      <w:fldChar w:fldCharType="end"/>
    </w:r>
    <w:r>
      <w:rPr>
        <w:b/>
      </w:rPr>
      <w:tab/>
    </w:r>
    <w:r>
      <w:fldChar w:fldCharType="begin"/>
    </w:r>
    <w:r>
      <w:instrText>PAGE</w:instrText>
    </w:r>
    <w:r>
      <w:fldChar w:fldCharType="separate"/>
    </w:r>
    <w:r w:rsidR="00667869">
      <w:rPr>
        <w:noProof/>
      </w:rPr>
      <w:t>10</w:t>
    </w:r>
    <w:r>
      <w:fldChar w:fldCharType="end"/>
    </w:r>
    <w:r>
      <w:tab/>
    </w:r>
    <w:r>
      <w:rPr>
        <w:b/>
        <w:bCs/>
      </w:rPr>
      <w:t>BASIS FOR CONCLUSIONS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A9D" w:rsidRDefault="00A70A9D">
      <w:r>
        <w:separator/>
      </w:r>
    </w:p>
  </w:footnote>
  <w:footnote w:type="continuationSeparator" w:id="0">
    <w:p w:rsidR="00A70A9D" w:rsidRDefault="00A70A9D">
      <w:r>
        <w:continuationSeparator/>
      </w:r>
    </w:p>
  </w:footnote>
  <w:footnote w:id="1">
    <w:p w:rsidR="00A70A9D" w:rsidRDefault="00A70A9D" w:rsidP="005A406C">
      <w:pPr>
        <w:pStyle w:val="FootnoteText"/>
        <w:ind w:left="170" w:hanging="170"/>
      </w:pPr>
      <w:r w:rsidRPr="005A406C">
        <w:rPr>
          <w:rStyle w:val="FootnoteReference"/>
          <w:vertAlign w:val="baseline"/>
        </w:rPr>
        <w:footnoteRef/>
      </w:r>
      <w:r w:rsidRPr="005A406C">
        <w:t xml:space="preserve"> </w:t>
      </w:r>
      <w:r>
        <w:t xml:space="preserve"> </w:t>
      </w:r>
      <w:r w:rsidRPr="005A406C">
        <w:t>Corporations Act Regulation 2M.6.04 permitted listed companies to avoid making the same</w:t>
      </w:r>
      <w:r>
        <w:t xml:space="preserve"> disclosures twice; however, the Corporations Amendment Regulations 2007 (No. 2) removed that regulation.</w:t>
      </w:r>
    </w:p>
  </w:footnote>
  <w:footnote w:id="2">
    <w:p w:rsidR="00A70A9D" w:rsidRDefault="00A70A9D" w:rsidP="003214D5">
      <w:pPr>
        <w:pStyle w:val="FootnoteText"/>
        <w:ind w:left="170" w:hanging="170"/>
      </w:pPr>
      <w:r w:rsidRPr="003214D5">
        <w:rPr>
          <w:rStyle w:val="FootnoteReference"/>
          <w:vertAlign w:val="baseline"/>
        </w:rPr>
        <w:footnoteRef/>
      </w:r>
      <w:r w:rsidRPr="003214D5">
        <w:t xml:space="preserve"> </w:t>
      </w:r>
      <w:r>
        <w:t xml:space="preserve"> </w:t>
      </w:r>
      <w:r w:rsidRPr="003214D5">
        <w:t xml:space="preserve">AASB 2008-4 </w:t>
      </w:r>
      <w:r w:rsidRPr="003214D5">
        <w:rPr>
          <w:i/>
        </w:rPr>
        <w:t>Amendments to Australian Accounting Standard – Key Management Personnel</w:t>
      </w:r>
      <w:r w:rsidRPr="007B397B">
        <w:rPr>
          <w:i/>
        </w:rPr>
        <w:t xml:space="preserve"> Disclosures by Disclosing Entities</w:t>
      </w:r>
    </w:p>
  </w:footnote>
  <w:footnote w:id="3">
    <w:p w:rsidR="00A70A9D" w:rsidRPr="00E30AC3" w:rsidRDefault="00A70A9D" w:rsidP="00E30AC3">
      <w:pPr>
        <w:pStyle w:val="FootnoteText"/>
        <w:ind w:left="170" w:hanging="170"/>
      </w:pPr>
      <w:r w:rsidRPr="00E30AC3">
        <w:rPr>
          <w:rStyle w:val="FootnoteReference"/>
          <w:vertAlign w:val="baseline"/>
        </w:rPr>
        <w:footnoteRef/>
      </w:r>
      <w:r w:rsidRPr="00E30AC3">
        <w:t xml:space="preserve"> </w:t>
      </w:r>
      <w:r>
        <w:t xml:space="preserve"> </w:t>
      </w:r>
      <w:r w:rsidRPr="00E30AC3">
        <w:t>More information is available from the Trans-Tasman Outcomes Implementation Group website – www.treasury.gov.au/ttoig</w:t>
      </w:r>
      <w:r>
        <w:t>.</w:t>
      </w:r>
    </w:p>
  </w:footnote>
  <w:footnote w:id="4">
    <w:p w:rsidR="00A70A9D" w:rsidRDefault="00A70A9D" w:rsidP="00C305DB">
      <w:pPr>
        <w:pStyle w:val="FootnoteText"/>
        <w:ind w:left="170" w:hanging="170"/>
      </w:pPr>
      <w:r w:rsidRPr="00C305DB">
        <w:rPr>
          <w:rStyle w:val="FootnoteReference"/>
          <w:vertAlign w:val="baseline"/>
        </w:rPr>
        <w:footnoteRef/>
      </w:r>
      <w:r w:rsidRPr="00C305DB">
        <w:t xml:space="preserve">  The objective of financial reporting is currently identified in SAC 2 </w:t>
      </w:r>
      <w:r w:rsidRPr="00C305DB">
        <w:rPr>
          <w:i/>
        </w:rPr>
        <w:t>Objective of General Purpose Financial Reporting</w:t>
      </w:r>
      <w:r>
        <w:t xml:space="preserve"> and </w:t>
      </w:r>
      <w:r w:rsidRPr="00C305DB">
        <w:rPr>
          <w:i/>
        </w:rPr>
        <w:t>Framework for the Preparation and Presentation of Financial Statements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9D" w:rsidRDefault="00A70A9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9D" w:rsidRDefault="00A70A9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9D" w:rsidRDefault="00A70A9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9D" w:rsidRDefault="00A70A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9D" w:rsidRDefault="00A70A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9D" w:rsidRDefault="00A70A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9D" w:rsidRDefault="00A70A9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9D" w:rsidRDefault="00A70A9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9D" w:rsidRDefault="00A70A9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9D" w:rsidRDefault="00A70A9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9D" w:rsidRDefault="00A70A9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9D" w:rsidRDefault="00A70A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D95E3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3E035C2"/>
    <w:multiLevelType w:val="multilevel"/>
    <w:tmpl w:val="EBA231A6"/>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nsid w:val="211B3D0F"/>
    <w:multiLevelType w:val="multilevel"/>
    <w:tmpl w:val="8084D1EC"/>
    <w:lvl w:ilvl="0">
      <w:start w:val="1"/>
      <w:numFmt w:val="lowerLetter"/>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5">
    <w:nsid w:val="2576465B"/>
    <w:multiLevelType w:val="multilevel"/>
    <w:tmpl w:val="EA8EEBC6"/>
    <w:lvl w:ilvl="0">
      <w:start w:val="1"/>
      <w:numFmt w:val="lowerLetter"/>
      <w:pStyle w:val="NumPlainA"/>
      <w:lvlText w:val="(%1)"/>
      <w:lvlJc w:val="left"/>
      <w:pPr>
        <w:tabs>
          <w:tab w:val="num" w:pos="510"/>
        </w:tabs>
        <w:ind w:left="510" w:hanging="51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7F821CB"/>
    <w:multiLevelType w:val="hybridMultilevel"/>
    <w:tmpl w:val="1CDC9BEA"/>
    <w:lvl w:ilvl="0" w:tplc="8A94C782">
      <w:start w:val="1"/>
      <w:numFmt w:val="bullet"/>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4A046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7FC7CD6"/>
    <w:multiLevelType w:val="multilevel"/>
    <w:tmpl w:val="017AF28C"/>
    <w:numStyleLink w:val="Bullets"/>
  </w:abstractNum>
  <w:abstractNum w:abstractNumId="10">
    <w:nsid w:val="398264B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9A23BD9"/>
    <w:multiLevelType w:val="hybridMultilevel"/>
    <w:tmpl w:val="809074BC"/>
    <w:lvl w:ilvl="0" w:tplc="AAC84BFE">
      <w:start w:val="1"/>
      <w:numFmt w:val="bullet"/>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B71542"/>
    <w:multiLevelType w:val="multilevel"/>
    <w:tmpl w:val="FA78762C"/>
    <w:lvl w:ilvl="0">
      <w:start w:val="1"/>
      <w:numFmt w:val="lowerLetter"/>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B52504F"/>
    <w:multiLevelType w:val="hybridMultilevel"/>
    <w:tmpl w:val="FCC49D66"/>
    <w:lvl w:ilvl="0" w:tplc="DFF2F438">
      <w:start w:val="1"/>
      <w:numFmt w:val="bullet"/>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542243"/>
    <w:multiLevelType w:val="multilevel"/>
    <w:tmpl w:val="2B049A84"/>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5">
    <w:nsid w:val="69C02929"/>
    <w:multiLevelType w:val="hybridMultilevel"/>
    <w:tmpl w:val="7F847CDE"/>
    <w:lvl w:ilvl="0" w:tplc="4860E214">
      <w:start w:val="1"/>
      <w:numFmt w:val="bullet"/>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7">
    <w:nsid w:val="7034512C"/>
    <w:multiLevelType w:val="multilevel"/>
    <w:tmpl w:val="87A659DC"/>
    <w:lvl w:ilvl="0">
      <w:start w:val="1"/>
      <w:numFmt w:val="decimal"/>
      <w:lvlRestart w:val="0"/>
      <w:pStyle w:val="NumberedList"/>
      <w:lvlText w:val="%1."/>
      <w:lvlJc w:val="left"/>
      <w:pPr>
        <w:tabs>
          <w:tab w:val="num" w:pos="510"/>
        </w:tabs>
        <w:ind w:left="51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0A41C1B"/>
    <w:multiLevelType w:val="multilevel"/>
    <w:tmpl w:val="E8EE9816"/>
    <w:lvl w:ilvl="0">
      <w:start w:val="1"/>
      <w:numFmt w:val="lowerLetter"/>
      <w:lvlText w:val="(%1)"/>
      <w:lvlJc w:val="left"/>
      <w:pPr>
        <w:tabs>
          <w:tab w:val="num" w:pos="510"/>
        </w:tabs>
        <w:ind w:left="51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BE43664"/>
    <w:multiLevelType w:val="singleLevel"/>
    <w:tmpl w:val="14FC603C"/>
    <w:lvl w:ilvl="0">
      <w:start w:val="1"/>
      <w:numFmt w:val="bullet"/>
      <w:lvlText w:val=""/>
      <w:lvlJc w:val="left"/>
      <w:pPr>
        <w:tabs>
          <w:tab w:val="num" w:pos="360"/>
        </w:tabs>
        <w:ind w:left="360" w:hanging="360"/>
      </w:pPr>
      <w:rPr>
        <w:rFonts w:ascii="Symbol" w:hAnsi="Symbol" w:hint="default"/>
        <w:sz w:val="20"/>
        <w:szCs w:val="20"/>
      </w:rPr>
    </w:lvl>
  </w:abstractNum>
  <w:abstractNum w:abstractNumId="20">
    <w:nsid w:val="7DBC6988"/>
    <w:multiLevelType w:val="multilevel"/>
    <w:tmpl w:val="3126D656"/>
    <w:lvl w:ilvl="0">
      <w:start w:val="1"/>
      <w:numFmt w:val="decimal"/>
      <w:lvlText w:val="BC%1"/>
      <w:lvlJc w:val="left"/>
      <w:pPr>
        <w:tabs>
          <w:tab w:val="num" w:pos="510"/>
        </w:tabs>
        <w:ind w:left="510" w:hanging="510"/>
      </w:pPr>
      <w:rPr>
        <w:rFonts w:hint="default"/>
        <w:b w:val="0"/>
        <w:bCs w:val="0"/>
        <w:u w:val="none"/>
      </w:rPr>
    </w:lvl>
    <w:lvl w:ilvl="1">
      <w:start w:val="1"/>
      <w:numFmt w:val="lowerLetter"/>
      <w:lvlText w:val="(%2)"/>
      <w:lvlJc w:val="left"/>
      <w:pPr>
        <w:tabs>
          <w:tab w:val="num" w:pos="1021"/>
        </w:tabs>
        <w:ind w:left="1021" w:hanging="511"/>
      </w:pPr>
      <w:rPr>
        <w:rFonts w:hint="default"/>
        <w:b w:val="0"/>
        <w:bCs w:val="0"/>
        <w:u w:val="none"/>
      </w:rPr>
    </w:lvl>
    <w:lvl w:ilvl="2">
      <w:start w:val="1"/>
      <w:numFmt w:val="lowerRoman"/>
      <w:lvlText w:val="(%3)"/>
      <w:lvlJc w:val="left"/>
      <w:pPr>
        <w:tabs>
          <w:tab w:val="num" w:pos="1531"/>
        </w:tabs>
        <w:ind w:left="1531" w:hanging="510"/>
      </w:pPr>
      <w:rPr>
        <w:rFonts w:hint="default"/>
        <w:b w:val="0"/>
        <w:bCs w:val="0"/>
        <w:u w:val="none"/>
      </w:rPr>
    </w:lvl>
    <w:lvl w:ilvl="3">
      <w:start w:val="1"/>
      <w:numFmt w:val="upperLetter"/>
      <w:lvlText w:val="%4"/>
      <w:lvlJc w:val="left"/>
      <w:pPr>
        <w:tabs>
          <w:tab w:val="num" w:pos="2041"/>
        </w:tabs>
        <w:ind w:left="2041" w:hanging="510"/>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num w:numId="1">
    <w:abstractNumId w:val="11"/>
  </w:num>
  <w:num w:numId="2">
    <w:abstractNumId w:val="15"/>
  </w:num>
  <w:num w:numId="3">
    <w:abstractNumId w:val="13"/>
  </w:num>
  <w:num w:numId="4">
    <w:abstractNumId w:val="0"/>
  </w:num>
  <w:num w:numId="5">
    <w:abstractNumId w:val="7"/>
  </w:num>
  <w:num w:numId="6">
    <w:abstractNumId w:val="6"/>
  </w:num>
  <w:num w:numId="7">
    <w:abstractNumId w:val="18"/>
  </w:num>
  <w:num w:numId="8">
    <w:abstractNumId w:val="12"/>
  </w:num>
  <w:num w:numId="9">
    <w:abstractNumId w:val="18"/>
    <w:lvlOverride w:ilvl="0">
      <w:startOverride w:val="1"/>
    </w:lvlOverride>
  </w:num>
  <w:num w:numId="10">
    <w:abstractNumId w:val="3"/>
  </w:num>
  <w:num w:numId="11">
    <w:abstractNumId w:val="18"/>
    <w:lvlOverride w:ilvl="0">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num>
  <w:num w:numId="29">
    <w:abstractNumId w:val="2"/>
  </w:num>
  <w:num w:numId="30">
    <w:abstractNumId w:val="2"/>
  </w:num>
  <w:num w:numId="31">
    <w:abstractNumId w:val="8"/>
  </w:num>
  <w:num w:numId="32">
    <w:abstractNumId w:val="10"/>
  </w:num>
  <w:num w:numId="33">
    <w:abstractNumId w:val="15"/>
  </w:num>
  <w:num w:numId="34">
    <w:abstractNumId w:val="11"/>
  </w:num>
  <w:num w:numId="35">
    <w:abstractNumId w:val="13"/>
  </w:num>
  <w:num w:numId="36">
    <w:abstractNumId w:val="6"/>
  </w:num>
  <w:num w:numId="37">
    <w:abstractNumId w:val="15"/>
  </w:num>
  <w:num w:numId="38">
    <w:abstractNumId w:val="11"/>
  </w:num>
  <w:num w:numId="39">
    <w:abstractNumId w:val="13"/>
  </w:num>
  <w:num w:numId="40">
    <w:abstractNumId w:val="6"/>
  </w:num>
  <w:num w:numId="41">
    <w:abstractNumId w:val="4"/>
  </w:num>
  <w:num w:numId="42">
    <w:abstractNumId w:val="9"/>
  </w:num>
  <w:num w:numId="43">
    <w:abstractNumId w:val="1"/>
  </w:num>
  <w:num w:numId="44">
    <w:abstractNumId w:val="16"/>
  </w:num>
  <w:num w:numId="45">
    <w:abstractNumId w:val="5"/>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intFractionalCharacterWidth/>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32769">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E40"/>
    <w:rsid w:val="0000292B"/>
    <w:rsid w:val="00025835"/>
    <w:rsid w:val="00027E8B"/>
    <w:rsid w:val="00031961"/>
    <w:rsid w:val="00034089"/>
    <w:rsid w:val="000416EA"/>
    <w:rsid w:val="00057593"/>
    <w:rsid w:val="000646A1"/>
    <w:rsid w:val="00074133"/>
    <w:rsid w:val="00090A6F"/>
    <w:rsid w:val="00096027"/>
    <w:rsid w:val="000B5A4C"/>
    <w:rsid w:val="000C1076"/>
    <w:rsid w:val="000C25F6"/>
    <w:rsid w:val="000C3EB0"/>
    <w:rsid w:val="000D7B40"/>
    <w:rsid w:val="000E718B"/>
    <w:rsid w:val="000F64CC"/>
    <w:rsid w:val="00110B96"/>
    <w:rsid w:val="00112DCD"/>
    <w:rsid w:val="001162C5"/>
    <w:rsid w:val="001206CF"/>
    <w:rsid w:val="00120A61"/>
    <w:rsid w:val="00124F2F"/>
    <w:rsid w:val="00150FE4"/>
    <w:rsid w:val="00151AD7"/>
    <w:rsid w:val="001662B8"/>
    <w:rsid w:val="00171F51"/>
    <w:rsid w:val="001761C6"/>
    <w:rsid w:val="0019286F"/>
    <w:rsid w:val="001B33A5"/>
    <w:rsid w:val="001D06D2"/>
    <w:rsid w:val="001F71E2"/>
    <w:rsid w:val="001F78DF"/>
    <w:rsid w:val="00206B19"/>
    <w:rsid w:val="002078D4"/>
    <w:rsid w:val="00234879"/>
    <w:rsid w:val="0028086D"/>
    <w:rsid w:val="00283482"/>
    <w:rsid w:val="0029647E"/>
    <w:rsid w:val="002A201D"/>
    <w:rsid w:val="002B7803"/>
    <w:rsid w:val="002F157B"/>
    <w:rsid w:val="002F1CD0"/>
    <w:rsid w:val="002F6182"/>
    <w:rsid w:val="00304D0B"/>
    <w:rsid w:val="00307F26"/>
    <w:rsid w:val="00320972"/>
    <w:rsid w:val="003214D5"/>
    <w:rsid w:val="003251D8"/>
    <w:rsid w:val="0033581C"/>
    <w:rsid w:val="00345572"/>
    <w:rsid w:val="00357BEE"/>
    <w:rsid w:val="00361257"/>
    <w:rsid w:val="00364B30"/>
    <w:rsid w:val="00367DC9"/>
    <w:rsid w:val="00372B83"/>
    <w:rsid w:val="0037433E"/>
    <w:rsid w:val="00377B8D"/>
    <w:rsid w:val="00380D5A"/>
    <w:rsid w:val="00382796"/>
    <w:rsid w:val="0039009E"/>
    <w:rsid w:val="003A488F"/>
    <w:rsid w:val="003B0CAA"/>
    <w:rsid w:val="003B0E71"/>
    <w:rsid w:val="003B65B6"/>
    <w:rsid w:val="003D1DD4"/>
    <w:rsid w:val="003D3BE2"/>
    <w:rsid w:val="003D5273"/>
    <w:rsid w:val="003E0A68"/>
    <w:rsid w:val="003E3CE9"/>
    <w:rsid w:val="00401ECA"/>
    <w:rsid w:val="004150BD"/>
    <w:rsid w:val="0042292B"/>
    <w:rsid w:val="00423201"/>
    <w:rsid w:val="00423716"/>
    <w:rsid w:val="00426876"/>
    <w:rsid w:val="0042795F"/>
    <w:rsid w:val="00433D77"/>
    <w:rsid w:val="00434D86"/>
    <w:rsid w:val="00436A2D"/>
    <w:rsid w:val="0044702C"/>
    <w:rsid w:val="004528D9"/>
    <w:rsid w:val="00460FBB"/>
    <w:rsid w:val="00470CE9"/>
    <w:rsid w:val="0047683E"/>
    <w:rsid w:val="00487CF6"/>
    <w:rsid w:val="00495DAD"/>
    <w:rsid w:val="004961F8"/>
    <w:rsid w:val="004A417F"/>
    <w:rsid w:val="004B736C"/>
    <w:rsid w:val="004C5BDE"/>
    <w:rsid w:val="004D3809"/>
    <w:rsid w:val="004D4D1C"/>
    <w:rsid w:val="004D5E72"/>
    <w:rsid w:val="004D7F37"/>
    <w:rsid w:val="004F55FE"/>
    <w:rsid w:val="00511C34"/>
    <w:rsid w:val="00514DE0"/>
    <w:rsid w:val="005166B2"/>
    <w:rsid w:val="0053452C"/>
    <w:rsid w:val="00535EC5"/>
    <w:rsid w:val="0056274D"/>
    <w:rsid w:val="00577065"/>
    <w:rsid w:val="0058004D"/>
    <w:rsid w:val="00590051"/>
    <w:rsid w:val="005A406C"/>
    <w:rsid w:val="005B146F"/>
    <w:rsid w:val="005B1505"/>
    <w:rsid w:val="005B18B4"/>
    <w:rsid w:val="005B335B"/>
    <w:rsid w:val="005D319B"/>
    <w:rsid w:val="005E6BE4"/>
    <w:rsid w:val="005F6727"/>
    <w:rsid w:val="00602261"/>
    <w:rsid w:val="00602F0F"/>
    <w:rsid w:val="006243C4"/>
    <w:rsid w:val="006264A6"/>
    <w:rsid w:val="00641282"/>
    <w:rsid w:val="00652DF8"/>
    <w:rsid w:val="00667869"/>
    <w:rsid w:val="00692A2D"/>
    <w:rsid w:val="006A3AE9"/>
    <w:rsid w:val="006A40E5"/>
    <w:rsid w:val="006B0CD6"/>
    <w:rsid w:val="006B4896"/>
    <w:rsid w:val="006C2E37"/>
    <w:rsid w:val="006C2E9B"/>
    <w:rsid w:val="006D055E"/>
    <w:rsid w:val="006D134A"/>
    <w:rsid w:val="006D4E6D"/>
    <w:rsid w:val="006D7679"/>
    <w:rsid w:val="006E2C39"/>
    <w:rsid w:val="006E4331"/>
    <w:rsid w:val="00714340"/>
    <w:rsid w:val="007237ED"/>
    <w:rsid w:val="00725942"/>
    <w:rsid w:val="007333C2"/>
    <w:rsid w:val="00737714"/>
    <w:rsid w:val="00742E4B"/>
    <w:rsid w:val="007455F0"/>
    <w:rsid w:val="00751F6A"/>
    <w:rsid w:val="007554ED"/>
    <w:rsid w:val="00755E40"/>
    <w:rsid w:val="00756FF6"/>
    <w:rsid w:val="0076127E"/>
    <w:rsid w:val="00777914"/>
    <w:rsid w:val="0078116B"/>
    <w:rsid w:val="007A6BC3"/>
    <w:rsid w:val="007F1D3D"/>
    <w:rsid w:val="00812637"/>
    <w:rsid w:val="00813227"/>
    <w:rsid w:val="00814B34"/>
    <w:rsid w:val="00820794"/>
    <w:rsid w:val="008220F0"/>
    <w:rsid w:val="00831497"/>
    <w:rsid w:val="008336EA"/>
    <w:rsid w:val="0083541F"/>
    <w:rsid w:val="008459E8"/>
    <w:rsid w:val="0086499D"/>
    <w:rsid w:val="00864ADE"/>
    <w:rsid w:val="00871A12"/>
    <w:rsid w:val="00881BBE"/>
    <w:rsid w:val="008856E4"/>
    <w:rsid w:val="00890F06"/>
    <w:rsid w:val="008A6182"/>
    <w:rsid w:val="008B1D94"/>
    <w:rsid w:val="008B5A1E"/>
    <w:rsid w:val="008B643A"/>
    <w:rsid w:val="008C60B1"/>
    <w:rsid w:val="008C6BD0"/>
    <w:rsid w:val="008D2EBD"/>
    <w:rsid w:val="008E5A73"/>
    <w:rsid w:val="008F0A81"/>
    <w:rsid w:val="008F5963"/>
    <w:rsid w:val="00923261"/>
    <w:rsid w:val="009256B7"/>
    <w:rsid w:val="00970C7A"/>
    <w:rsid w:val="009721DB"/>
    <w:rsid w:val="00990C28"/>
    <w:rsid w:val="009A36D3"/>
    <w:rsid w:val="009B6535"/>
    <w:rsid w:val="009C2479"/>
    <w:rsid w:val="009C5EA9"/>
    <w:rsid w:val="009D06F8"/>
    <w:rsid w:val="00A05041"/>
    <w:rsid w:val="00A13F82"/>
    <w:rsid w:val="00A16664"/>
    <w:rsid w:val="00A4028D"/>
    <w:rsid w:val="00A41ED3"/>
    <w:rsid w:val="00A446BE"/>
    <w:rsid w:val="00A47FA2"/>
    <w:rsid w:val="00A56B91"/>
    <w:rsid w:val="00A70A9D"/>
    <w:rsid w:val="00A71733"/>
    <w:rsid w:val="00A748BA"/>
    <w:rsid w:val="00A83862"/>
    <w:rsid w:val="00A8486C"/>
    <w:rsid w:val="00A97EB2"/>
    <w:rsid w:val="00AA14A9"/>
    <w:rsid w:val="00AB780A"/>
    <w:rsid w:val="00AC4315"/>
    <w:rsid w:val="00AD42DA"/>
    <w:rsid w:val="00AE5C44"/>
    <w:rsid w:val="00AF449F"/>
    <w:rsid w:val="00AF61B8"/>
    <w:rsid w:val="00B110AD"/>
    <w:rsid w:val="00B271BA"/>
    <w:rsid w:val="00B27C68"/>
    <w:rsid w:val="00B3429E"/>
    <w:rsid w:val="00B508DC"/>
    <w:rsid w:val="00B52D62"/>
    <w:rsid w:val="00B67E69"/>
    <w:rsid w:val="00B74237"/>
    <w:rsid w:val="00BA1D09"/>
    <w:rsid w:val="00BA3AB4"/>
    <w:rsid w:val="00BA4622"/>
    <w:rsid w:val="00BB4C9F"/>
    <w:rsid w:val="00BC0794"/>
    <w:rsid w:val="00BC0D40"/>
    <w:rsid w:val="00BC0D5D"/>
    <w:rsid w:val="00BD25EA"/>
    <w:rsid w:val="00BD2777"/>
    <w:rsid w:val="00BD35CA"/>
    <w:rsid w:val="00BE2F68"/>
    <w:rsid w:val="00BE38FC"/>
    <w:rsid w:val="00BE7287"/>
    <w:rsid w:val="00BF5E40"/>
    <w:rsid w:val="00C11344"/>
    <w:rsid w:val="00C2625C"/>
    <w:rsid w:val="00C30419"/>
    <w:rsid w:val="00C305DB"/>
    <w:rsid w:val="00C3493B"/>
    <w:rsid w:val="00C37458"/>
    <w:rsid w:val="00C405E5"/>
    <w:rsid w:val="00C438DD"/>
    <w:rsid w:val="00C43CD1"/>
    <w:rsid w:val="00C444C3"/>
    <w:rsid w:val="00C45020"/>
    <w:rsid w:val="00C5022C"/>
    <w:rsid w:val="00C5446C"/>
    <w:rsid w:val="00C552FD"/>
    <w:rsid w:val="00C63573"/>
    <w:rsid w:val="00C82B21"/>
    <w:rsid w:val="00C95D8A"/>
    <w:rsid w:val="00CA0F69"/>
    <w:rsid w:val="00CB59FF"/>
    <w:rsid w:val="00CB719A"/>
    <w:rsid w:val="00CC6FCD"/>
    <w:rsid w:val="00CD5D1C"/>
    <w:rsid w:val="00CE2F8C"/>
    <w:rsid w:val="00CF75CA"/>
    <w:rsid w:val="00CF7B67"/>
    <w:rsid w:val="00D00FD5"/>
    <w:rsid w:val="00D27E2D"/>
    <w:rsid w:val="00D31A41"/>
    <w:rsid w:val="00D363D5"/>
    <w:rsid w:val="00D52086"/>
    <w:rsid w:val="00D54F5C"/>
    <w:rsid w:val="00D67336"/>
    <w:rsid w:val="00D74038"/>
    <w:rsid w:val="00D80680"/>
    <w:rsid w:val="00D942EB"/>
    <w:rsid w:val="00D96A64"/>
    <w:rsid w:val="00D9758D"/>
    <w:rsid w:val="00DA2A7B"/>
    <w:rsid w:val="00DC7E1B"/>
    <w:rsid w:val="00DD1DDC"/>
    <w:rsid w:val="00DD7E7A"/>
    <w:rsid w:val="00DF39E3"/>
    <w:rsid w:val="00E06C2F"/>
    <w:rsid w:val="00E24399"/>
    <w:rsid w:val="00E274C6"/>
    <w:rsid w:val="00E30AC3"/>
    <w:rsid w:val="00E41399"/>
    <w:rsid w:val="00E63279"/>
    <w:rsid w:val="00E74BD5"/>
    <w:rsid w:val="00E7592A"/>
    <w:rsid w:val="00E803B7"/>
    <w:rsid w:val="00E839DA"/>
    <w:rsid w:val="00E90B4F"/>
    <w:rsid w:val="00E915E3"/>
    <w:rsid w:val="00E94DA2"/>
    <w:rsid w:val="00E97B4B"/>
    <w:rsid w:val="00EA19E2"/>
    <w:rsid w:val="00EB3916"/>
    <w:rsid w:val="00EB4756"/>
    <w:rsid w:val="00EB6D9B"/>
    <w:rsid w:val="00EC4AFD"/>
    <w:rsid w:val="00ED06E4"/>
    <w:rsid w:val="00ED2368"/>
    <w:rsid w:val="00EE2509"/>
    <w:rsid w:val="00EE3D03"/>
    <w:rsid w:val="00EE40F9"/>
    <w:rsid w:val="00EE740D"/>
    <w:rsid w:val="00F0260C"/>
    <w:rsid w:val="00F14BDB"/>
    <w:rsid w:val="00F2677A"/>
    <w:rsid w:val="00F27D29"/>
    <w:rsid w:val="00F424C9"/>
    <w:rsid w:val="00F5603D"/>
    <w:rsid w:val="00F56C28"/>
    <w:rsid w:val="00F6116A"/>
    <w:rsid w:val="00F66B41"/>
    <w:rsid w:val="00F93C58"/>
    <w:rsid w:val="00F970FB"/>
    <w:rsid w:val="00FB39CB"/>
    <w:rsid w:val="00FC2254"/>
    <w:rsid w:val="00FC64EE"/>
    <w:rsid w:val="00FF64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45"/>
      </w:numPr>
      <w:spacing w:after="200"/>
    </w:pPr>
  </w:style>
  <w:style w:type="paragraph" w:customStyle="1" w:styleId="NoNumPlain1">
    <w:name w:val="NoNum Plain1"/>
    <w:basedOn w:val="Normal"/>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qFormat/>
    <w:rsid w:val="00426876"/>
    <w:pPr>
      <w:numPr>
        <w:numId w:val="16"/>
      </w:numPr>
      <w:spacing w:after="2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44"/>
      </w:numPr>
      <w:spacing w:after="200"/>
    </w:pPr>
  </w:style>
  <w:style w:type="paragraph" w:customStyle="1" w:styleId="Bullet2">
    <w:name w:val="Bullet2"/>
    <w:basedOn w:val="Normal"/>
    <w:rsid w:val="00F27D29"/>
    <w:pPr>
      <w:numPr>
        <w:ilvl w:val="1"/>
        <w:numId w:val="44"/>
      </w:numPr>
      <w:spacing w:after="200"/>
    </w:pPr>
  </w:style>
  <w:style w:type="paragraph" w:customStyle="1" w:styleId="Bullet3">
    <w:name w:val="Bullet3"/>
    <w:basedOn w:val="Normal"/>
    <w:rsid w:val="00F27D29"/>
    <w:pPr>
      <w:numPr>
        <w:ilvl w:val="2"/>
        <w:numId w:val="44"/>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44"/>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C5022C"/>
    <w:rPr>
      <w:sz w:val="40"/>
      <w:szCs w:val="40"/>
    </w:rPr>
  </w:style>
  <w:style w:type="paragraph" w:customStyle="1" w:styleId="NumberedList">
    <w:name w:val="NumberedList"/>
    <w:basedOn w:val="Normal"/>
    <w:qFormat/>
    <w:rsid w:val="00401ECA"/>
    <w:pPr>
      <w:numPr>
        <w:numId w:val="24"/>
      </w:numPr>
      <w:spacing w:after="2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30"/>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41"/>
      </w:numPr>
    </w:pPr>
  </w:style>
  <w:style w:type="paragraph" w:customStyle="1" w:styleId="NumPlainA2">
    <w:name w:val="Num PlainA2"/>
    <w:basedOn w:val="NumPlainA"/>
    <w:rsid w:val="00171F51"/>
    <w:pPr>
      <w:numPr>
        <w:ilvl w:val="1"/>
      </w:numPr>
      <w:outlineLvl w:val="1"/>
    </w:pPr>
  </w:style>
  <w:style w:type="paragraph" w:styleId="NormalWeb">
    <w:name w:val="Normal (Web)"/>
    <w:basedOn w:val="Normal"/>
    <w:uiPriority w:val="99"/>
    <w:unhideWhenUsed/>
    <w:rsid w:val="00034089"/>
    <w:pPr>
      <w:spacing w:before="100" w:beforeAutospacing="1" w:after="100" w:afterAutospacing="1" w:line="240" w:lineRule="auto"/>
    </w:pPr>
    <w:rPr>
      <w:sz w:val="24"/>
      <w:szCs w:val="24"/>
      <w:lang w:eastAsia="en-AU"/>
    </w:rPr>
  </w:style>
  <w:style w:type="character" w:styleId="FootnoteReference">
    <w:name w:val="footnote reference"/>
    <w:basedOn w:val="DefaultParagraphFont"/>
    <w:rsid w:val="006264A6"/>
    <w:rPr>
      <w:vertAlign w:val="superscript"/>
    </w:rPr>
  </w:style>
  <w:style w:type="character" w:customStyle="1" w:styleId="HeaderChar">
    <w:name w:val="Header Char"/>
    <w:basedOn w:val="DefaultParagraphFont"/>
    <w:link w:val="Header"/>
    <w:rsid w:val="00E803B7"/>
    <w:rPr>
      <w:lang w:eastAsia="en-US"/>
    </w:rPr>
  </w:style>
  <w:style w:type="paragraph" w:styleId="BalloonText">
    <w:name w:val="Balloon Text"/>
    <w:basedOn w:val="Normal"/>
    <w:link w:val="BalloonTextChar"/>
    <w:rsid w:val="008220F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220F0"/>
    <w:rPr>
      <w:rFonts w:ascii="Tahoma" w:hAnsi="Tahoma" w:cs="Tahoma"/>
      <w:sz w:val="16"/>
      <w:szCs w:val="16"/>
      <w:lang w:eastAsia="en-US"/>
    </w:rPr>
  </w:style>
  <w:style w:type="paragraph" w:customStyle="1" w:styleId="TextPara">
    <w:name w:val="Text Para"/>
    <w:basedOn w:val="Normal"/>
    <w:rsid w:val="00D27E2D"/>
    <w:pPr>
      <w:spacing w:after="200"/>
    </w:pPr>
  </w:style>
  <w:style w:type="character" w:customStyle="1" w:styleId="FootnoteTextChar">
    <w:name w:val="Footnote Text Char"/>
    <w:basedOn w:val="DefaultParagraphFont"/>
    <w:link w:val="FootnoteText"/>
    <w:semiHidden/>
    <w:rsid w:val="00D27E2D"/>
    <w:rPr>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45"/>
      </w:numPr>
      <w:spacing w:after="200"/>
    </w:pPr>
  </w:style>
  <w:style w:type="paragraph" w:customStyle="1" w:styleId="NoNumPlain1">
    <w:name w:val="NoNum Plain1"/>
    <w:basedOn w:val="Normal"/>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qFormat/>
    <w:rsid w:val="00426876"/>
    <w:pPr>
      <w:numPr>
        <w:numId w:val="16"/>
      </w:numPr>
      <w:spacing w:after="2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44"/>
      </w:numPr>
      <w:spacing w:after="200"/>
    </w:pPr>
  </w:style>
  <w:style w:type="paragraph" w:customStyle="1" w:styleId="Bullet2">
    <w:name w:val="Bullet2"/>
    <w:basedOn w:val="Normal"/>
    <w:rsid w:val="00F27D29"/>
    <w:pPr>
      <w:numPr>
        <w:ilvl w:val="1"/>
        <w:numId w:val="44"/>
      </w:numPr>
      <w:spacing w:after="200"/>
    </w:pPr>
  </w:style>
  <w:style w:type="paragraph" w:customStyle="1" w:styleId="Bullet3">
    <w:name w:val="Bullet3"/>
    <w:basedOn w:val="Normal"/>
    <w:rsid w:val="00F27D29"/>
    <w:pPr>
      <w:numPr>
        <w:ilvl w:val="2"/>
        <w:numId w:val="44"/>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44"/>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C5022C"/>
    <w:rPr>
      <w:sz w:val="40"/>
      <w:szCs w:val="40"/>
    </w:rPr>
  </w:style>
  <w:style w:type="paragraph" w:customStyle="1" w:styleId="NumberedList">
    <w:name w:val="NumberedList"/>
    <w:basedOn w:val="Normal"/>
    <w:qFormat/>
    <w:rsid w:val="00401ECA"/>
    <w:pPr>
      <w:numPr>
        <w:numId w:val="24"/>
      </w:numPr>
      <w:spacing w:after="2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30"/>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41"/>
      </w:numPr>
    </w:pPr>
  </w:style>
  <w:style w:type="paragraph" w:customStyle="1" w:styleId="NumPlainA2">
    <w:name w:val="Num PlainA2"/>
    <w:basedOn w:val="NumPlainA"/>
    <w:rsid w:val="00171F51"/>
    <w:pPr>
      <w:numPr>
        <w:ilvl w:val="1"/>
      </w:numPr>
      <w:outlineLvl w:val="1"/>
    </w:pPr>
  </w:style>
  <w:style w:type="paragraph" w:styleId="NormalWeb">
    <w:name w:val="Normal (Web)"/>
    <w:basedOn w:val="Normal"/>
    <w:uiPriority w:val="99"/>
    <w:unhideWhenUsed/>
    <w:rsid w:val="00034089"/>
    <w:pPr>
      <w:spacing w:before="100" w:beforeAutospacing="1" w:after="100" w:afterAutospacing="1" w:line="240" w:lineRule="auto"/>
    </w:pPr>
    <w:rPr>
      <w:sz w:val="24"/>
      <w:szCs w:val="24"/>
      <w:lang w:eastAsia="en-AU"/>
    </w:rPr>
  </w:style>
  <w:style w:type="character" w:styleId="FootnoteReference">
    <w:name w:val="footnote reference"/>
    <w:basedOn w:val="DefaultParagraphFont"/>
    <w:rsid w:val="006264A6"/>
    <w:rPr>
      <w:vertAlign w:val="superscript"/>
    </w:rPr>
  </w:style>
  <w:style w:type="character" w:customStyle="1" w:styleId="HeaderChar">
    <w:name w:val="Header Char"/>
    <w:basedOn w:val="DefaultParagraphFont"/>
    <w:link w:val="Header"/>
    <w:rsid w:val="00E803B7"/>
    <w:rPr>
      <w:lang w:eastAsia="en-US"/>
    </w:rPr>
  </w:style>
  <w:style w:type="paragraph" w:styleId="BalloonText">
    <w:name w:val="Balloon Text"/>
    <w:basedOn w:val="Normal"/>
    <w:link w:val="BalloonTextChar"/>
    <w:rsid w:val="008220F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220F0"/>
    <w:rPr>
      <w:rFonts w:ascii="Tahoma" w:hAnsi="Tahoma" w:cs="Tahoma"/>
      <w:sz w:val="16"/>
      <w:szCs w:val="16"/>
      <w:lang w:eastAsia="en-US"/>
    </w:rPr>
  </w:style>
  <w:style w:type="paragraph" w:customStyle="1" w:styleId="TextPara">
    <w:name w:val="Text Para"/>
    <w:basedOn w:val="Normal"/>
    <w:rsid w:val="00D27E2D"/>
    <w:pPr>
      <w:spacing w:after="200"/>
    </w:pPr>
  </w:style>
  <w:style w:type="character" w:customStyle="1" w:styleId="FootnoteTextChar">
    <w:name w:val="Footnote Text Char"/>
    <w:basedOn w:val="DefaultParagraphFont"/>
    <w:link w:val="FootnoteText"/>
    <w:semiHidden/>
    <w:rsid w:val="00D27E2D"/>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apollo\AA-Templates-2010\WordGlobal\Amending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7FB9D-ABDA-48E9-84D5-0A4D1BCCA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AmendingStandard.dotx</Template>
  <TotalTime>20</TotalTime>
  <Pages>10</Pages>
  <Words>1692</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Amending Standard</vt:lpstr>
    </vt:vector>
  </TitlesOfParts>
  <Company>Australian Accounting Standards Board</Company>
  <LinksUpToDate>false</LinksUpToDate>
  <CharactersWithSpaces>11797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dc:title>
  <dc:creator>Angus Thomson</dc:creator>
  <cp:lastModifiedBy>Angus Thomson</cp:lastModifiedBy>
  <cp:revision>9</cp:revision>
  <cp:lastPrinted>2011-06-28T22:53:00Z</cp:lastPrinted>
  <dcterms:created xsi:type="dcterms:W3CDTF">2011-07-05T01:57:00Z</dcterms:created>
  <dcterms:modified xsi:type="dcterms:W3CDTF">2011-07-06T05:12:00Z</dcterms:modified>
</cp:coreProperties>
</file>