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C9" w:rsidRPr="006E210A" w:rsidRDefault="00680CC9" w:rsidP="00680CC9">
      <w:pPr>
        <w:pStyle w:val="CoverTitle"/>
        <w:jc w:val="center"/>
      </w:pPr>
      <w:r w:rsidRPr="006E210A">
        <w:t>Regulation Impact Statement</w:t>
      </w:r>
    </w:p>
    <w:p w:rsidR="00680CC9" w:rsidRPr="006E210A" w:rsidRDefault="00680CC9" w:rsidP="00680CC9">
      <w:pPr>
        <w:pStyle w:val="CoverTitle"/>
        <w:jc w:val="center"/>
      </w:pPr>
    </w:p>
    <w:p w:rsidR="00680CC9" w:rsidRPr="00081649" w:rsidRDefault="006661E4" w:rsidP="00680CC9">
      <w:pPr>
        <w:pStyle w:val="CoverTitle"/>
        <w:jc w:val="center"/>
        <w:rPr>
          <w:sz w:val="32"/>
          <w:szCs w:val="32"/>
        </w:rPr>
      </w:pPr>
      <w:r>
        <w:rPr>
          <w:sz w:val="32"/>
          <w:szCs w:val="32"/>
        </w:rPr>
        <w:t>Removal of Individual Key Management Personnel Disclosures</w:t>
      </w:r>
    </w:p>
    <w:p w:rsidR="00680CC9" w:rsidRPr="006E210A" w:rsidRDefault="003815E0" w:rsidP="005D3F71">
      <w:pPr>
        <w:pStyle w:val="CoverDate"/>
        <w:tabs>
          <w:tab w:val="left" w:pos="3794"/>
          <w:tab w:val="left" w:pos="6232"/>
        </w:tabs>
        <w:spacing w:before="1800"/>
        <w:rPr>
          <w:b/>
          <w:sz w:val="28"/>
          <w:szCs w:val="28"/>
        </w:rPr>
      </w:pPr>
      <w:r>
        <w:rPr>
          <w:b/>
          <w:sz w:val="28"/>
          <w:szCs w:val="28"/>
        </w:rPr>
        <w:t>July</w:t>
      </w:r>
      <w:r w:rsidR="006661E4">
        <w:rPr>
          <w:b/>
          <w:sz w:val="28"/>
          <w:szCs w:val="28"/>
        </w:rPr>
        <w:t xml:space="preserve"> 2011</w:t>
      </w:r>
    </w:p>
    <w:p w:rsidR="00680CC9" w:rsidRPr="006E210A" w:rsidRDefault="0063750B" w:rsidP="00680CC9">
      <w:r>
        <w:rPr>
          <w:noProof/>
          <w:lang w:eastAsia="en-AU"/>
        </w:rPr>
        <w:drawing>
          <wp:anchor distT="0" distB="0" distL="114300" distR="114300" simplePos="0" relativeHeight="251659264" behindDoc="0" locked="1" layoutInCell="1" allowOverlap="1" wp14:anchorId="7E3501F6" wp14:editId="52992E6E">
            <wp:simplePos x="0" y="0"/>
            <wp:positionH relativeFrom="page">
              <wp:posOffset>1916430</wp:posOffset>
            </wp:positionH>
            <wp:positionV relativeFrom="page">
              <wp:posOffset>7425055</wp:posOffset>
            </wp:positionV>
            <wp:extent cx="1676400" cy="1333500"/>
            <wp:effectExtent l="0" t="0" r="0" b="0"/>
            <wp:wrapNone/>
            <wp:docPr id="5" name="Picture 5" descr="AAS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CC9" w:rsidRPr="006E210A" w:rsidRDefault="00680CC9" w:rsidP="00680CC9">
      <w:pPr>
        <w:spacing w:line="240" w:lineRule="auto"/>
        <w:sectPr w:rsidR="00680CC9" w:rsidRPr="006E210A">
          <w:headerReference w:type="default" r:id="rId10"/>
          <w:pgSz w:w="11907" w:h="16840"/>
          <w:pgMar w:top="3686" w:right="2835" w:bottom="3686" w:left="2835" w:header="720" w:footer="3255" w:gutter="0"/>
          <w:paperSrc w:first="58" w:other="58"/>
          <w:cols w:space="720"/>
        </w:sectPr>
      </w:pPr>
    </w:p>
    <w:p w:rsidR="00437B53" w:rsidRPr="006E210A" w:rsidRDefault="00E626D4" w:rsidP="001416E6">
      <w:pPr>
        <w:pStyle w:val="TopHeading1"/>
        <w:ind w:left="1134"/>
        <w:jc w:val="left"/>
      </w:pPr>
      <w:r w:rsidRPr="006E210A">
        <w:rPr>
          <w:caps w:val="0"/>
        </w:rPr>
        <w:lastRenderedPageBreak/>
        <w:t>Regulation Impact Statement</w:t>
      </w:r>
    </w:p>
    <w:p w:rsidR="008212CA" w:rsidRPr="00081649" w:rsidRDefault="002126C6" w:rsidP="002126C6">
      <w:pPr>
        <w:spacing w:line="240" w:lineRule="auto"/>
        <w:ind w:right="-4"/>
        <w:jc w:val="center"/>
        <w:rPr>
          <w:iCs/>
          <w:sz w:val="24"/>
          <w:szCs w:val="24"/>
        </w:rPr>
      </w:pPr>
      <w:r>
        <w:rPr>
          <w:b/>
          <w:bCs/>
          <w:iCs/>
          <w:sz w:val="24"/>
          <w:szCs w:val="24"/>
        </w:rPr>
        <w:t>Removal of Individual Key Management Personnel Disclosure Requirements</w:t>
      </w:r>
    </w:p>
    <w:p w:rsidR="00B35190" w:rsidRDefault="00B35190" w:rsidP="003B3343">
      <w:pPr>
        <w:pStyle w:val="TopHeading2"/>
        <w:rPr>
          <w:sz w:val="24"/>
          <w:szCs w:val="24"/>
        </w:rPr>
      </w:pPr>
    </w:p>
    <w:p w:rsidR="003B3343" w:rsidRPr="003413D5" w:rsidRDefault="003B3343" w:rsidP="003B3343">
      <w:pPr>
        <w:pStyle w:val="TopHeading2"/>
        <w:rPr>
          <w:sz w:val="24"/>
          <w:szCs w:val="24"/>
        </w:rPr>
      </w:pPr>
      <w:r w:rsidRPr="003413D5">
        <w:rPr>
          <w:sz w:val="24"/>
          <w:szCs w:val="24"/>
        </w:rPr>
        <w:t>Background</w:t>
      </w:r>
    </w:p>
    <w:p w:rsidR="00B37519" w:rsidRPr="006E210A" w:rsidRDefault="00B37519" w:rsidP="0054000A">
      <w:pPr>
        <w:pStyle w:val="TextPara"/>
      </w:pPr>
      <w:r w:rsidRPr="006E210A">
        <w:t xml:space="preserve">Under section 227(1) of the </w:t>
      </w:r>
      <w:r w:rsidRPr="006E210A">
        <w:rPr>
          <w:i/>
          <w:iCs/>
        </w:rPr>
        <w:t>Australian Securities and Investments Commission Act 2001</w:t>
      </w:r>
      <w:r w:rsidRPr="006E210A">
        <w:t xml:space="preserve"> (ASIC Act), the functions of the </w:t>
      </w:r>
      <w:r w:rsidR="000B7C6F">
        <w:t>Australian Accounting Standards Board (</w:t>
      </w:r>
      <w:r w:rsidRPr="006E210A">
        <w:t>AASB</w:t>
      </w:r>
      <w:r w:rsidR="000B7C6F">
        <w:t>)</w:t>
      </w:r>
      <w:r w:rsidRPr="006E210A">
        <w:t xml:space="preserve"> are to:</w:t>
      </w:r>
    </w:p>
    <w:p w:rsidR="00B37519" w:rsidRPr="006E210A" w:rsidRDefault="00B37519" w:rsidP="00B37519">
      <w:pPr>
        <w:pStyle w:val="TextPoint"/>
      </w:pPr>
      <w:r w:rsidRPr="006E210A">
        <w:sym w:font="Symbol" w:char="F0B7"/>
      </w:r>
      <w:r w:rsidRPr="006E210A">
        <w:tab/>
        <w:t>develop a conceptual framework, not having the force of an accounting standard, for the purpose of evaluating proposed accounting standards and international standards;</w:t>
      </w:r>
    </w:p>
    <w:p w:rsidR="00B37519" w:rsidRPr="006E210A" w:rsidRDefault="00B37519" w:rsidP="00B37519">
      <w:pPr>
        <w:pStyle w:val="TextPoint"/>
      </w:pPr>
      <w:r w:rsidRPr="006E210A">
        <w:sym w:font="Symbol" w:char="F0B7"/>
      </w:r>
      <w:r w:rsidRPr="006E210A">
        <w:tab/>
        <w:t xml:space="preserve">make accounting standards under section 334 of the </w:t>
      </w:r>
      <w:r w:rsidRPr="006E210A">
        <w:rPr>
          <w:i/>
          <w:iCs/>
        </w:rPr>
        <w:t>Corporations Act</w:t>
      </w:r>
      <w:r w:rsidRPr="006E210A">
        <w:t xml:space="preserve"> for the purposes of the </w:t>
      </w:r>
      <w:proofErr w:type="gramStart"/>
      <w:r w:rsidRPr="006E210A">
        <w:t>corporations</w:t>
      </w:r>
      <w:proofErr w:type="gramEnd"/>
      <w:r w:rsidRPr="006E210A">
        <w:t xml:space="preserve"> legislation;</w:t>
      </w:r>
    </w:p>
    <w:p w:rsidR="00B37519" w:rsidRPr="006E210A" w:rsidRDefault="00B37519" w:rsidP="00B37519">
      <w:pPr>
        <w:pStyle w:val="TextPoint"/>
      </w:pPr>
      <w:r w:rsidRPr="006E210A">
        <w:sym w:font="Symbol" w:char="F0B7"/>
      </w:r>
      <w:r w:rsidRPr="006E210A">
        <w:tab/>
        <w:t>formulate accounting standards for other purposes; and</w:t>
      </w:r>
    </w:p>
    <w:p w:rsidR="00B37519" w:rsidRPr="006E210A" w:rsidRDefault="00B37519" w:rsidP="00B37519">
      <w:pPr>
        <w:pStyle w:val="TextPoint"/>
      </w:pPr>
      <w:r w:rsidRPr="006E210A">
        <w:sym w:font="Symbol" w:char="F0B7"/>
      </w:r>
      <w:r w:rsidRPr="006E210A">
        <w:tab/>
        <w:t>participate in and contribute to the development of a single set of accounting standards for world-wide use having regard to the interests of Australian corporations that raise or propose to raise capital in major international financial centres.</w:t>
      </w:r>
    </w:p>
    <w:p w:rsidR="00150F8F" w:rsidRPr="006E210A" w:rsidRDefault="00412EF9" w:rsidP="00412EF9">
      <w:pPr>
        <w:pStyle w:val="TextPara"/>
      </w:pPr>
      <w:r>
        <w:t>In general, t</w:t>
      </w:r>
      <w:r w:rsidR="00437B53" w:rsidRPr="006E210A">
        <w:t>he AASB issu</w:t>
      </w:r>
      <w:r w:rsidR="00B37519">
        <w:t>es</w:t>
      </w:r>
      <w:r w:rsidR="00437B53" w:rsidRPr="006E210A">
        <w:t xml:space="preserve"> Australian </w:t>
      </w:r>
      <w:r w:rsidR="00FA7477">
        <w:t>Accounting</w:t>
      </w:r>
      <w:r w:rsidR="00B37519">
        <w:t xml:space="preserve"> </w:t>
      </w:r>
      <w:r w:rsidR="00FA7477">
        <w:t>Standards</w:t>
      </w:r>
      <w:r w:rsidR="00B37519">
        <w:t xml:space="preserve"> that incorporate International Financial Reporting </w:t>
      </w:r>
      <w:r w:rsidR="00FA7477">
        <w:t>Standards</w:t>
      </w:r>
      <w:r w:rsidR="00B37519">
        <w:t xml:space="preserve"> (IFRSs) issued by the International </w:t>
      </w:r>
      <w:r w:rsidR="00FA7477">
        <w:t>Accounting</w:t>
      </w:r>
      <w:r w:rsidR="00B37519">
        <w:t xml:space="preserve"> </w:t>
      </w:r>
      <w:r w:rsidR="00FA7477">
        <w:t>Standards</w:t>
      </w:r>
      <w:r w:rsidR="00B37519">
        <w:t xml:space="preserve"> Board (</w:t>
      </w:r>
      <w:r w:rsidR="00437B53" w:rsidRPr="006E210A">
        <w:t>IASB</w:t>
      </w:r>
      <w:r w:rsidR="00B37519">
        <w:t>).</w:t>
      </w:r>
      <w:r w:rsidR="00437B53" w:rsidRPr="006E210A">
        <w:t xml:space="preserve"> </w:t>
      </w:r>
    </w:p>
    <w:p w:rsidR="00150F8F" w:rsidRPr="006E210A" w:rsidRDefault="00437B53" w:rsidP="00B37519">
      <w:pPr>
        <w:pStyle w:val="TextPara"/>
      </w:pPr>
      <w:r w:rsidRPr="006E210A">
        <w:t>The AASB issue</w:t>
      </w:r>
      <w:r w:rsidR="00B37519">
        <w:t>s</w:t>
      </w:r>
      <w:r w:rsidRPr="006E210A">
        <w:t xml:space="preserve"> one series of Standards applicable to both for-profit and not-for-profit entities, including public sector entities. </w:t>
      </w:r>
      <w:r w:rsidR="00FD5884">
        <w:t xml:space="preserve"> </w:t>
      </w:r>
    </w:p>
    <w:p w:rsidR="006661E4" w:rsidRDefault="002126C6" w:rsidP="00DE0020">
      <w:pPr>
        <w:pStyle w:val="TextPara"/>
      </w:pPr>
      <w:r w:rsidRPr="00EB3916">
        <w:t>The AASB includes some disclosure requirements that are in addition to the IFRSs, but aims to keep these to a minimum on the basis that the IFRSs represent best international practice for general purpose financial reporting of publicly accountable for-profit entities</w:t>
      </w:r>
      <w:r w:rsidR="006661E4">
        <w:t>.</w:t>
      </w:r>
    </w:p>
    <w:p w:rsidR="00437B53" w:rsidRPr="00482A4F" w:rsidRDefault="002126C6" w:rsidP="00596B7E">
      <w:pPr>
        <w:pStyle w:val="TopHeading2"/>
        <w:keepNext/>
        <w:spacing w:before="200"/>
        <w:ind w:left="709" w:hanging="709"/>
        <w:rPr>
          <w:sz w:val="24"/>
          <w:szCs w:val="24"/>
        </w:rPr>
      </w:pPr>
      <w:r>
        <w:rPr>
          <w:sz w:val="24"/>
          <w:szCs w:val="24"/>
        </w:rPr>
        <w:br w:type="page"/>
      </w:r>
      <w:r w:rsidR="00437B53" w:rsidRPr="00482A4F">
        <w:rPr>
          <w:sz w:val="24"/>
          <w:szCs w:val="24"/>
        </w:rPr>
        <w:lastRenderedPageBreak/>
        <w:t>Problem</w:t>
      </w:r>
    </w:p>
    <w:p w:rsidR="00206BD1" w:rsidRPr="005A406C" w:rsidRDefault="00DE6124" w:rsidP="00206BD1">
      <w:pPr>
        <w:pStyle w:val="BoldHanging0"/>
        <w:rPr>
          <w:b w:val="0"/>
        </w:rPr>
      </w:pPr>
      <w:r>
        <w:rPr>
          <w:b w:val="0"/>
        </w:rPr>
        <w:t>1.1</w:t>
      </w:r>
      <w:r w:rsidR="00206BD1" w:rsidRPr="00890F06">
        <w:rPr>
          <w:b w:val="0"/>
        </w:rPr>
        <w:tab/>
        <w:t>Prior to adopting</w:t>
      </w:r>
      <w:r w:rsidR="00206BD1">
        <w:rPr>
          <w:b w:val="0"/>
        </w:rPr>
        <w:t xml:space="preserve"> IFRSs, the AASB had</w:t>
      </w:r>
      <w:r w:rsidR="00206BD1" w:rsidRPr="00890F06">
        <w:rPr>
          <w:b w:val="0"/>
        </w:rPr>
        <w:t xml:space="preserve"> on issue AASB 104</w:t>
      </w:r>
      <w:r w:rsidR="00206BD1">
        <w:rPr>
          <w:b w:val="0"/>
        </w:rPr>
        <w:t>6</w:t>
      </w:r>
      <w:r w:rsidR="00206BD1" w:rsidRPr="00890F06">
        <w:rPr>
          <w:b w:val="0"/>
        </w:rPr>
        <w:t xml:space="preserve"> </w:t>
      </w:r>
      <w:r w:rsidR="00206BD1" w:rsidRPr="00890F06">
        <w:rPr>
          <w:b w:val="0"/>
          <w:i/>
        </w:rPr>
        <w:t>Director and Executive Disclosures by Disclosing Entities</w:t>
      </w:r>
      <w:r w:rsidR="00206BD1">
        <w:rPr>
          <w:b w:val="0"/>
        </w:rPr>
        <w:t xml:space="preserve">, which included disclosure requirements in respect of the compensation, equity holdings and loans of individual </w:t>
      </w:r>
      <w:r>
        <w:rPr>
          <w:b w:val="0"/>
        </w:rPr>
        <w:t>key management personnel (</w:t>
      </w:r>
      <w:r w:rsidR="00206BD1">
        <w:rPr>
          <w:b w:val="0"/>
        </w:rPr>
        <w:t>KMP</w:t>
      </w:r>
      <w:r>
        <w:rPr>
          <w:b w:val="0"/>
        </w:rPr>
        <w:t>)</w:t>
      </w:r>
      <w:r w:rsidR="007B57C1">
        <w:rPr>
          <w:b w:val="0"/>
        </w:rPr>
        <w:t xml:space="preserve"> of disclosing entities (as defined in the Corporations Act)</w:t>
      </w:r>
      <w:r w:rsidR="00206BD1">
        <w:rPr>
          <w:b w:val="0"/>
        </w:rPr>
        <w:t>.  When IFRSs were adopted, these requirements were largely carried forward for disclosing entities as ‘Aus’ paragraphs in AASB 124</w:t>
      </w:r>
      <w:r w:rsidRPr="00DE6124">
        <w:rPr>
          <w:b w:val="0"/>
          <w:i/>
        </w:rPr>
        <w:t xml:space="preserve"> </w:t>
      </w:r>
      <w:r w:rsidRPr="00EB3916">
        <w:rPr>
          <w:b w:val="0"/>
          <w:i/>
        </w:rPr>
        <w:t>Related Party Disclosures</w:t>
      </w:r>
      <w:r w:rsidR="00206BD1" w:rsidRPr="00EB3916">
        <w:rPr>
          <w:b w:val="0"/>
        </w:rPr>
        <w:t>, which incorporate</w:t>
      </w:r>
      <w:r w:rsidR="00206BD1">
        <w:rPr>
          <w:b w:val="0"/>
        </w:rPr>
        <w:t>s</w:t>
      </w:r>
      <w:r w:rsidR="00206BD1" w:rsidRPr="00EB3916">
        <w:rPr>
          <w:b w:val="0"/>
        </w:rPr>
        <w:t xml:space="preserve"> </w:t>
      </w:r>
      <w:r w:rsidR="00206BD1">
        <w:rPr>
          <w:b w:val="0"/>
        </w:rPr>
        <w:t>IA</w:t>
      </w:r>
      <w:r>
        <w:rPr>
          <w:b w:val="0"/>
        </w:rPr>
        <w:t>S </w:t>
      </w:r>
      <w:r w:rsidR="00206BD1" w:rsidRPr="00EB3916">
        <w:rPr>
          <w:b w:val="0"/>
        </w:rPr>
        <w:t>24</w:t>
      </w:r>
      <w:r w:rsidR="00206BD1" w:rsidRPr="00EB3916">
        <w:rPr>
          <w:b w:val="0"/>
          <w:i/>
        </w:rPr>
        <w:t xml:space="preserve"> Related Party Disclosures</w:t>
      </w:r>
      <w:r w:rsidR="00206BD1">
        <w:rPr>
          <w:b w:val="0"/>
        </w:rPr>
        <w:t>.</w:t>
      </w:r>
    </w:p>
    <w:p w:rsidR="007B57C1" w:rsidRDefault="007B57C1" w:rsidP="00206BD1">
      <w:pPr>
        <w:pStyle w:val="PlainHanging0"/>
      </w:pPr>
      <w:r>
        <w:t>1.2</w:t>
      </w:r>
      <w:r>
        <w:tab/>
      </w:r>
      <w:r w:rsidR="00206BD1">
        <w:t>S</w:t>
      </w:r>
      <w:r w:rsidR="00206BD1" w:rsidRPr="00455F19">
        <w:t>ection</w:t>
      </w:r>
      <w:r w:rsidR="00206BD1">
        <w:t xml:space="preserve"> 300A of the </w:t>
      </w:r>
      <w:r w:rsidR="00206BD1" w:rsidRPr="005C5F8A">
        <w:rPr>
          <w:i/>
        </w:rPr>
        <w:t>Corporations Act 2001</w:t>
      </w:r>
      <w:r w:rsidR="00206BD1" w:rsidRPr="005C5F8A">
        <w:t xml:space="preserve"> </w:t>
      </w:r>
      <w:r w:rsidR="00206BD1">
        <w:t>and Regulation</w:t>
      </w:r>
      <w:r w:rsidR="00206BD1" w:rsidRPr="00455F19">
        <w:t xml:space="preserve"> 2M.3.03</w:t>
      </w:r>
      <w:r w:rsidR="00206BD1">
        <w:t xml:space="preserve"> were amended in 2007 to require disclosing entities that are companies to report individual remuneration information in the directors’ report.</w:t>
      </w:r>
      <w:r w:rsidR="00206BD1">
        <w:rPr>
          <w:rStyle w:val="FootnoteReference"/>
        </w:rPr>
        <w:footnoteReference w:id="1"/>
      </w:r>
      <w:r w:rsidR="00206BD1">
        <w:t xml:space="preserve">  The AASB responded by amending AASB 124 to relieve disclosing entities that are </w:t>
      </w:r>
      <w:r w:rsidR="00206BD1" w:rsidRPr="003D50B5">
        <w:t xml:space="preserve">companies </w:t>
      </w:r>
      <w:r w:rsidR="00206BD1">
        <w:t xml:space="preserve">from </w:t>
      </w:r>
      <w:r w:rsidR="00206BD1" w:rsidRPr="003D50B5">
        <w:t>comply</w:t>
      </w:r>
      <w:r w:rsidR="00206BD1">
        <w:t>ing with the paragraphs in AASB </w:t>
      </w:r>
      <w:r w:rsidR="00206BD1" w:rsidRPr="003D50B5">
        <w:t>12</w:t>
      </w:r>
      <w:r w:rsidR="00206BD1">
        <w:t>4</w:t>
      </w:r>
      <w:r w:rsidR="00206BD1" w:rsidRPr="003D50B5">
        <w:t xml:space="preserve"> that have</w:t>
      </w:r>
      <w:r w:rsidR="00206BD1">
        <w:t xml:space="preserve"> been</w:t>
      </w:r>
      <w:r w:rsidR="00206BD1" w:rsidRPr="003D50B5">
        <w:t xml:space="preserve"> included in the Corporations Act</w:t>
      </w:r>
      <w:r w:rsidR="00206BD1">
        <w:t xml:space="preserve"> and Regulation 2M.3.03, following a due process that involved issuing ED 162 </w:t>
      </w:r>
      <w:r w:rsidR="00206BD1" w:rsidRPr="00725942">
        <w:rPr>
          <w:i/>
        </w:rPr>
        <w:t>Proposed Amendments to Key Management Personnel Disclosures by Disclosing Entities</w:t>
      </w:r>
      <w:r w:rsidR="00206BD1">
        <w:t xml:space="preserve"> in April 2008 for public comment.  The resulting amendment avoided requiring each disclosing entity that is a </w:t>
      </w:r>
      <w:r w:rsidR="00206BD1" w:rsidRPr="003D50B5">
        <w:t>compan</w:t>
      </w:r>
      <w:r w:rsidR="00206BD1">
        <w:t xml:space="preserve">y </w:t>
      </w:r>
      <w:r w:rsidR="00206BD1" w:rsidRPr="003D50B5">
        <w:t xml:space="preserve">to disclose this information </w:t>
      </w:r>
      <w:r w:rsidR="00206BD1">
        <w:t xml:space="preserve">twice </w:t>
      </w:r>
      <w:r w:rsidR="00206BD1" w:rsidRPr="003D50B5">
        <w:t xml:space="preserve">– in </w:t>
      </w:r>
      <w:r w:rsidR="00206BD1">
        <w:t>its</w:t>
      </w:r>
      <w:r w:rsidR="00206BD1" w:rsidRPr="003D50B5">
        <w:t xml:space="preserve"> </w:t>
      </w:r>
      <w:r w:rsidR="00206BD1">
        <w:t>directors’</w:t>
      </w:r>
      <w:r w:rsidR="00206BD1" w:rsidRPr="003D50B5">
        <w:t xml:space="preserve"> report</w:t>
      </w:r>
      <w:r w:rsidR="00206BD1">
        <w:t xml:space="preserve"> and in its financial statements</w:t>
      </w:r>
      <w:r w:rsidR="00206BD1" w:rsidRPr="003D50B5">
        <w:t>.</w:t>
      </w:r>
      <w:r w:rsidR="00206BD1">
        <w:rPr>
          <w:rStyle w:val="FootnoteReference"/>
        </w:rPr>
        <w:footnoteReference w:id="2"/>
      </w:r>
      <w:r w:rsidR="00206BD1">
        <w:t xml:space="preserve"> </w:t>
      </w:r>
    </w:p>
    <w:p w:rsidR="007B57C1" w:rsidRDefault="007B57C1" w:rsidP="00206BD1">
      <w:pPr>
        <w:pStyle w:val="PlainHanging0"/>
      </w:pPr>
      <w:r>
        <w:t>1.3</w:t>
      </w:r>
      <w:r>
        <w:tab/>
      </w:r>
      <w:r w:rsidR="00206BD1">
        <w:t>The existing AASB 124 retains individual KMP disclosure requirements on</w:t>
      </w:r>
      <w:r>
        <w:t>:</w:t>
      </w:r>
    </w:p>
    <w:p w:rsidR="007B57C1" w:rsidRDefault="007B57C1" w:rsidP="007B57C1">
      <w:pPr>
        <w:pStyle w:val="PlainHanging0"/>
        <w:ind w:left="1020"/>
      </w:pPr>
      <w:r>
        <w:t>(a)</w:t>
      </w:r>
      <w:r>
        <w:tab/>
      </w:r>
      <w:r w:rsidR="00206BD1">
        <w:t>remuneration in relation to disclosing entities other than companies</w:t>
      </w:r>
      <w:r>
        <w:t>; and</w:t>
      </w:r>
    </w:p>
    <w:p w:rsidR="00206BD1" w:rsidRDefault="007B57C1" w:rsidP="007B57C1">
      <w:pPr>
        <w:pStyle w:val="PlainHanging0"/>
        <w:ind w:left="1020"/>
      </w:pPr>
      <w:r>
        <w:t>(b)</w:t>
      </w:r>
      <w:r>
        <w:tab/>
      </w:r>
      <w:r w:rsidR="00206BD1">
        <w:t>equity holdings, loans, and other transactions and balances in relation to all disclosing entities.</w:t>
      </w:r>
    </w:p>
    <w:p w:rsidR="00206BD1" w:rsidRPr="00BC0794" w:rsidRDefault="007B57C1" w:rsidP="00206BD1">
      <w:pPr>
        <w:pStyle w:val="PlainHanging0"/>
      </w:pPr>
      <w:r>
        <w:t>1.4</w:t>
      </w:r>
      <w:r>
        <w:tab/>
      </w:r>
      <w:r w:rsidR="00206BD1">
        <w:t xml:space="preserve">A number of constituents who commented on ED 162 encouraged the Board to consider removing all the individual KMP disclosure requirements (Aus paragraphs) from AASB 124.  Accordingly, in ED 200A </w:t>
      </w:r>
      <w:bookmarkStart w:id="0" w:name="EDTitle"/>
      <w:r w:rsidR="00206BD1" w:rsidRPr="003214D5">
        <w:rPr>
          <w:i/>
        </w:rPr>
        <w:t>Proposals to Harmonise Australian and New Zealand Standards in Relation to Entities Applying IFRSs as Adopted in Australia and New Zealand</w:t>
      </w:r>
      <w:bookmarkEnd w:id="0"/>
      <w:r w:rsidR="00206BD1">
        <w:t xml:space="preserve"> (issued in July 2010) the AASB specifically sought comment on whether the individual KMP </w:t>
      </w:r>
      <w:r w:rsidR="00206BD1">
        <w:lastRenderedPageBreak/>
        <w:t>disclosure requirements should be retained or removed.  All of those who responded to this question supported their removal.</w:t>
      </w:r>
    </w:p>
    <w:p w:rsidR="00206BD1" w:rsidRDefault="003F1AC0" w:rsidP="007B57C1">
      <w:pPr>
        <w:pStyle w:val="PlainHanging0"/>
      </w:pPr>
      <w:r>
        <w:t>1.5</w:t>
      </w:r>
      <w:r w:rsidR="00206BD1">
        <w:tab/>
        <w:t xml:space="preserve">The views expressed by constituents on ED 162 and ED 200A </w:t>
      </w:r>
      <w:r w:rsidR="007B57C1">
        <w:t>highlight that the remaining individual KMP disclosure requirements:</w:t>
      </w:r>
    </w:p>
    <w:p w:rsidR="00B877F2" w:rsidRDefault="003F1AC0" w:rsidP="00206BD1">
      <w:pPr>
        <w:pStyle w:val="PlainHanging1"/>
      </w:pPr>
      <w:r>
        <w:t>(a</w:t>
      </w:r>
      <w:r w:rsidR="00206BD1">
        <w:t>)</w:t>
      </w:r>
      <w:r w:rsidR="00206BD1">
        <w:tab/>
      </w:r>
      <w:r w:rsidR="00B877F2">
        <w:t xml:space="preserve">are not part of IFRS and </w:t>
      </w:r>
      <w:r w:rsidR="00206BD1">
        <w:t>the AASB’s Standards that incorporate IFRSs s</w:t>
      </w:r>
      <w:r w:rsidR="00B877F2">
        <w:t xml:space="preserve">hould </w:t>
      </w:r>
      <w:r w:rsidR="00206BD1">
        <w:t>replicate as closely as possible the content of the IFRSs as issued by the IASB</w:t>
      </w:r>
      <w:r w:rsidR="00B877F2">
        <w:t>;</w:t>
      </w:r>
    </w:p>
    <w:p w:rsidR="00206BD1" w:rsidRDefault="003F1AC0" w:rsidP="00B877F2">
      <w:pPr>
        <w:pStyle w:val="PlainHanging1"/>
      </w:pPr>
      <w:r>
        <w:t>(b</w:t>
      </w:r>
      <w:r w:rsidR="00B877F2">
        <w:t>)</w:t>
      </w:r>
      <w:r w:rsidR="00B877F2">
        <w:tab/>
        <w:t>a</w:t>
      </w:r>
      <w:r w:rsidR="00CB4E81">
        <w:t>re a barrier</w:t>
      </w:r>
      <w:r>
        <w:t xml:space="preserve"> to</w:t>
      </w:r>
      <w:r w:rsidR="00206BD1">
        <w:t xml:space="preserve"> meet</w:t>
      </w:r>
      <w:r>
        <w:t>ing</w:t>
      </w:r>
      <w:r w:rsidR="00206BD1">
        <w:t xml:space="preserve"> the Outcome Proposals set by the Australian and New Zealand governments, which include enabling </w:t>
      </w:r>
      <w:r w:rsidR="00206BD1" w:rsidRPr="00CA0F69">
        <w:t xml:space="preserve">for-profit entities </w:t>
      </w:r>
      <w:r w:rsidR="00206BD1">
        <w:t xml:space="preserve">to </w:t>
      </w:r>
      <w:r w:rsidR="00206BD1" w:rsidRPr="00CA0F69">
        <w:t>use a single set of accounting standards and prepare only one set of financial statements</w:t>
      </w:r>
      <w:r w:rsidR="00206BD1">
        <w:t xml:space="preserve"> for both jurisdictions</w:t>
      </w:r>
      <w:r w:rsidR="00206BD1">
        <w:rPr>
          <w:rStyle w:val="FootnoteReference"/>
        </w:rPr>
        <w:footnoteReference w:id="3"/>
      </w:r>
      <w:r w:rsidR="00206BD1">
        <w:t xml:space="preserve"> </w:t>
      </w:r>
      <w:r w:rsidR="00B877F2">
        <w:t xml:space="preserve">and the </w:t>
      </w:r>
      <w:r w:rsidR="00206BD1">
        <w:t xml:space="preserve">New Zealand </w:t>
      </w:r>
      <w:r w:rsidR="00B34727">
        <w:t xml:space="preserve">standards </w:t>
      </w:r>
      <w:r w:rsidR="00206BD1">
        <w:t xml:space="preserve">do not contain additional individual </w:t>
      </w:r>
      <w:r w:rsidR="00B877F2">
        <w:t>KMP</w:t>
      </w:r>
      <w:r>
        <w:t xml:space="preserve"> disclosure requirements; and</w:t>
      </w:r>
    </w:p>
    <w:p w:rsidR="003F1AC0" w:rsidRDefault="003F1AC0" w:rsidP="003F1AC0">
      <w:pPr>
        <w:pStyle w:val="PlainHanging1"/>
      </w:pPr>
      <w:r>
        <w:t>(c)</w:t>
      </w:r>
      <w:r>
        <w:tab/>
        <w:t xml:space="preserve">are a governance matter that would be most appropriately dealt with directly by the Government through the Corporations </w:t>
      </w:r>
      <w:proofErr w:type="gramStart"/>
      <w:r>
        <w:t>Act.</w:t>
      </w:r>
      <w:proofErr w:type="gramEnd"/>
    </w:p>
    <w:p w:rsidR="00437B53" w:rsidRPr="00482A4F" w:rsidRDefault="0030292E" w:rsidP="00596B7E">
      <w:pPr>
        <w:pStyle w:val="TopHeading2"/>
        <w:keepNext/>
        <w:spacing w:before="200"/>
        <w:ind w:left="709" w:hanging="709"/>
        <w:rPr>
          <w:sz w:val="24"/>
          <w:szCs w:val="24"/>
        </w:rPr>
      </w:pPr>
      <w:r>
        <w:rPr>
          <w:sz w:val="24"/>
          <w:szCs w:val="24"/>
        </w:rPr>
        <w:t>Objective</w:t>
      </w:r>
      <w:r w:rsidR="003C06F8">
        <w:rPr>
          <w:sz w:val="24"/>
          <w:szCs w:val="24"/>
        </w:rPr>
        <w:t>s</w:t>
      </w:r>
    </w:p>
    <w:p w:rsidR="00B63D57" w:rsidRDefault="006D3AB5" w:rsidP="006B29D7">
      <w:pPr>
        <w:tabs>
          <w:tab w:val="left" w:pos="709"/>
        </w:tabs>
        <w:spacing w:before="120" w:after="120"/>
        <w:ind w:left="709" w:hanging="709"/>
      </w:pPr>
      <w:r>
        <w:t>2.1</w:t>
      </w:r>
      <w:r>
        <w:tab/>
      </w:r>
      <w:r w:rsidR="00437B53" w:rsidRPr="006E210A">
        <w:t xml:space="preserve">The objective </w:t>
      </w:r>
      <w:r w:rsidR="00482A4F">
        <w:t xml:space="preserve">of </w:t>
      </w:r>
      <w:r w:rsidR="003F1AC0">
        <w:t xml:space="preserve">removing the individual KMP disclosures (via Amending Standard </w:t>
      </w:r>
      <w:r w:rsidR="00596B7E">
        <w:t>AASB</w:t>
      </w:r>
      <w:r w:rsidR="003F1AC0">
        <w:t> </w:t>
      </w:r>
      <w:r w:rsidR="00E63DCB">
        <w:t>2</w:t>
      </w:r>
      <w:r w:rsidR="005760A2">
        <w:t>0</w:t>
      </w:r>
      <w:r w:rsidR="00E63DCB">
        <w:t>11</w:t>
      </w:r>
      <w:r w:rsidR="003F1AC0">
        <w:t>-</w:t>
      </w:r>
      <w:r w:rsidR="00E63DCB">
        <w:t xml:space="preserve">4 </w:t>
      </w:r>
      <w:r w:rsidR="00E63DCB" w:rsidRPr="00E63DCB">
        <w:rPr>
          <w:i/>
        </w:rPr>
        <w:t>Amendments to Australian Accounting Standards to Remove Individual Key Management Personnel Disclosure Requirements</w:t>
      </w:r>
      <w:r w:rsidR="003F1AC0">
        <w:t xml:space="preserve">) </w:t>
      </w:r>
      <w:r w:rsidR="006B29D7">
        <w:t>is</w:t>
      </w:r>
      <w:r w:rsidR="00B63D57">
        <w:t xml:space="preserve"> </w:t>
      </w:r>
      <w:r w:rsidR="00702BDE">
        <w:t>to</w:t>
      </w:r>
      <w:r w:rsidR="00B63D57">
        <w:t xml:space="preserve">: </w:t>
      </w:r>
    </w:p>
    <w:p w:rsidR="00CB4E81" w:rsidRDefault="00CB4E81" w:rsidP="00CB4E81">
      <w:pPr>
        <w:spacing w:after="200"/>
        <w:ind w:left="1276" w:hanging="567"/>
      </w:pPr>
      <w:r>
        <w:t>(a)</w:t>
      </w:r>
      <w:r>
        <w:tab/>
        <w:t>align the AASB’s Standards that incorporate IFRSs with the content of the IFRS;</w:t>
      </w:r>
    </w:p>
    <w:p w:rsidR="00CB4E81" w:rsidRDefault="00CB4E81" w:rsidP="00CB4E81">
      <w:pPr>
        <w:spacing w:after="200"/>
        <w:ind w:left="1276" w:hanging="567"/>
      </w:pPr>
      <w:r>
        <w:t>(b)</w:t>
      </w:r>
      <w:r>
        <w:tab/>
        <w:t>align the AASB’s Standards with New Zealand standards and meet the Outcome Proposals set by the Australian and New Zealand governments;</w:t>
      </w:r>
    </w:p>
    <w:p w:rsidR="00CB4E81" w:rsidRDefault="00596B7E" w:rsidP="00596B7E">
      <w:pPr>
        <w:spacing w:after="200"/>
        <w:ind w:left="1276" w:hanging="567"/>
      </w:pPr>
      <w:r>
        <w:t>(</w:t>
      </w:r>
      <w:r w:rsidR="00CB4E81">
        <w:t>c</w:t>
      </w:r>
      <w:r>
        <w:t>)</w:t>
      </w:r>
      <w:r>
        <w:tab/>
      </w:r>
      <w:r w:rsidR="00CB4E81">
        <w:t>leave the way open for the Government to deal with governance-type disclosure requirements.</w:t>
      </w:r>
    </w:p>
    <w:p w:rsidR="00437B53" w:rsidRPr="00482A4F" w:rsidRDefault="0041734B" w:rsidP="00596B7E">
      <w:pPr>
        <w:pStyle w:val="TopHeading2"/>
        <w:keepNext/>
        <w:spacing w:before="200"/>
        <w:ind w:left="709" w:hanging="709"/>
        <w:rPr>
          <w:sz w:val="24"/>
          <w:szCs w:val="24"/>
        </w:rPr>
      </w:pPr>
      <w:r>
        <w:rPr>
          <w:sz w:val="24"/>
          <w:szCs w:val="24"/>
        </w:rPr>
        <w:br w:type="page"/>
      </w:r>
      <w:r w:rsidR="00437B53" w:rsidRPr="00482A4F">
        <w:rPr>
          <w:sz w:val="24"/>
          <w:szCs w:val="24"/>
        </w:rPr>
        <w:lastRenderedPageBreak/>
        <w:t>Options</w:t>
      </w:r>
      <w:r w:rsidR="00C03310" w:rsidRPr="00482A4F">
        <w:rPr>
          <w:sz w:val="24"/>
          <w:szCs w:val="24"/>
        </w:rPr>
        <w:t xml:space="preserve"> </w:t>
      </w:r>
    </w:p>
    <w:p w:rsidR="007C51EA" w:rsidRDefault="00437B53" w:rsidP="006B29D7">
      <w:pPr>
        <w:pStyle w:val="ContentsBold"/>
        <w:keepNext/>
        <w:spacing w:before="0" w:after="120"/>
        <w:rPr>
          <w:i/>
          <w:sz w:val="24"/>
          <w:szCs w:val="24"/>
        </w:rPr>
      </w:pPr>
      <w:r w:rsidRPr="00482A4F">
        <w:rPr>
          <w:i/>
          <w:sz w:val="24"/>
          <w:szCs w:val="24"/>
        </w:rPr>
        <w:t>Option 1</w:t>
      </w:r>
    </w:p>
    <w:p w:rsidR="00AC47EB" w:rsidRDefault="0041734B" w:rsidP="003C4D0E">
      <w:pPr>
        <w:tabs>
          <w:tab w:val="left" w:pos="709"/>
        </w:tabs>
        <w:spacing w:before="120" w:after="120"/>
        <w:ind w:left="709" w:hanging="709"/>
      </w:pPr>
      <w:r>
        <w:t>3.1</w:t>
      </w:r>
      <w:r>
        <w:tab/>
        <w:t>Re</w:t>
      </w:r>
      <w:r w:rsidR="003C4D0E">
        <w:t>vise AASB 124 to remove the individual KMP disclosure requirements</w:t>
      </w:r>
      <w:r w:rsidR="002838CE">
        <w:t xml:space="preserve">.  </w:t>
      </w:r>
    </w:p>
    <w:p w:rsidR="00437B53" w:rsidRPr="00482A4F" w:rsidRDefault="008D664C" w:rsidP="00176830">
      <w:pPr>
        <w:pStyle w:val="ContentsBold"/>
        <w:keepNext/>
        <w:spacing w:before="0" w:after="120"/>
        <w:rPr>
          <w:i/>
          <w:sz w:val="24"/>
          <w:szCs w:val="24"/>
        </w:rPr>
      </w:pPr>
      <w:r>
        <w:rPr>
          <w:i/>
          <w:sz w:val="24"/>
          <w:szCs w:val="24"/>
        </w:rPr>
        <w:t xml:space="preserve">Option </w:t>
      </w:r>
      <w:r w:rsidR="006E74A8">
        <w:rPr>
          <w:i/>
          <w:sz w:val="24"/>
          <w:szCs w:val="24"/>
        </w:rPr>
        <w:t>2</w:t>
      </w:r>
    </w:p>
    <w:p w:rsidR="002C2751" w:rsidRDefault="002838CE" w:rsidP="002C2751">
      <w:pPr>
        <w:tabs>
          <w:tab w:val="left" w:pos="709"/>
        </w:tabs>
        <w:spacing w:before="120" w:after="120"/>
        <w:ind w:left="709" w:hanging="709"/>
      </w:pPr>
      <w:r>
        <w:t>3.</w:t>
      </w:r>
      <w:r w:rsidR="006E74A8">
        <w:t>2</w:t>
      </w:r>
      <w:r>
        <w:tab/>
        <w:t>Status quo (d</w:t>
      </w:r>
      <w:r w:rsidRPr="006E210A">
        <w:t>o nothing</w:t>
      </w:r>
      <w:r>
        <w:t>)</w:t>
      </w:r>
      <w:r w:rsidR="006E74A8">
        <w:t>.</w:t>
      </w:r>
    </w:p>
    <w:p w:rsidR="006E74A8" w:rsidRPr="00482A4F" w:rsidRDefault="006E74A8" w:rsidP="006E74A8">
      <w:pPr>
        <w:pStyle w:val="ContentsBold"/>
        <w:keepNext/>
        <w:spacing w:before="0" w:after="120"/>
        <w:rPr>
          <w:i/>
          <w:sz w:val="24"/>
          <w:szCs w:val="24"/>
        </w:rPr>
      </w:pPr>
      <w:r>
        <w:rPr>
          <w:i/>
          <w:sz w:val="24"/>
          <w:szCs w:val="24"/>
        </w:rPr>
        <w:t>Option considered but discounted</w:t>
      </w:r>
    </w:p>
    <w:p w:rsidR="006E74A8" w:rsidRDefault="006E74A8" w:rsidP="006E74A8">
      <w:pPr>
        <w:tabs>
          <w:tab w:val="left" w:pos="709"/>
        </w:tabs>
        <w:spacing w:before="120" w:after="120"/>
        <w:ind w:left="709" w:hanging="709"/>
      </w:pPr>
      <w:r>
        <w:t>3.3</w:t>
      </w:r>
      <w:r>
        <w:tab/>
        <w:t xml:space="preserve">Another option that would meet two of the three </w:t>
      </w:r>
      <w:proofErr w:type="gramStart"/>
      <w:r>
        <w:t>objectives,</w:t>
      </w:r>
      <w:proofErr w:type="gramEnd"/>
      <w:r>
        <w:t xml:space="preserve"> would be to try and persuade the IASB and the New Zealand standards setter to also require the individual KMP disclosures currently required in AASB 124.  This option has been discounted as being unrealistic and because it does meet the third concern about disclosures of this type being more appropriately located in legislation</w:t>
      </w:r>
      <w:r w:rsidR="00733D0F">
        <w:t xml:space="preserve"> such as the Corporations Act</w:t>
      </w:r>
      <w:r>
        <w:t>.</w:t>
      </w:r>
    </w:p>
    <w:p w:rsidR="00F9419E" w:rsidRPr="00811BBB" w:rsidRDefault="00F9419E" w:rsidP="00596B7E">
      <w:pPr>
        <w:pStyle w:val="TopHeading2"/>
        <w:spacing w:before="200"/>
        <w:ind w:left="709" w:hanging="709"/>
        <w:rPr>
          <w:sz w:val="24"/>
          <w:szCs w:val="24"/>
        </w:rPr>
      </w:pPr>
      <w:r w:rsidRPr="00811BBB">
        <w:rPr>
          <w:sz w:val="24"/>
          <w:szCs w:val="24"/>
        </w:rPr>
        <w:t>Impact Analysis</w:t>
      </w:r>
    </w:p>
    <w:p w:rsidR="00DB18F5" w:rsidRPr="00496963" w:rsidRDefault="00DB18F5" w:rsidP="00DB18F5">
      <w:pPr>
        <w:pStyle w:val="TopHeading2"/>
        <w:rPr>
          <w:i/>
          <w:iCs/>
          <w:sz w:val="24"/>
          <w:szCs w:val="24"/>
        </w:rPr>
      </w:pPr>
      <w:r w:rsidRPr="00496963">
        <w:rPr>
          <w:i/>
          <w:iCs/>
          <w:sz w:val="24"/>
          <w:szCs w:val="24"/>
        </w:rPr>
        <w:t>Impact assessment methodology</w:t>
      </w:r>
    </w:p>
    <w:p w:rsidR="0040375A" w:rsidRDefault="00A724CE" w:rsidP="0040375A">
      <w:pPr>
        <w:pStyle w:val="TextPara"/>
        <w:ind w:left="709" w:hanging="709"/>
      </w:pPr>
      <w:r>
        <w:t>4.1</w:t>
      </w:r>
      <w:r w:rsidR="0040375A">
        <w:tab/>
      </w:r>
      <w:r w:rsidR="00DB18F5">
        <w:t>The expected i</w:t>
      </w:r>
      <w:r w:rsidR="00DB18F5" w:rsidRPr="009B2B2E">
        <w:t xml:space="preserve">mpacts </w:t>
      </w:r>
      <w:r w:rsidR="00DB18F5">
        <w:t xml:space="preserve">of </w:t>
      </w:r>
      <w:r w:rsidR="00B92556">
        <w:t xml:space="preserve">removing the individual KMP disclosure requirements </w:t>
      </w:r>
      <w:r w:rsidR="00DB18F5" w:rsidRPr="009B2B2E">
        <w:t xml:space="preserve">can be </w:t>
      </w:r>
      <w:r w:rsidR="0041734B">
        <w:t xml:space="preserve">considered as relating to </w:t>
      </w:r>
      <w:r w:rsidR="00DB18F5" w:rsidRPr="009B2B2E">
        <w:t xml:space="preserve">three </w:t>
      </w:r>
      <w:r w:rsidR="0041734B">
        <w:t>g</w:t>
      </w:r>
      <w:r w:rsidR="00DB18F5" w:rsidRPr="009B2B2E">
        <w:t xml:space="preserve">roups </w:t>
      </w:r>
      <w:r w:rsidR="00DB18F5">
        <w:t xml:space="preserve">– </w:t>
      </w:r>
      <w:r w:rsidR="00DB18F5" w:rsidRPr="009B2B2E">
        <w:t xml:space="preserve">preparers, users and </w:t>
      </w:r>
      <w:r w:rsidR="00DB18F5">
        <w:t xml:space="preserve">the </w:t>
      </w:r>
      <w:r w:rsidR="00DB18F5" w:rsidRPr="009B2B2E">
        <w:t>accounting profession</w:t>
      </w:r>
      <w:r w:rsidR="005155A7">
        <w:t xml:space="preserve"> (including auditors)</w:t>
      </w:r>
      <w:r w:rsidR="00B92556">
        <w:t>.</w:t>
      </w:r>
    </w:p>
    <w:p w:rsidR="0040375A" w:rsidRDefault="00A724CE" w:rsidP="0040375A">
      <w:pPr>
        <w:pStyle w:val="TextPara"/>
        <w:ind w:left="709" w:hanging="709"/>
      </w:pPr>
      <w:r>
        <w:t>4.2</w:t>
      </w:r>
      <w:r w:rsidR="0040375A">
        <w:tab/>
      </w:r>
      <w:r w:rsidR="00DB18F5" w:rsidRPr="0040375A">
        <w:t xml:space="preserve">The assessment of impacts in this RIS is based on a three-point scale </w:t>
      </w:r>
      <w:r w:rsidR="00962716">
        <w:t>of positive, neutral or negative impacts</w:t>
      </w:r>
      <w:r w:rsidR="00DB18F5" w:rsidRPr="0040375A">
        <w:t>.  The impacts of each option are compared with the equivalent impact of the status quo option.  If an impact on a particular group would, relative to the status quo, benefit the group, the impact is allocated a positive rating.  On the other hand, if the impact on the group would result in a cost to the group, the impact is allocated a negative rating.  If the impact is assessed to be the same as that imposed under the status quo option, a neutral rating is given.</w:t>
      </w:r>
    </w:p>
    <w:p w:rsidR="00DB18F5" w:rsidRPr="0040375A" w:rsidRDefault="00A724CE" w:rsidP="0040375A">
      <w:pPr>
        <w:pStyle w:val="TextPara"/>
        <w:ind w:left="709" w:hanging="709"/>
      </w:pPr>
      <w:r>
        <w:t>4.3</w:t>
      </w:r>
      <w:r w:rsidR="0040375A">
        <w:tab/>
      </w:r>
      <w:r w:rsidR="00DB18F5" w:rsidRPr="0040375A">
        <w:t xml:space="preserve">The ratings for each type of impact compared with the status quo are aggregated to arrive at an overall effect at the option level.  If the overall effect at the option level is positive, it indicates that the option is more likely to produce a favourable cost-benefit </w:t>
      </w:r>
      <w:r w:rsidR="0006138C">
        <w:t>outcome</w:t>
      </w:r>
      <w:r w:rsidR="00DB18F5" w:rsidRPr="0040375A">
        <w:t xml:space="preserve"> than the status quo.  If the overall effect at the option level is negative, it indicates that the option would be more likely to provide </w:t>
      </w:r>
      <w:r w:rsidR="0006138C">
        <w:t>a less favourable cost-benefit outcome</w:t>
      </w:r>
      <w:r w:rsidR="00DB18F5" w:rsidRPr="0040375A">
        <w:t xml:space="preserve"> than the status quo.  If the </w:t>
      </w:r>
      <w:r w:rsidR="00DB18F5" w:rsidRPr="0040375A">
        <w:lastRenderedPageBreak/>
        <w:t>rating at the option level is neutral, it indicates that there would be no overall benefit or cost from the option relative to the status quo.</w:t>
      </w:r>
      <w:bookmarkStart w:id="1" w:name="_GoBack"/>
      <w:bookmarkEnd w:id="1"/>
    </w:p>
    <w:p w:rsidR="0059365B" w:rsidRPr="0040375A" w:rsidRDefault="00235DE2" w:rsidP="00235DE2">
      <w:pPr>
        <w:pStyle w:val="TextPara"/>
        <w:keepNext/>
        <w:spacing w:before="120" w:after="0" w:line="240" w:lineRule="auto"/>
        <w:rPr>
          <w:b/>
          <w:i/>
          <w:sz w:val="24"/>
          <w:szCs w:val="24"/>
        </w:rPr>
      </w:pPr>
      <w:r>
        <w:rPr>
          <w:b/>
          <w:bCs/>
          <w:i/>
          <w:iCs/>
          <w:sz w:val="24"/>
          <w:szCs w:val="24"/>
        </w:rPr>
        <w:t xml:space="preserve">Option 1 – </w:t>
      </w:r>
      <w:r w:rsidR="00A724CE" w:rsidRPr="00A724CE">
        <w:rPr>
          <w:b/>
          <w:i/>
          <w:sz w:val="24"/>
          <w:szCs w:val="24"/>
        </w:rPr>
        <w:t>Revise AASB 124 to remove the individual KMP disclosure requirements</w:t>
      </w:r>
    </w:p>
    <w:p w:rsidR="0059365B" w:rsidRPr="00550F3D" w:rsidRDefault="0059365B" w:rsidP="00AC576C">
      <w:pPr>
        <w:pStyle w:val="TextPara"/>
        <w:keepNext/>
        <w:spacing w:before="240"/>
        <w:rPr>
          <w:bCs/>
          <w:i/>
        </w:rPr>
      </w:pPr>
      <w:r w:rsidRPr="00550F3D">
        <w:rPr>
          <w:bCs/>
          <w:i/>
          <w:sz w:val="24"/>
          <w:szCs w:val="24"/>
        </w:rPr>
        <w:t>Preparers</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06"/>
        <w:gridCol w:w="1174"/>
        <w:gridCol w:w="4474"/>
      </w:tblGrid>
      <w:tr w:rsidR="0059365B" w:rsidRPr="00F82B77" w:rsidTr="00F82B77">
        <w:trPr>
          <w:tblHeader/>
        </w:trPr>
        <w:tc>
          <w:tcPr>
            <w:tcW w:w="1406" w:type="dxa"/>
            <w:shd w:val="clear" w:color="auto" w:fill="auto"/>
          </w:tcPr>
          <w:p w:rsidR="0059365B" w:rsidRPr="00F82B77" w:rsidRDefault="00AC576C" w:rsidP="00F82B77">
            <w:pPr>
              <w:keepNext/>
              <w:spacing w:before="120" w:after="120" w:line="360" w:lineRule="auto"/>
              <w:jc w:val="center"/>
              <w:rPr>
                <w:b/>
                <w:bCs/>
              </w:rPr>
            </w:pPr>
            <w:r w:rsidRPr="00F82B77">
              <w:rPr>
                <w:b/>
                <w:bCs/>
              </w:rPr>
              <w:t>Impact</w:t>
            </w:r>
          </w:p>
        </w:tc>
        <w:tc>
          <w:tcPr>
            <w:tcW w:w="1174" w:type="dxa"/>
            <w:shd w:val="clear" w:color="auto" w:fill="auto"/>
          </w:tcPr>
          <w:p w:rsidR="0059365B" w:rsidRPr="00F82B77" w:rsidRDefault="00AC576C" w:rsidP="00F82B77">
            <w:pPr>
              <w:keepNext/>
              <w:spacing w:before="120" w:after="120" w:line="360" w:lineRule="auto"/>
              <w:jc w:val="center"/>
              <w:rPr>
                <w:b/>
                <w:bCs/>
              </w:rPr>
            </w:pPr>
            <w:r w:rsidRPr="00F82B77">
              <w:rPr>
                <w:b/>
                <w:bCs/>
              </w:rPr>
              <w:t>Assessment</w:t>
            </w:r>
          </w:p>
        </w:tc>
        <w:tc>
          <w:tcPr>
            <w:tcW w:w="4474" w:type="dxa"/>
            <w:shd w:val="clear" w:color="auto" w:fill="auto"/>
          </w:tcPr>
          <w:p w:rsidR="0059365B" w:rsidRPr="00F82B77" w:rsidRDefault="0059365B" w:rsidP="00F82B77">
            <w:pPr>
              <w:keepNext/>
              <w:spacing w:before="120" w:after="120" w:line="360" w:lineRule="auto"/>
              <w:jc w:val="center"/>
              <w:rPr>
                <w:b/>
                <w:bCs/>
              </w:rPr>
            </w:pPr>
            <w:r w:rsidRPr="00F82B77">
              <w:rPr>
                <w:b/>
                <w:bCs/>
              </w:rPr>
              <w:t>Analysis</w:t>
            </w:r>
          </w:p>
        </w:tc>
      </w:tr>
      <w:tr w:rsidR="00EF56B7" w:rsidRPr="005D3EC3" w:rsidTr="00F82B77">
        <w:tc>
          <w:tcPr>
            <w:tcW w:w="1406" w:type="dxa"/>
            <w:shd w:val="clear" w:color="auto" w:fill="auto"/>
          </w:tcPr>
          <w:p w:rsidR="00EF56B7" w:rsidRPr="005D3EC3" w:rsidRDefault="00EF56B7" w:rsidP="00F82B77">
            <w:pPr>
              <w:spacing w:before="120" w:after="120"/>
            </w:pPr>
            <w:r w:rsidRPr="005D3EC3">
              <w:t>Preparation costs</w:t>
            </w:r>
          </w:p>
        </w:tc>
        <w:tc>
          <w:tcPr>
            <w:tcW w:w="1174" w:type="dxa"/>
            <w:shd w:val="clear" w:color="auto" w:fill="auto"/>
          </w:tcPr>
          <w:p w:rsidR="00EF56B7" w:rsidRPr="005D3EC3" w:rsidRDefault="00EF56B7" w:rsidP="00F82B77">
            <w:pPr>
              <w:spacing w:before="120" w:after="120"/>
              <w:jc w:val="center"/>
            </w:pPr>
            <w:r w:rsidRPr="005D3EC3">
              <w:t>Positive</w:t>
            </w:r>
          </w:p>
        </w:tc>
        <w:tc>
          <w:tcPr>
            <w:tcW w:w="4474" w:type="dxa"/>
            <w:shd w:val="clear" w:color="auto" w:fill="auto"/>
          </w:tcPr>
          <w:p w:rsidR="00EF56B7" w:rsidRPr="005D3EC3" w:rsidRDefault="00E63DCB" w:rsidP="00F82B77">
            <w:pPr>
              <w:pStyle w:val="TextPara"/>
              <w:keepNext/>
              <w:spacing w:before="120" w:after="0" w:line="240" w:lineRule="auto"/>
            </w:pPr>
            <w:r>
              <w:t xml:space="preserve">Amending Standard AASB 2011-4 </w:t>
            </w:r>
            <w:r w:rsidRPr="00E63DCB">
              <w:rPr>
                <w:i/>
              </w:rPr>
              <w:t xml:space="preserve">Amendments to Australian Accounting Standards to Remove </w:t>
            </w:r>
            <w:r w:rsidR="009F0623" w:rsidRPr="00E63DCB">
              <w:rPr>
                <w:i/>
              </w:rPr>
              <w:t>Individual</w:t>
            </w:r>
            <w:r w:rsidRPr="00E63DCB">
              <w:rPr>
                <w:i/>
              </w:rPr>
              <w:t xml:space="preserve"> Key Management Disclosure Requirements</w:t>
            </w:r>
            <w:r w:rsidR="00EF56B7" w:rsidRPr="005D3EC3">
              <w:t xml:space="preserve"> has the potential to decrease preparation costs, particularly for those affected disclosing entities with complex remuneration and other arrangements with their KMP.</w:t>
            </w:r>
          </w:p>
          <w:p w:rsidR="005D3EC3" w:rsidRDefault="00EF56B7" w:rsidP="00F82B77">
            <w:pPr>
              <w:pStyle w:val="TextPara"/>
              <w:keepNext/>
              <w:spacing w:before="120" w:after="0" w:line="240" w:lineRule="auto"/>
            </w:pPr>
            <w:r w:rsidRPr="005D3EC3">
              <w:t>The cost savings are likely arise because:</w:t>
            </w:r>
          </w:p>
          <w:p w:rsidR="005D3EC3" w:rsidRDefault="005D3EC3" w:rsidP="00F82B77">
            <w:pPr>
              <w:pStyle w:val="TextPara"/>
              <w:keepNext/>
              <w:spacing w:before="120" w:after="0" w:line="240" w:lineRule="auto"/>
              <w:ind w:left="170" w:hanging="170"/>
            </w:pPr>
            <w:r>
              <w:t xml:space="preserve">* </w:t>
            </w:r>
            <w:r w:rsidR="00EF56B7" w:rsidRPr="005D3EC3">
              <w:t xml:space="preserve">fewer disclosures would be required; and </w:t>
            </w:r>
          </w:p>
          <w:p w:rsidR="00EF56B7" w:rsidRPr="005D3EC3" w:rsidRDefault="005D3EC3" w:rsidP="00F82B77">
            <w:pPr>
              <w:pStyle w:val="TextPara"/>
              <w:keepNext/>
              <w:spacing w:before="120" w:after="0" w:line="240" w:lineRule="auto"/>
              <w:ind w:left="170" w:hanging="170"/>
            </w:pPr>
            <w:r>
              <w:t xml:space="preserve">* </w:t>
            </w:r>
            <w:r w:rsidR="00EF56B7" w:rsidRPr="005D3EC3">
              <w:t>preparers would have fewer places to look in order to find the requirements with which they need to comply.</w:t>
            </w:r>
          </w:p>
          <w:p w:rsidR="00EF56B7" w:rsidRPr="005D3EC3" w:rsidRDefault="00EF56B7" w:rsidP="00F82B77">
            <w:pPr>
              <w:pStyle w:val="TextPara"/>
              <w:keepNext/>
              <w:spacing w:before="120" w:after="120" w:line="240" w:lineRule="auto"/>
            </w:pPr>
            <w:r w:rsidRPr="005D3EC3">
              <w:t xml:space="preserve">These cost savings may be mitigated if the Government decides to require disclosures through the Corporations Act that are similar to those being removed.  </w:t>
            </w:r>
          </w:p>
        </w:tc>
      </w:tr>
      <w:tr w:rsidR="007C2FFB" w:rsidRPr="005D3EC3" w:rsidTr="00F82B77">
        <w:tc>
          <w:tcPr>
            <w:tcW w:w="1406" w:type="dxa"/>
            <w:shd w:val="clear" w:color="auto" w:fill="auto"/>
          </w:tcPr>
          <w:p w:rsidR="007C2FFB" w:rsidRPr="005D3EC3" w:rsidRDefault="008E25F0" w:rsidP="00F82B77">
            <w:pPr>
              <w:spacing w:before="120" w:after="120"/>
            </w:pPr>
            <w:r>
              <w:t>NZ conformity</w:t>
            </w:r>
          </w:p>
        </w:tc>
        <w:tc>
          <w:tcPr>
            <w:tcW w:w="1174" w:type="dxa"/>
            <w:shd w:val="clear" w:color="auto" w:fill="auto"/>
          </w:tcPr>
          <w:p w:rsidR="007C2FFB" w:rsidRPr="005D3EC3" w:rsidRDefault="008E25F0" w:rsidP="00F82B77">
            <w:pPr>
              <w:spacing w:before="120" w:after="120"/>
              <w:jc w:val="center"/>
            </w:pPr>
            <w:r>
              <w:t>Positive</w:t>
            </w:r>
          </w:p>
        </w:tc>
        <w:tc>
          <w:tcPr>
            <w:tcW w:w="4474" w:type="dxa"/>
            <w:shd w:val="clear" w:color="auto" w:fill="auto"/>
          </w:tcPr>
          <w:p w:rsidR="00780AE9" w:rsidRPr="00F82B77" w:rsidRDefault="00E63DCB" w:rsidP="00F82B77">
            <w:pPr>
              <w:pStyle w:val="TextPara"/>
              <w:keepNext/>
              <w:spacing w:before="120" w:after="0" w:line="240" w:lineRule="auto"/>
              <w:rPr>
                <w:bCs/>
              </w:rPr>
            </w:pPr>
            <w:r>
              <w:rPr>
                <w:bCs/>
              </w:rPr>
              <w:t>AASB 2011-4</w:t>
            </w:r>
            <w:r w:rsidR="008E25F0" w:rsidRPr="00F82B77">
              <w:rPr>
                <w:bCs/>
              </w:rPr>
              <w:t xml:space="preserve"> will </w:t>
            </w:r>
            <w:r w:rsidR="00235DE2" w:rsidRPr="00F82B77">
              <w:rPr>
                <w:bCs/>
              </w:rPr>
              <w:t xml:space="preserve">allow the AASB to </w:t>
            </w:r>
            <w:r w:rsidR="00235DE2">
              <w:t>align its Standards with New Zealand standards and meet the Outcome Proposals set by the Australian and New Zealand governments.</w:t>
            </w:r>
          </w:p>
          <w:p w:rsidR="007C2FFB" w:rsidRPr="005D3EC3" w:rsidRDefault="00235DE2" w:rsidP="00F82B77">
            <w:pPr>
              <w:pStyle w:val="TextPara"/>
              <w:keepNext/>
              <w:spacing w:before="120" w:after="0" w:line="240" w:lineRule="auto"/>
            </w:pPr>
            <w:r w:rsidRPr="00F82B77">
              <w:rPr>
                <w:bCs/>
              </w:rPr>
              <w:t xml:space="preserve">This will help lower costs of preparation because the Outcome Proposals are expected to facilitate mutual recognition of financial statements across the Tasman, which will save Australian entities with New Zealand </w:t>
            </w:r>
            <w:r w:rsidR="00815F8A">
              <w:rPr>
                <w:bCs/>
              </w:rPr>
              <w:t xml:space="preserve">branches or </w:t>
            </w:r>
            <w:r w:rsidRPr="00F82B77">
              <w:rPr>
                <w:bCs/>
              </w:rPr>
              <w:t>subsidiaries from preparing both Australian and New Zealand financial statements</w:t>
            </w:r>
            <w:r w:rsidR="008E25F0" w:rsidRPr="00F82B77">
              <w:rPr>
                <w:bCs/>
              </w:rPr>
              <w:t>.</w:t>
            </w:r>
          </w:p>
        </w:tc>
      </w:tr>
    </w:tbl>
    <w:p w:rsidR="0059365B" w:rsidRPr="00550F3D" w:rsidRDefault="0059365B" w:rsidP="00811BBB">
      <w:pPr>
        <w:pStyle w:val="TextPara"/>
        <w:keepNext/>
        <w:spacing w:before="240"/>
        <w:rPr>
          <w:bCs/>
          <w:i/>
          <w:sz w:val="24"/>
          <w:szCs w:val="24"/>
        </w:rPr>
      </w:pPr>
      <w:r w:rsidRPr="00550F3D">
        <w:rPr>
          <w:bCs/>
          <w:i/>
          <w:sz w:val="24"/>
          <w:szCs w:val="24"/>
        </w:rPr>
        <w:lastRenderedPageBreak/>
        <w:t>Users</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84"/>
        <w:gridCol w:w="1196"/>
        <w:gridCol w:w="4474"/>
      </w:tblGrid>
      <w:tr w:rsidR="005A4123" w:rsidRPr="00811BBB">
        <w:trPr>
          <w:tblHeader/>
        </w:trPr>
        <w:tc>
          <w:tcPr>
            <w:tcW w:w="1384" w:type="dxa"/>
          </w:tcPr>
          <w:p w:rsidR="0059365B" w:rsidRPr="00811BBB" w:rsidRDefault="00D7263D" w:rsidP="00550F3D">
            <w:pPr>
              <w:pStyle w:val="TextPara"/>
              <w:keepNext/>
              <w:spacing w:before="120" w:after="120"/>
              <w:rPr>
                <w:b/>
                <w:bCs/>
              </w:rPr>
            </w:pPr>
            <w:r>
              <w:rPr>
                <w:b/>
                <w:bCs/>
              </w:rPr>
              <w:t>Impact</w:t>
            </w:r>
          </w:p>
        </w:tc>
        <w:tc>
          <w:tcPr>
            <w:tcW w:w="1196" w:type="dxa"/>
          </w:tcPr>
          <w:p w:rsidR="0059365B" w:rsidRPr="00811BBB" w:rsidRDefault="00D7263D" w:rsidP="00550F3D">
            <w:pPr>
              <w:pStyle w:val="TextPara"/>
              <w:keepNext/>
              <w:spacing w:before="120" w:after="120"/>
              <w:jc w:val="center"/>
              <w:rPr>
                <w:b/>
                <w:bCs/>
              </w:rPr>
            </w:pPr>
            <w:r>
              <w:rPr>
                <w:b/>
                <w:bCs/>
              </w:rPr>
              <w:t>Assessment</w:t>
            </w:r>
          </w:p>
        </w:tc>
        <w:tc>
          <w:tcPr>
            <w:tcW w:w="4474" w:type="dxa"/>
          </w:tcPr>
          <w:p w:rsidR="0059365B" w:rsidRPr="00811BBB" w:rsidRDefault="0059365B" w:rsidP="00550F3D">
            <w:pPr>
              <w:pStyle w:val="TextPara"/>
              <w:keepNext/>
              <w:spacing w:before="120" w:after="120"/>
              <w:jc w:val="center"/>
              <w:rPr>
                <w:b/>
                <w:bCs/>
              </w:rPr>
            </w:pPr>
            <w:r w:rsidRPr="00811BBB">
              <w:rPr>
                <w:b/>
                <w:bCs/>
              </w:rPr>
              <w:t>Analysis</w:t>
            </w:r>
          </w:p>
        </w:tc>
      </w:tr>
      <w:tr w:rsidR="005A4123" w:rsidRPr="005A4123" w:rsidTr="005A4123">
        <w:trPr>
          <w:tblHeader/>
        </w:trPr>
        <w:tc>
          <w:tcPr>
            <w:tcW w:w="1384" w:type="dxa"/>
            <w:tcBorders>
              <w:top w:val="single" w:sz="4" w:space="0" w:color="auto"/>
              <w:left w:val="single" w:sz="4" w:space="0" w:color="auto"/>
              <w:bottom w:val="single" w:sz="4" w:space="0" w:color="auto"/>
              <w:right w:val="single" w:sz="4" w:space="0" w:color="auto"/>
            </w:tcBorders>
          </w:tcPr>
          <w:p w:rsidR="005A4123" w:rsidRPr="005A4123" w:rsidRDefault="005A4123" w:rsidP="005A4123">
            <w:pPr>
              <w:pStyle w:val="TextPara"/>
              <w:keepNext/>
              <w:spacing w:before="120" w:after="120"/>
              <w:rPr>
                <w:bCs/>
              </w:rPr>
            </w:pPr>
            <w:r w:rsidRPr="005A4123">
              <w:rPr>
                <w:bCs/>
              </w:rPr>
              <w:t>Availability of information</w:t>
            </w:r>
          </w:p>
        </w:tc>
        <w:tc>
          <w:tcPr>
            <w:tcW w:w="1196" w:type="dxa"/>
            <w:tcBorders>
              <w:top w:val="single" w:sz="4" w:space="0" w:color="auto"/>
              <w:left w:val="single" w:sz="4" w:space="0" w:color="auto"/>
              <w:bottom w:val="single" w:sz="4" w:space="0" w:color="auto"/>
              <w:right w:val="single" w:sz="4" w:space="0" w:color="auto"/>
            </w:tcBorders>
          </w:tcPr>
          <w:p w:rsidR="005A4123" w:rsidRPr="005A4123" w:rsidRDefault="005A4123" w:rsidP="00692047">
            <w:pPr>
              <w:pStyle w:val="TextPara"/>
              <w:keepNext/>
              <w:spacing w:before="120" w:after="120"/>
              <w:jc w:val="center"/>
              <w:rPr>
                <w:bCs/>
              </w:rPr>
            </w:pPr>
            <w:r w:rsidRPr="005A4123">
              <w:rPr>
                <w:bCs/>
              </w:rPr>
              <w:t>Neutral</w:t>
            </w:r>
          </w:p>
        </w:tc>
        <w:tc>
          <w:tcPr>
            <w:tcW w:w="4474" w:type="dxa"/>
            <w:tcBorders>
              <w:top w:val="single" w:sz="4" w:space="0" w:color="auto"/>
              <w:left w:val="single" w:sz="4" w:space="0" w:color="auto"/>
              <w:bottom w:val="single" w:sz="4" w:space="0" w:color="auto"/>
              <w:right w:val="single" w:sz="4" w:space="0" w:color="auto"/>
            </w:tcBorders>
          </w:tcPr>
          <w:p w:rsidR="005A4123" w:rsidRPr="005A4123" w:rsidRDefault="005A4123" w:rsidP="005D3EC3">
            <w:pPr>
              <w:pStyle w:val="TextPara"/>
              <w:keepNext/>
              <w:spacing w:before="120" w:after="0"/>
              <w:rPr>
                <w:bCs/>
              </w:rPr>
            </w:pPr>
            <w:r w:rsidRPr="005A4123">
              <w:rPr>
                <w:bCs/>
              </w:rPr>
              <w:t>AASB</w:t>
            </w:r>
            <w:r w:rsidR="00E63DCB">
              <w:rPr>
                <w:bCs/>
              </w:rPr>
              <w:t xml:space="preserve"> 2011-4 </w:t>
            </w:r>
            <w:r w:rsidRPr="005A4123">
              <w:rPr>
                <w:bCs/>
              </w:rPr>
              <w:t>has the potential to make information used by users unavailable and thereby impair their decision making</w:t>
            </w:r>
            <w:r w:rsidR="00C96FFC">
              <w:rPr>
                <w:bCs/>
              </w:rPr>
              <w:t xml:space="preserve">, although generally only in relation to the accountability of particular individual </w:t>
            </w:r>
            <w:r w:rsidR="00CC188E">
              <w:rPr>
                <w:bCs/>
              </w:rPr>
              <w:t xml:space="preserve">KMP rather than the accountability of the </w:t>
            </w:r>
            <w:r w:rsidR="00C96FFC">
              <w:rPr>
                <w:bCs/>
              </w:rPr>
              <w:t>entity as a whole</w:t>
            </w:r>
            <w:r w:rsidRPr="005A4123">
              <w:rPr>
                <w:bCs/>
              </w:rPr>
              <w:t>.</w:t>
            </w:r>
          </w:p>
          <w:p w:rsidR="005A4123" w:rsidRPr="005A4123" w:rsidRDefault="005A4123" w:rsidP="005D3EC3">
            <w:pPr>
              <w:pStyle w:val="TextPara"/>
              <w:keepNext/>
              <w:spacing w:before="120" w:after="0"/>
              <w:rPr>
                <w:bCs/>
              </w:rPr>
            </w:pPr>
            <w:r w:rsidRPr="005A4123">
              <w:rPr>
                <w:bCs/>
              </w:rPr>
              <w:t xml:space="preserve">This concern </w:t>
            </w:r>
            <w:r w:rsidR="00AB0453">
              <w:rPr>
                <w:bCs/>
              </w:rPr>
              <w:t xml:space="preserve">is </w:t>
            </w:r>
            <w:r w:rsidRPr="005A4123">
              <w:rPr>
                <w:bCs/>
              </w:rPr>
              <w:t>mitigated by:</w:t>
            </w:r>
          </w:p>
          <w:p w:rsidR="005A4123" w:rsidRPr="005A4123" w:rsidRDefault="005D3EC3" w:rsidP="005D3EC3">
            <w:pPr>
              <w:pStyle w:val="Bullets"/>
              <w:numPr>
                <w:ilvl w:val="0"/>
                <w:numId w:val="0"/>
              </w:numPr>
              <w:spacing w:before="120"/>
              <w:ind w:left="170" w:hanging="170"/>
              <w:rPr>
                <w:bCs/>
                <w:sz w:val="20"/>
              </w:rPr>
            </w:pPr>
            <w:r>
              <w:rPr>
                <w:bCs/>
                <w:sz w:val="20"/>
              </w:rPr>
              <w:t xml:space="preserve">* </w:t>
            </w:r>
            <w:r w:rsidR="005A4123" w:rsidRPr="005A4123">
              <w:rPr>
                <w:bCs/>
                <w:sz w:val="20"/>
              </w:rPr>
              <w:t>the fact that other governance-type disclosures are required by the Corporations Act;</w:t>
            </w:r>
            <w:r w:rsidR="00E306C5">
              <w:rPr>
                <w:rStyle w:val="FootnoteReference"/>
                <w:bCs/>
                <w:sz w:val="20"/>
              </w:rPr>
              <w:footnoteReference w:id="4"/>
            </w:r>
            <w:r w:rsidR="00E306C5">
              <w:rPr>
                <w:bCs/>
                <w:sz w:val="20"/>
              </w:rPr>
              <w:t xml:space="preserve"> and</w:t>
            </w:r>
          </w:p>
          <w:p w:rsidR="005A4123" w:rsidRDefault="00C96FFC" w:rsidP="00C96FFC">
            <w:pPr>
              <w:pStyle w:val="Bullets"/>
              <w:numPr>
                <w:ilvl w:val="0"/>
                <w:numId w:val="0"/>
              </w:numPr>
              <w:spacing w:before="120"/>
              <w:ind w:left="170" w:hanging="170"/>
              <w:rPr>
                <w:bCs/>
                <w:sz w:val="20"/>
              </w:rPr>
            </w:pPr>
            <w:r>
              <w:rPr>
                <w:bCs/>
                <w:sz w:val="20"/>
              </w:rPr>
              <w:t>* the fact that KMP are within the definition of ‘related party’ and</w:t>
            </w:r>
            <w:r w:rsidR="00785F08">
              <w:rPr>
                <w:bCs/>
                <w:sz w:val="20"/>
              </w:rPr>
              <w:t>, accordingly,</w:t>
            </w:r>
            <w:r>
              <w:rPr>
                <w:bCs/>
                <w:sz w:val="20"/>
              </w:rPr>
              <w:t xml:space="preserve"> disclosures would still be required about any loans or other transactions between the entity and KMP, although without necessarily identifying the names of the individual KMP involved</w:t>
            </w:r>
            <w:r w:rsidR="005A4123" w:rsidRPr="005A4123">
              <w:rPr>
                <w:bCs/>
                <w:sz w:val="20"/>
              </w:rPr>
              <w:t xml:space="preserve">.  </w:t>
            </w:r>
          </w:p>
          <w:p w:rsidR="00785F08" w:rsidRPr="005A4123" w:rsidRDefault="00785F08" w:rsidP="00231887">
            <w:pPr>
              <w:pStyle w:val="Bullets"/>
              <w:numPr>
                <w:ilvl w:val="0"/>
                <w:numId w:val="0"/>
              </w:numPr>
              <w:spacing w:before="120"/>
              <w:rPr>
                <w:bCs/>
                <w:sz w:val="20"/>
              </w:rPr>
            </w:pPr>
            <w:r>
              <w:rPr>
                <w:bCs/>
                <w:sz w:val="20"/>
              </w:rPr>
              <w:t>In the context of general purp</w:t>
            </w:r>
            <w:r w:rsidR="00231887">
              <w:rPr>
                <w:bCs/>
                <w:sz w:val="20"/>
              </w:rPr>
              <w:t xml:space="preserve">ose financial reporting </w:t>
            </w:r>
            <w:r>
              <w:rPr>
                <w:bCs/>
                <w:sz w:val="20"/>
              </w:rPr>
              <w:t>about an entity</w:t>
            </w:r>
            <w:r w:rsidR="00231887">
              <w:rPr>
                <w:bCs/>
                <w:sz w:val="20"/>
              </w:rPr>
              <w:t xml:space="preserve"> as a whole, the loss of i</w:t>
            </w:r>
            <w:r w:rsidR="00081315">
              <w:rPr>
                <w:bCs/>
                <w:sz w:val="20"/>
              </w:rPr>
              <w:t xml:space="preserve">nformation about individual KMP </w:t>
            </w:r>
            <w:r w:rsidR="00231887">
              <w:rPr>
                <w:bCs/>
                <w:sz w:val="20"/>
              </w:rPr>
              <w:t>should not adversely impact on users’</w:t>
            </w:r>
            <w:r w:rsidR="00081315">
              <w:rPr>
                <w:bCs/>
                <w:sz w:val="20"/>
              </w:rPr>
              <w:t xml:space="preserve"> decision making.</w:t>
            </w:r>
          </w:p>
        </w:tc>
      </w:tr>
      <w:tr w:rsidR="007C2FFB" w:rsidRPr="005A4123" w:rsidTr="007C2FFB">
        <w:trPr>
          <w:tblHeader/>
        </w:trPr>
        <w:tc>
          <w:tcPr>
            <w:tcW w:w="1384" w:type="dxa"/>
            <w:tcBorders>
              <w:top w:val="single" w:sz="4" w:space="0" w:color="auto"/>
              <w:left w:val="single" w:sz="4" w:space="0" w:color="auto"/>
              <w:bottom w:val="single" w:sz="4" w:space="0" w:color="auto"/>
              <w:right w:val="single" w:sz="4" w:space="0" w:color="auto"/>
            </w:tcBorders>
          </w:tcPr>
          <w:p w:rsidR="007C2FFB" w:rsidRPr="005A4123" w:rsidRDefault="007C2FFB" w:rsidP="00780AE9">
            <w:pPr>
              <w:pStyle w:val="TextPara"/>
              <w:keepNext/>
              <w:spacing w:before="120" w:after="120"/>
              <w:rPr>
                <w:bCs/>
              </w:rPr>
            </w:pPr>
            <w:r w:rsidRPr="005A4123">
              <w:rPr>
                <w:bCs/>
              </w:rPr>
              <w:t>IFRS conformity</w:t>
            </w:r>
          </w:p>
        </w:tc>
        <w:tc>
          <w:tcPr>
            <w:tcW w:w="1196" w:type="dxa"/>
            <w:tcBorders>
              <w:top w:val="single" w:sz="4" w:space="0" w:color="auto"/>
              <w:left w:val="single" w:sz="4" w:space="0" w:color="auto"/>
              <w:bottom w:val="single" w:sz="4" w:space="0" w:color="auto"/>
              <w:right w:val="single" w:sz="4" w:space="0" w:color="auto"/>
            </w:tcBorders>
          </w:tcPr>
          <w:p w:rsidR="007C2FFB" w:rsidRPr="005A4123" w:rsidRDefault="007C2FFB" w:rsidP="00780AE9">
            <w:pPr>
              <w:pStyle w:val="TextPara"/>
              <w:keepNext/>
              <w:spacing w:before="120" w:after="120"/>
              <w:jc w:val="center"/>
              <w:rPr>
                <w:bCs/>
              </w:rPr>
            </w:pPr>
            <w:r w:rsidRPr="005A4123">
              <w:rPr>
                <w:bCs/>
              </w:rPr>
              <w:t>Positive</w:t>
            </w:r>
          </w:p>
        </w:tc>
        <w:tc>
          <w:tcPr>
            <w:tcW w:w="4474" w:type="dxa"/>
            <w:tcBorders>
              <w:top w:val="single" w:sz="4" w:space="0" w:color="auto"/>
              <w:left w:val="single" w:sz="4" w:space="0" w:color="auto"/>
              <w:bottom w:val="single" w:sz="4" w:space="0" w:color="auto"/>
              <w:right w:val="single" w:sz="4" w:space="0" w:color="auto"/>
            </w:tcBorders>
          </w:tcPr>
          <w:p w:rsidR="007C2FFB" w:rsidRPr="005A4123" w:rsidRDefault="007C2FFB" w:rsidP="00E63DCB">
            <w:pPr>
              <w:pStyle w:val="TextPara"/>
              <w:keepNext/>
              <w:spacing w:before="120" w:after="0"/>
              <w:rPr>
                <w:bCs/>
              </w:rPr>
            </w:pPr>
            <w:r w:rsidRPr="005A4123">
              <w:rPr>
                <w:bCs/>
              </w:rPr>
              <w:t>AASB</w:t>
            </w:r>
            <w:r w:rsidR="00E63DCB">
              <w:rPr>
                <w:bCs/>
              </w:rPr>
              <w:t> 2011-4</w:t>
            </w:r>
            <w:r w:rsidRPr="005A4123">
              <w:rPr>
                <w:bCs/>
              </w:rPr>
              <w:t xml:space="preserve"> </w:t>
            </w:r>
            <w:r>
              <w:rPr>
                <w:bCs/>
              </w:rPr>
              <w:t>will bring Australian Accounting Standards closer to IFRSs and generally enhance the acceptance of financial statements prepared in accordance with Australian Accounting Standards</w:t>
            </w:r>
            <w:r w:rsidR="00815F8A">
              <w:rPr>
                <w:bCs/>
              </w:rPr>
              <w:t>, particularly</w:t>
            </w:r>
            <w:r>
              <w:rPr>
                <w:bCs/>
              </w:rPr>
              <w:t xml:space="preserve"> </w:t>
            </w:r>
            <w:proofErr w:type="gramStart"/>
            <w:r>
              <w:rPr>
                <w:bCs/>
              </w:rPr>
              <w:t>among  non</w:t>
            </w:r>
            <w:proofErr w:type="gramEnd"/>
            <w:r>
              <w:rPr>
                <w:bCs/>
              </w:rPr>
              <w:t>-Australian users.</w:t>
            </w:r>
          </w:p>
        </w:tc>
      </w:tr>
    </w:tbl>
    <w:p w:rsidR="0059365B" w:rsidRPr="00550F3D" w:rsidRDefault="00AB0453" w:rsidP="00811BBB">
      <w:pPr>
        <w:pStyle w:val="TextPara"/>
        <w:keepNext/>
        <w:spacing w:before="240"/>
        <w:rPr>
          <w:bCs/>
          <w:i/>
          <w:sz w:val="24"/>
          <w:szCs w:val="24"/>
        </w:rPr>
      </w:pPr>
      <w:r>
        <w:rPr>
          <w:bCs/>
          <w:i/>
          <w:sz w:val="24"/>
          <w:szCs w:val="24"/>
        </w:rPr>
        <w:br w:type="page"/>
      </w:r>
      <w:r w:rsidR="0059365B" w:rsidRPr="00550F3D">
        <w:rPr>
          <w:bCs/>
          <w:i/>
          <w:sz w:val="24"/>
          <w:szCs w:val="24"/>
        </w:rPr>
        <w:lastRenderedPageBreak/>
        <w:t>Accounting profession</w:t>
      </w:r>
      <w:r w:rsidR="0041734B">
        <w:rPr>
          <w:bCs/>
          <w:i/>
          <w:sz w:val="24"/>
          <w:szCs w:val="24"/>
        </w:rPr>
        <w:t xml:space="preserve"> (including auditors)</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84"/>
        <w:gridCol w:w="1196"/>
        <w:gridCol w:w="4474"/>
      </w:tblGrid>
      <w:tr w:rsidR="000F5105" w:rsidRPr="00811BBB">
        <w:trPr>
          <w:tblHeader/>
        </w:trPr>
        <w:tc>
          <w:tcPr>
            <w:tcW w:w="1384" w:type="dxa"/>
            <w:tcBorders>
              <w:top w:val="single" w:sz="4" w:space="0" w:color="auto"/>
              <w:left w:val="single" w:sz="4" w:space="0" w:color="auto"/>
              <w:bottom w:val="single" w:sz="4" w:space="0" w:color="auto"/>
              <w:right w:val="single" w:sz="4" w:space="0" w:color="auto"/>
            </w:tcBorders>
          </w:tcPr>
          <w:p w:rsidR="000F5105" w:rsidRPr="00811BBB" w:rsidRDefault="00D7263D" w:rsidP="00550F3D">
            <w:pPr>
              <w:pStyle w:val="TextPara"/>
              <w:keepNext/>
              <w:spacing w:before="120" w:after="120" w:line="240" w:lineRule="auto"/>
              <w:rPr>
                <w:b/>
                <w:bCs/>
              </w:rPr>
            </w:pPr>
            <w:r>
              <w:rPr>
                <w:b/>
                <w:bCs/>
              </w:rPr>
              <w:t>Impact</w:t>
            </w:r>
          </w:p>
        </w:tc>
        <w:tc>
          <w:tcPr>
            <w:tcW w:w="1196" w:type="dxa"/>
            <w:tcBorders>
              <w:top w:val="single" w:sz="4" w:space="0" w:color="auto"/>
              <w:left w:val="single" w:sz="4" w:space="0" w:color="auto"/>
              <w:bottom w:val="single" w:sz="4" w:space="0" w:color="auto"/>
              <w:right w:val="single" w:sz="4" w:space="0" w:color="auto"/>
            </w:tcBorders>
          </w:tcPr>
          <w:p w:rsidR="000F5105" w:rsidRPr="00811BBB" w:rsidRDefault="00D7263D" w:rsidP="00550F3D">
            <w:pPr>
              <w:pStyle w:val="TextPara"/>
              <w:keepNext/>
              <w:spacing w:before="120" w:after="120" w:line="240" w:lineRule="auto"/>
              <w:jc w:val="center"/>
              <w:rPr>
                <w:b/>
                <w:bCs/>
              </w:rPr>
            </w:pPr>
            <w:r>
              <w:rPr>
                <w:b/>
                <w:bCs/>
              </w:rPr>
              <w:t>Assessment</w:t>
            </w:r>
          </w:p>
        </w:tc>
        <w:tc>
          <w:tcPr>
            <w:tcW w:w="4474" w:type="dxa"/>
            <w:tcBorders>
              <w:top w:val="single" w:sz="4" w:space="0" w:color="auto"/>
              <w:left w:val="single" w:sz="4" w:space="0" w:color="auto"/>
              <w:bottom w:val="single" w:sz="4" w:space="0" w:color="auto"/>
              <w:right w:val="single" w:sz="4" w:space="0" w:color="auto"/>
            </w:tcBorders>
          </w:tcPr>
          <w:p w:rsidR="000F5105" w:rsidRPr="00811BBB" w:rsidRDefault="000F5105" w:rsidP="00550F3D">
            <w:pPr>
              <w:pStyle w:val="TextPara"/>
              <w:keepNext/>
              <w:spacing w:before="120" w:after="120" w:line="240" w:lineRule="auto"/>
              <w:rPr>
                <w:b/>
                <w:bCs/>
              </w:rPr>
            </w:pPr>
            <w:r w:rsidRPr="00811BBB">
              <w:rPr>
                <w:b/>
                <w:bCs/>
              </w:rPr>
              <w:t>Analysis</w:t>
            </w:r>
          </w:p>
        </w:tc>
      </w:tr>
      <w:tr w:rsidR="0059365B" w:rsidRPr="00811BBB">
        <w:tc>
          <w:tcPr>
            <w:tcW w:w="1384" w:type="dxa"/>
          </w:tcPr>
          <w:p w:rsidR="0059365B" w:rsidRPr="00811BBB" w:rsidRDefault="00B92457" w:rsidP="00550F3D">
            <w:pPr>
              <w:pStyle w:val="TextPara"/>
              <w:spacing w:before="120" w:after="120" w:line="240" w:lineRule="auto"/>
              <w:rPr>
                <w:sz w:val="18"/>
                <w:szCs w:val="18"/>
              </w:rPr>
            </w:pPr>
            <w:r>
              <w:rPr>
                <w:sz w:val="18"/>
                <w:szCs w:val="18"/>
              </w:rPr>
              <w:t>C</w:t>
            </w:r>
            <w:r w:rsidR="0059365B" w:rsidRPr="00811BBB">
              <w:rPr>
                <w:sz w:val="18"/>
                <w:szCs w:val="18"/>
              </w:rPr>
              <w:t>osts of education and professional development</w:t>
            </w:r>
          </w:p>
        </w:tc>
        <w:tc>
          <w:tcPr>
            <w:tcW w:w="1196" w:type="dxa"/>
          </w:tcPr>
          <w:p w:rsidR="0059365B" w:rsidRPr="00811BBB" w:rsidRDefault="002F1D7C" w:rsidP="00550F3D">
            <w:pPr>
              <w:pStyle w:val="TextPara"/>
              <w:spacing w:before="120" w:after="120" w:line="240" w:lineRule="auto"/>
              <w:jc w:val="center"/>
              <w:rPr>
                <w:sz w:val="18"/>
                <w:szCs w:val="18"/>
              </w:rPr>
            </w:pPr>
            <w:r w:rsidRPr="005A4123">
              <w:rPr>
                <w:bCs/>
              </w:rPr>
              <w:t>Positive</w:t>
            </w:r>
          </w:p>
        </w:tc>
        <w:tc>
          <w:tcPr>
            <w:tcW w:w="4474" w:type="dxa"/>
          </w:tcPr>
          <w:p w:rsidR="009B73EA" w:rsidRPr="009B73EA" w:rsidRDefault="009B73EA" w:rsidP="00E63DCB">
            <w:pPr>
              <w:pStyle w:val="TextPara"/>
              <w:spacing w:before="120" w:after="120" w:line="240" w:lineRule="auto"/>
              <w:rPr>
                <w:sz w:val="18"/>
                <w:szCs w:val="18"/>
              </w:rPr>
            </w:pPr>
            <w:r w:rsidRPr="009B73EA">
              <w:rPr>
                <w:sz w:val="18"/>
                <w:szCs w:val="18"/>
              </w:rPr>
              <w:t>On the basis that AASB</w:t>
            </w:r>
            <w:r w:rsidR="00E63DCB">
              <w:rPr>
                <w:sz w:val="18"/>
                <w:szCs w:val="18"/>
              </w:rPr>
              <w:t> 2011-4</w:t>
            </w:r>
            <w:r w:rsidR="00367EC8">
              <w:rPr>
                <w:sz w:val="18"/>
                <w:szCs w:val="18"/>
              </w:rPr>
              <w:t xml:space="preserve"> will result in Australian Accounting Standards that are better aligned with IFRS</w:t>
            </w:r>
            <w:r w:rsidR="00815F8A">
              <w:rPr>
                <w:sz w:val="18"/>
                <w:szCs w:val="18"/>
              </w:rPr>
              <w:t>s</w:t>
            </w:r>
            <w:r w:rsidR="00367EC8">
              <w:rPr>
                <w:sz w:val="18"/>
                <w:szCs w:val="18"/>
              </w:rPr>
              <w:t xml:space="preserve"> and New Zealand standards, the costs of training staff across mutli-national accounting firms will be reduced and the knowledge gained in one part of the world will be more readily transportable across national boundaries.</w:t>
            </w:r>
            <w:r w:rsidR="00293080">
              <w:rPr>
                <w:sz w:val="18"/>
                <w:szCs w:val="18"/>
              </w:rPr>
              <w:t xml:space="preserve">  The benefits would be </w:t>
            </w:r>
            <w:r w:rsidR="00CC188E">
              <w:rPr>
                <w:sz w:val="18"/>
                <w:szCs w:val="18"/>
              </w:rPr>
              <w:t xml:space="preserve">of </w:t>
            </w:r>
            <w:r w:rsidR="00293080">
              <w:rPr>
                <w:sz w:val="18"/>
                <w:szCs w:val="18"/>
              </w:rPr>
              <w:t>less significan</w:t>
            </w:r>
            <w:r w:rsidR="00CC188E">
              <w:rPr>
                <w:sz w:val="18"/>
                <w:szCs w:val="18"/>
              </w:rPr>
              <w:t>ce to</w:t>
            </w:r>
            <w:r w:rsidR="00293080">
              <w:rPr>
                <w:sz w:val="18"/>
                <w:szCs w:val="18"/>
              </w:rPr>
              <w:t xml:space="preserve"> mid-tier accounting firms and probably of little consequence to smaller firms.</w:t>
            </w:r>
            <w:r w:rsidR="00830CFB">
              <w:rPr>
                <w:sz w:val="18"/>
                <w:szCs w:val="18"/>
              </w:rPr>
              <w:t xml:space="preserve"> </w:t>
            </w:r>
          </w:p>
        </w:tc>
      </w:tr>
    </w:tbl>
    <w:p w:rsidR="0059365B" w:rsidRDefault="00DE2FB3" w:rsidP="00DE2FB3">
      <w:pPr>
        <w:pStyle w:val="TextPara"/>
        <w:keepNext/>
        <w:spacing w:before="360"/>
        <w:rPr>
          <w:b/>
          <w:bCs/>
          <w:i/>
          <w:iCs/>
          <w:sz w:val="24"/>
          <w:szCs w:val="24"/>
        </w:rPr>
      </w:pPr>
      <w:r>
        <w:rPr>
          <w:b/>
          <w:bCs/>
          <w:i/>
          <w:iCs/>
          <w:sz w:val="24"/>
          <w:szCs w:val="24"/>
        </w:rPr>
        <w:t xml:space="preserve">Option 2 – </w:t>
      </w:r>
      <w:r w:rsidR="0059365B">
        <w:rPr>
          <w:b/>
          <w:bCs/>
          <w:i/>
          <w:iCs/>
          <w:sz w:val="24"/>
          <w:szCs w:val="24"/>
        </w:rPr>
        <w:t>The status quo</w:t>
      </w:r>
    </w:p>
    <w:p w:rsidR="00E653D6" w:rsidRDefault="00EC48CC" w:rsidP="00E653D6">
      <w:pPr>
        <w:pStyle w:val="PlainHanging0"/>
      </w:pPr>
      <w:r w:rsidRPr="009F0B7F">
        <w:t>4.</w:t>
      </w:r>
      <w:r w:rsidR="00AA2E8B">
        <w:t>4</w:t>
      </w:r>
      <w:r w:rsidR="0059365B" w:rsidRPr="009F0B7F">
        <w:tab/>
        <w:t>The analysis above consider</w:t>
      </w:r>
      <w:r w:rsidR="00D34DBF" w:rsidRPr="009F0B7F">
        <w:t>s</w:t>
      </w:r>
      <w:r w:rsidR="0059365B" w:rsidRPr="009F0B7F">
        <w:t xml:space="preserve"> the benefits and</w:t>
      </w:r>
      <w:r w:rsidR="00B323B8">
        <w:t xml:space="preserve"> costs of adopti</w:t>
      </w:r>
      <w:r w:rsidR="006229B5">
        <w:t>ng Option 1</w:t>
      </w:r>
      <w:r w:rsidR="00B323B8">
        <w:t xml:space="preserve"> </w:t>
      </w:r>
      <w:r w:rsidR="0059365B" w:rsidRPr="009F0B7F">
        <w:t xml:space="preserve">relative to Option </w:t>
      </w:r>
      <w:r w:rsidR="00815F8A">
        <w:t>2</w:t>
      </w:r>
      <w:r w:rsidR="0059365B" w:rsidRPr="009F0B7F">
        <w:t xml:space="preserve"> and, therefore, also reflects the benefits and costs of maintaining the status quo.  </w:t>
      </w:r>
      <w:r w:rsidR="00D34DBF" w:rsidRPr="009F0B7F">
        <w:t xml:space="preserve">It demonstrates that </w:t>
      </w:r>
      <w:r w:rsidR="002C6AEB">
        <w:t xml:space="preserve">Option 1 </w:t>
      </w:r>
      <w:r w:rsidR="00B8600B">
        <w:t xml:space="preserve">is likely to yield a </w:t>
      </w:r>
      <w:r w:rsidR="00AA2E8B">
        <w:t xml:space="preserve">better </w:t>
      </w:r>
      <w:r w:rsidR="00B8600B">
        <w:t xml:space="preserve">cost-benefit </w:t>
      </w:r>
      <w:r w:rsidR="00AA2E8B">
        <w:t>outcome than</w:t>
      </w:r>
      <w:r w:rsidR="00B8600B">
        <w:t xml:space="preserve"> Option</w:t>
      </w:r>
      <w:r w:rsidR="002C6AEB">
        <w:t> </w:t>
      </w:r>
      <w:r w:rsidR="00815F8A">
        <w:t>2</w:t>
      </w:r>
      <w:r w:rsidR="00F73214">
        <w:t>.</w:t>
      </w:r>
      <w:r w:rsidR="00B8600B">
        <w:t xml:space="preserve"> </w:t>
      </w:r>
    </w:p>
    <w:p w:rsidR="00437B53" w:rsidRPr="00550F3D" w:rsidRDefault="00437B53" w:rsidP="00E653D6">
      <w:pPr>
        <w:tabs>
          <w:tab w:val="left" w:pos="709"/>
        </w:tabs>
        <w:spacing w:before="120" w:after="120"/>
        <w:ind w:left="709" w:hanging="709"/>
        <w:rPr>
          <w:sz w:val="24"/>
          <w:szCs w:val="24"/>
        </w:rPr>
      </w:pPr>
      <w:r w:rsidRPr="00550F3D">
        <w:rPr>
          <w:sz w:val="24"/>
          <w:szCs w:val="24"/>
        </w:rPr>
        <w:t>5.</w:t>
      </w:r>
      <w:r w:rsidRPr="00550F3D">
        <w:rPr>
          <w:sz w:val="24"/>
          <w:szCs w:val="24"/>
        </w:rPr>
        <w:tab/>
        <w:t>Consultation</w:t>
      </w:r>
    </w:p>
    <w:p w:rsidR="00267A36" w:rsidRDefault="00B437D0" w:rsidP="00292F96">
      <w:pPr>
        <w:pStyle w:val="PlainHanging0"/>
      </w:pPr>
      <w:r>
        <w:t>5.1</w:t>
      </w:r>
      <w:r>
        <w:tab/>
      </w:r>
      <w:r w:rsidR="00546ED4">
        <w:t>T</w:t>
      </w:r>
      <w:r>
        <w:t xml:space="preserve">he AASB </w:t>
      </w:r>
      <w:r w:rsidR="00267A36">
        <w:t>issued</w:t>
      </w:r>
      <w:r>
        <w:t xml:space="preserve"> ED 162 </w:t>
      </w:r>
      <w:r w:rsidRPr="00725942">
        <w:rPr>
          <w:i/>
        </w:rPr>
        <w:t>Proposed Amendments to Key Management Personnel Disclosures by Disclosing Entities</w:t>
      </w:r>
      <w:r>
        <w:t xml:space="preserve"> in April 2008 for public comment.</w:t>
      </w:r>
      <w:r w:rsidR="00267A36">
        <w:t xml:space="preserve">  As part of the AASB’s efforts to converge with New Zealand standards, the AASB issued </w:t>
      </w:r>
      <w:r>
        <w:t xml:space="preserve">ED 200A </w:t>
      </w:r>
      <w:r w:rsidRPr="003214D5">
        <w:rPr>
          <w:i/>
        </w:rPr>
        <w:t>Proposals to Harmonise Australian and New Zealand Standards in Relation to Entities Applying IFRSs as Adopted in Australia and New Zealand</w:t>
      </w:r>
      <w:r>
        <w:t xml:space="preserve"> in July 2010</w:t>
      </w:r>
      <w:r w:rsidR="00267A36">
        <w:t xml:space="preserve"> for public comment.  All of those who responded to these Exposure Drafts expressed support for removing the </w:t>
      </w:r>
      <w:r>
        <w:t>remaining individual KMP disclosure requirements</w:t>
      </w:r>
      <w:r w:rsidR="00267A36">
        <w:t xml:space="preserve"> from AASB 124.  In total, over the two Exposure Drafts, this would represent more than 25 respondents</w:t>
      </w:r>
      <w:r w:rsidR="00CC188E">
        <w:t>, which included a number of users of general purpose financial statements</w:t>
      </w:r>
      <w:r w:rsidR="00267A36">
        <w:t>.</w:t>
      </w:r>
    </w:p>
    <w:p w:rsidR="009F0623" w:rsidRDefault="00CC188E" w:rsidP="00292F96">
      <w:pPr>
        <w:pStyle w:val="PlainHanging0"/>
      </w:pPr>
      <w:r>
        <w:t>5.2</w:t>
      </w:r>
      <w:r>
        <w:tab/>
        <w:t xml:space="preserve">Constituents responding on the issue, including users, noted that </w:t>
      </w:r>
      <w:r w:rsidR="00546ED4">
        <w:t xml:space="preserve">having all the individual KMP disclosure requirements located in the Corporations Act </w:t>
      </w:r>
      <w:r>
        <w:t xml:space="preserve">would be a welcome simplification and </w:t>
      </w:r>
      <w:proofErr w:type="gramStart"/>
      <w:r>
        <w:t xml:space="preserve">that </w:t>
      </w:r>
      <w:r w:rsidR="00081315">
        <w:t>aggregate</w:t>
      </w:r>
      <w:r>
        <w:t xml:space="preserve"> disclosure </w:t>
      </w:r>
      <w:r w:rsidR="00546ED4">
        <w:t>requirements</w:t>
      </w:r>
      <w:proofErr w:type="gramEnd"/>
      <w:r w:rsidR="00546ED4">
        <w:t xml:space="preserve"> in Standards </w:t>
      </w:r>
      <w:r>
        <w:t xml:space="preserve">about transactions involving KMP would generally satisfy their needs for information about the accountability of entities </w:t>
      </w:r>
      <w:r w:rsidR="00081315">
        <w:t>as a whole in relation to their dealings with KMP.</w:t>
      </w:r>
    </w:p>
    <w:p w:rsidR="00267A36" w:rsidRDefault="00267A36" w:rsidP="00B437D0">
      <w:pPr>
        <w:pStyle w:val="PlainHanging0"/>
      </w:pPr>
      <w:r>
        <w:lastRenderedPageBreak/>
        <w:t>5.</w:t>
      </w:r>
      <w:r w:rsidR="00CC188E">
        <w:t>3</w:t>
      </w:r>
      <w:r>
        <w:tab/>
      </w:r>
      <w:r w:rsidR="00292F96">
        <w:t>The AASB has had ongoing consultation with the Australian Treasury and New Zealand Ministry of Economic Development and they are aware that the legislative requirements regarding individual KMP disclosures may need to be changed in order to align them across the two jurisdictions</w:t>
      </w:r>
      <w:r>
        <w:t>.</w:t>
      </w:r>
    </w:p>
    <w:p w:rsidR="00437B53" w:rsidRPr="00550F3D" w:rsidRDefault="00437B53" w:rsidP="00081315">
      <w:pPr>
        <w:pStyle w:val="TopHeading2"/>
        <w:keepNext/>
        <w:spacing w:after="120"/>
        <w:ind w:left="510" w:hanging="510"/>
        <w:rPr>
          <w:sz w:val="24"/>
          <w:szCs w:val="24"/>
        </w:rPr>
      </w:pPr>
      <w:r w:rsidRPr="00550F3D">
        <w:rPr>
          <w:sz w:val="24"/>
          <w:szCs w:val="24"/>
        </w:rPr>
        <w:t>6.</w:t>
      </w:r>
      <w:r w:rsidRPr="00550F3D">
        <w:rPr>
          <w:sz w:val="24"/>
          <w:szCs w:val="24"/>
        </w:rPr>
        <w:tab/>
        <w:t>Conclusion and Recommendation</w:t>
      </w:r>
    </w:p>
    <w:p w:rsidR="00E306C5" w:rsidRDefault="007843EC" w:rsidP="00292F96">
      <w:pPr>
        <w:tabs>
          <w:tab w:val="left" w:pos="709"/>
        </w:tabs>
        <w:spacing w:before="120" w:after="120"/>
        <w:ind w:left="510" w:hanging="510"/>
      </w:pPr>
      <w:r>
        <w:t>6.1</w:t>
      </w:r>
      <w:r>
        <w:tab/>
      </w:r>
      <w:r w:rsidR="00EF642E">
        <w:t>As demonstrated in section 4 above</w:t>
      </w:r>
      <w:r w:rsidR="00E306C5">
        <w:t>:</w:t>
      </w:r>
    </w:p>
    <w:p w:rsidR="00E306C5" w:rsidRDefault="00E306C5" w:rsidP="00E306C5">
      <w:pPr>
        <w:tabs>
          <w:tab w:val="left" w:pos="709"/>
        </w:tabs>
        <w:spacing w:before="120" w:after="120"/>
        <w:ind w:left="1020" w:hanging="510"/>
      </w:pPr>
      <w:r>
        <w:t>*</w:t>
      </w:r>
      <w:r>
        <w:tab/>
      </w:r>
      <w:r>
        <w:tab/>
      </w:r>
      <w:r w:rsidR="007843EC">
        <w:t xml:space="preserve">Option 1 </w:t>
      </w:r>
      <w:r w:rsidR="00EF642E">
        <w:t>offers a greater level of</w:t>
      </w:r>
      <w:r w:rsidR="007843EC">
        <w:t xml:space="preserve"> benefits </w:t>
      </w:r>
      <w:r w:rsidR="004577B3">
        <w:t xml:space="preserve">to </w:t>
      </w:r>
      <w:r w:rsidR="00815F8A">
        <w:t>preparers of financial statements</w:t>
      </w:r>
      <w:r w:rsidR="004577B3">
        <w:t xml:space="preserve"> </w:t>
      </w:r>
      <w:r w:rsidR="00815F8A">
        <w:t>and the accounting profession more generally</w:t>
      </w:r>
      <w:r w:rsidR="00647ADD">
        <w:t xml:space="preserve"> </w:t>
      </w:r>
      <w:r w:rsidR="007843EC">
        <w:t xml:space="preserve">than </w:t>
      </w:r>
      <w:r w:rsidR="00D27FB3">
        <w:t>Option</w:t>
      </w:r>
      <w:r w:rsidR="00815F8A">
        <w:t> 2</w:t>
      </w:r>
      <w:r>
        <w:t xml:space="preserve"> (the status quo); and</w:t>
      </w:r>
    </w:p>
    <w:p w:rsidR="006C0978" w:rsidRDefault="00E306C5" w:rsidP="00E306C5">
      <w:pPr>
        <w:tabs>
          <w:tab w:val="left" w:pos="709"/>
        </w:tabs>
        <w:spacing w:before="120" w:after="120"/>
        <w:ind w:left="1020" w:hanging="510"/>
      </w:pPr>
      <w:r>
        <w:t>*</w:t>
      </w:r>
      <w:r>
        <w:tab/>
      </w:r>
      <w:r>
        <w:tab/>
        <w:t xml:space="preserve">users would be no worse off under Option 1 than </w:t>
      </w:r>
      <w:r w:rsidR="00CB241D">
        <w:t xml:space="preserve">they are under </w:t>
      </w:r>
      <w:r>
        <w:t>Option 2</w:t>
      </w:r>
      <w:r w:rsidR="00AB0453">
        <w:t xml:space="preserve"> in terms of the </w:t>
      </w:r>
      <w:r w:rsidR="00972498">
        <w:t>availability</w:t>
      </w:r>
      <w:r w:rsidR="00AB0453">
        <w:t xml:space="preserve"> of relevant information, and better off in the context of IFRS compliance.</w:t>
      </w:r>
    </w:p>
    <w:p w:rsidR="00163DD1" w:rsidRDefault="00605660" w:rsidP="006C0978">
      <w:pPr>
        <w:tabs>
          <w:tab w:val="left" w:pos="709"/>
        </w:tabs>
        <w:spacing w:before="120" w:after="120"/>
        <w:ind w:left="510"/>
      </w:pPr>
      <w:r>
        <w:t>A</w:t>
      </w:r>
      <w:r w:rsidR="007843EC">
        <w:t>ccordingly t</w:t>
      </w:r>
      <w:r w:rsidR="00163DD1">
        <w:t>he AASB concluded that Option</w:t>
      </w:r>
      <w:r w:rsidR="00580D39">
        <w:t> </w:t>
      </w:r>
      <w:r w:rsidR="00163DD1">
        <w:t xml:space="preserve">1 is the </w:t>
      </w:r>
      <w:r w:rsidR="007670CA">
        <w:t>most appropriate</w:t>
      </w:r>
      <w:r w:rsidR="00D27FB3">
        <w:t xml:space="preserve"> course of action</w:t>
      </w:r>
      <w:r w:rsidR="00163DD1">
        <w:t>.</w:t>
      </w:r>
    </w:p>
    <w:p w:rsidR="009522E5" w:rsidRPr="006E210A" w:rsidRDefault="006972E6" w:rsidP="00292F96">
      <w:pPr>
        <w:tabs>
          <w:tab w:val="left" w:pos="709"/>
        </w:tabs>
        <w:spacing w:before="120" w:after="120"/>
        <w:ind w:left="510" w:hanging="510"/>
      </w:pPr>
      <w:r>
        <w:t>6.2</w:t>
      </w:r>
      <w:r w:rsidR="007843EC">
        <w:tab/>
      </w:r>
      <w:r w:rsidR="00815F8A">
        <w:t>Option 2</w:t>
      </w:r>
      <w:r w:rsidR="00BE3F23">
        <w:t>,</w:t>
      </w:r>
      <w:r w:rsidR="009522E5">
        <w:t xml:space="preserve"> </w:t>
      </w:r>
      <w:r w:rsidR="009522E5" w:rsidRPr="007843EC">
        <w:rPr>
          <w:szCs w:val="24"/>
        </w:rPr>
        <w:t>which</w:t>
      </w:r>
      <w:r w:rsidR="009522E5">
        <w:t xml:space="preserve"> </w:t>
      </w:r>
      <w:r w:rsidR="00EF642E">
        <w:t>would keep</w:t>
      </w:r>
      <w:r w:rsidR="009522E5">
        <w:t xml:space="preserve"> the status quo</w:t>
      </w:r>
      <w:r w:rsidR="00BE3F23">
        <w:t>,</w:t>
      </w:r>
      <w:r w:rsidR="009522E5">
        <w:t xml:space="preserve"> is seen as </w:t>
      </w:r>
      <w:r w:rsidR="00D27FB3">
        <w:t xml:space="preserve">inappropriate </w:t>
      </w:r>
      <w:r w:rsidR="009522E5">
        <w:t>as reflected in constituents</w:t>
      </w:r>
      <w:r w:rsidR="002C60CE">
        <w:t>’</w:t>
      </w:r>
      <w:r w:rsidR="009522E5">
        <w:t xml:space="preserve"> comments </w:t>
      </w:r>
      <w:r w:rsidR="00EF642E">
        <w:t>on</w:t>
      </w:r>
      <w:r w:rsidR="000959B7">
        <w:t xml:space="preserve"> </w:t>
      </w:r>
      <w:r w:rsidR="00815F8A">
        <w:t>ED 162 and ED 200A</w:t>
      </w:r>
      <w:r w:rsidR="009522E5">
        <w:t>.</w:t>
      </w:r>
    </w:p>
    <w:p w:rsidR="00437B53" w:rsidRPr="002C60CE" w:rsidRDefault="00437B53" w:rsidP="009B7110">
      <w:pPr>
        <w:pStyle w:val="TopHeading2"/>
        <w:keepNext/>
        <w:spacing w:after="120"/>
        <w:ind w:left="510" w:hanging="510"/>
        <w:rPr>
          <w:sz w:val="24"/>
          <w:szCs w:val="24"/>
        </w:rPr>
      </w:pPr>
      <w:r w:rsidRPr="002C60CE">
        <w:rPr>
          <w:sz w:val="24"/>
          <w:szCs w:val="24"/>
        </w:rPr>
        <w:t>7</w:t>
      </w:r>
      <w:r w:rsidR="00570908" w:rsidRPr="002C60CE">
        <w:rPr>
          <w:sz w:val="24"/>
          <w:szCs w:val="24"/>
        </w:rPr>
        <w:t>.</w:t>
      </w:r>
      <w:r w:rsidRPr="002C60CE">
        <w:rPr>
          <w:sz w:val="24"/>
          <w:szCs w:val="24"/>
        </w:rPr>
        <w:tab/>
        <w:t>Implementation and Review</w:t>
      </w:r>
    </w:p>
    <w:p w:rsidR="00EF642E" w:rsidRDefault="00605660" w:rsidP="006972E6">
      <w:pPr>
        <w:tabs>
          <w:tab w:val="left" w:pos="709"/>
        </w:tabs>
        <w:spacing w:before="120" w:after="120"/>
        <w:ind w:left="510" w:hanging="510"/>
      </w:pPr>
      <w:r>
        <w:t>7.1</w:t>
      </w:r>
      <w:r>
        <w:tab/>
      </w:r>
      <w:r w:rsidR="006972E6">
        <w:t>The impacts of AASB </w:t>
      </w:r>
      <w:r w:rsidR="009F0623">
        <w:t>2011-4</w:t>
      </w:r>
      <w:r w:rsidR="00D27FB3">
        <w:t xml:space="preserve"> </w:t>
      </w:r>
      <w:r w:rsidR="006972E6">
        <w:t xml:space="preserve">will be subject to review </w:t>
      </w:r>
      <w:r w:rsidR="00437B53" w:rsidRPr="006E210A">
        <w:t xml:space="preserve">taking account of </w:t>
      </w:r>
      <w:r w:rsidR="000B7C6F">
        <w:t xml:space="preserve">the experience of constituents </w:t>
      </w:r>
      <w:r w:rsidR="006972E6">
        <w:t>and developments in other regulation affecting disclosing entities.  However, the AASB doubts there would be a need to reinstate any of the disclosure requirements being removed via AASB </w:t>
      </w:r>
      <w:r w:rsidR="009F0623">
        <w:t>2011-4</w:t>
      </w:r>
      <w:r w:rsidR="006972E6">
        <w:t>.</w:t>
      </w:r>
    </w:p>
    <w:p w:rsidR="001E5370" w:rsidRPr="006E210A" w:rsidRDefault="001E5370" w:rsidP="00A17B51">
      <w:pPr>
        <w:pStyle w:val="TextPara"/>
      </w:pPr>
    </w:p>
    <w:sectPr w:rsidR="001E5370" w:rsidRPr="006E210A">
      <w:headerReference w:type="even" r:id="rId11"/>
      <w:footerReference w:type="default" r:id="rId12"/>
      <w:headerReference w:type="first" r:id="rId13"/>
      <w:pgSz w:w="11907" w:h="16840"/>
      <w:pgMar w:top="3686" w:right="2837" w:bottom="3686" w:left="2837" w:header="706" w:footer="3254" w:gutter="0"/>
      <w:paperSrc w:first="266" w:other="26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65" w:rsidRDefault="00E77B65">
      <w:r>
        <w:separator/>
      </w:r>
    </w:p>
  </w:endnote>
  <w:endnote w:type="continuationSeparator" w:id="0">
    <w:p w:rsidR="00E77B65" w:rsidRDefault="00E7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C5" w:rsidRDefault="00E306C5">
    <w:pPr>
      <w:pStyle w:val="Footer"/>
      <w:tabs>
        <w:tab w:val="right" w:pos="6237"/>
      </w:tabs>
      <w:rPr>
        <w:b/>
      </w:rPr>
    </w:pPr>
    <w:r>
      <w:rPr>
        <w:b/>
      </w:rPr>
      <w:tab/>
    </w:r>
    <w:r>
      <w:fldChar w:fldCharType="begin"/>
    </w:r>
    <w:r>
      <w:instrText>PAGE</w:instrText>
    </w:r>
    <w:r>
      <w:fldChar w:fldCharType="separate"/>
    </w:r>
    <w:r w:rsidR="007F797E">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65" w:rsidRDefault="00E77B65">
      <w:r>
        <w:separator/>
      </w:r>
    </w:p>
  </w:footnote>
  <w:footnote w:type="continuationSeparator" w:id="0">
    <w:p w:rsidR="00E77B65" w:rsidRDefault="00E77B65">
      <w:r>
        <w:continuationSeparator/>
      </w:r>
    </w:p>
  </w:footnote>
  <w:footnote w:id="1">
    <w:p w:rsidR="00E306C5" w:rsidRDefault="00E306C5" w:rsidP="00206BD1">
      <w:pPr>
        <w:pStyle w:val="FootnoteText"/>
        <w:ind w:left="170" w:hanging="170"/>
      </w:pPr>
      <w:r w:rsidRPr="005A406C">
        <w:rPr>
          <w:rStyle w:val="FootnoteReference"/>
        </w:rPr>
        <w:footnoteRef/>
      </w:r>
      <w:r w:rsidRPr="005A406C">
        <w:t xml:space="preserve"> </w:t>
      </w:r>
      <w:r>
        <w:t xml:space="preserve"> </w:t>
      </w:r>
      <w:r w:rsidRPr="005A406C">
        <w:t>Corporations Act Regulation 2M.6.04 permitted listed companies to avoid making the same</w:t>
      </w:r>
      <w:r>
        <w:t xml:space="preserve"> disclosures </w:t>
      </w:r>
      <w:proofErr w:type="gramStart"/>
      <w:r>
        <w:t>twice,</w:t>
      </w:r>
      <w:proofErr w:type="gramEnd"/>
      <w:r>
        <w:t xml:space="preserve"> however, the Corporations Amendment Regulations 2007 (No. 2) removed that regulation.</w:t>
      </w:r>
    </w:p>
  </w:footnote>
  <w:footnote w:id="2">
    <w:p w:rsidR="00E306C5" w:rsidRDefault="00E306C5" w:rsidP="00206BD1">
      <w:pPr>
        <w:pStyle w:val="FootnoteText"/>
        <w:ind w:left="170" w:hanging="170"/>
      </w:pPr>
      <w:r w:rsidRPr="003214D5">
        <w:rPr>
          <w:rStyle w:val="FootnoteReference"/>
        </w:rPr>
        <w:footnoteRef/>
      </w:r>
      <w:r w:rsidRPr="003214D5">
        <w:t xml:space="preserve"> </w:t>
      </w:r>
      <w:r>
        <w:t xml:space="preserve"> </w:t>
      </w:r>
      <w:r w:rsidRPr="003214D5">
        <w:t xml:space="preserve">AASB 2008-4 </w:t>
      </w:r>
      <w:r w:rsidRPr="003214D5">
        <w:rPr>
          <w:i/>
        </w:rPr>
        <w:t>Amendments to Australian Accounting Standard – Key Management Personnel</w:t>
      </w:r>
      <w:r w:rsidRPr="007B397B">
        <w:rPr>
          <w:i/>
        </w:rPr>
        <w:t xml:space="preserve"> Disclosures by Disclosing Entities</w:t>
      </w:r>
    </w:p>
  </w:footnote>
  <w:footnote w:id="3">
    <w:p w:rsidR="00E306C5" w:rsidRPr="00E30AC3" w:rsidRDefault="00E306C5" w:rsidP="00206BD1">
      <w:pPr>
        <w:pStyle w:val="FootnoteText"/>
        <w:ind w:left="170" w:hanging="170"/>
      </w:pPr>
      <w:r w:rsidRPr="00E30AC3">
        <w:rPr>
          <w:rStyle w:val="FootnoteReference"/>
        </w:rPr>
        <w:footnoteRef/>
      </w:r>
      <w:r w:rsidRPr="00E30AC3">
        <w:t xml:space="preserve"> </w:t>
      </w:r>
      <w:r>
        <w:t xml:space="preserve"> </w:t>
      </w:r>
      <w:r w:rsidRPr="00E30AC3">
        <w:t>More information is available from the Trans-Tasman Outcomes Implementation Group website – www.treasury.gov.au/ttoig</w:t>
      </w:r>
      <w:r>
        <w:t>.</w:t>
      </w:r>
    </w:p>
  </w:footnote>
  <w:footnote w:id="4">
    <w:p w:rsidR="00E306C5" w:rsidRPr="00E306C5" w:rsidRDefault="00E306C5" w:rsidP="00E306C5">
      <w:pPr>
        <w:pStyle w:val="Bullets"/>
        <w:numPr>
          <w:ilvl w:val="0"/>
          <w:numId w:val="0"/>
        </w:numPr>
        <w:spacing w:before="120"/>
        <w:ind w:left="170" w:hanging="170"/>
        <w:rPr>
          <w:bCs/>
          <w:sz w:val="18"/>
        </w:rPr>
      </w:pPr>
      <w:r w:rsidRPr="00E306C5">
        <w:rPr>
          <w:rStyle w:val="FootnoteReference"/>
          <w:sz w:val="18"/>
          <w:vertAlign w:val="baseline"/>
        </w:rPr>
        <w:footnoteRef/>
      </w:r>
      <w:r>
        <w:rPr>
          <w:sz w:val="18"/>
        </w:rPr>
        <w:t xml:space="preserve"> </w:t>
      </w:r>
      <w:r w:rsidRPr="00E306C5">
        <w:rPr>
          <w:sz w:val="18"/>
        </w:rPr>
        <w:t xml:space="preserve"> </w:t>
      </w:r>
      <w:r>
        <w:rPr>
          <w:sz w:val="18"/>
        </w:rPr>
        <w:t xml:space="preserve">Note, as some stage, the </w:t>
      </w:r>
      <w:r w:rsidRPr="00E306C5">
        <w:rPr>
          <w:bCs/>
          <w:sz w:val="18"/>
        </w:rPr>
        <w:t xml:space="preserve">Government may </w:t>
      </w:r>
      <w:r>
        <w:rPr>
          <w:bCs/>
          <w:sz w:val="18"/>
        </w:rPr>
        <w:t xml:space="preserve">consider </w:t>
      </w:r>
      <w:r w:rsidR="004A5FA9">
        <w:rPr>
          <w:bCs/>
          <w:sz w:val="18"/>
        </w:rPr>
        <w:t>modifying the existing disclosures required by</w:t>
      </w:r>
      <w:r>
        <w:rPr>
          <w:bCs/>
          <w:sz w:val="18"/>
        </w:rPr>
        <w:t xml:space="preserve"> </w:t>
      </w:r>
      <w:r w:rsidRPr="00E306C5">
        <w:rPr>
          <w:bCs/>
          <w:sz w:val="18"/>
        </w:rPr>
        <w:t xml:space="preserve">the Corporations Act </w:t>
      </w:r>
      <w:r w:rsidR="004A5FA9">
        <w:rPr>
          <w:bCs/>
          <w:sz w:val="18"/>
        </w:rPr>
        <w:t xml:space="preserve">as a result of the individual KMP disclosure requirements being removed from </w:t>
      </w:r>
      <w:r w:rsidR="00D2538E">
        <w:rPr>
          <w:bCs/>
          <w:sz w:val="18"/>
        </w:rPr>
        <w:t>Australian</w:t>
      </w:r>
      <w:r w:rsidR="004A5FA9">
        <w:rPr>
          <w:bCs/>
          <w:sz w:val="18"/>
        </w:rPr>
        <w:t xml:space="preserve"> Accounting Standards</w:t>
      </w:r>
      <w:r>
        <w:rPr>
          <w:bCs/>
          <w:sz w:val="18"/>
        </w:rPr>
        <w:t>.</w:t>
      </w:r>
    </w:p>
    <w:p w:rsidR="00E306C5" w:rsidRDefault="00E306C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C5" w:rsidRPr="00843611" w:rsidRDefault="00E306C5" w:rsidP="00843611">
    <w:pPr>
      <w:pStyle w:val="Header"/>
      <w:tabs>
        <w:tab w:val="clear" w:pos="4320"/>
        <w:tab w:val="right" w:pos="6237"/>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C5" w:rsidRDefault="00E306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C5" w:rsidRDefault="00E3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4F3"/>
    <w:multiLevelType w:val="hybridMultilevel"/>
    <w:tmpl w:val="6E481F2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8B06C87"/>
    <w:multiLevelType w:val="hybridMultilevel"/>
    <w:tmpl w:val="59E2C1C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D897C0D"/>
    <w:multiLevelType w:val="hybridMultilevel"/>
    <w:tmpl w:val="A5EA9F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D8E2A75"/>
    <w:multiLevelType w:val="hybridMultilevel"/>
    <w:tmpl w:val="16C29220"/>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E771088"/>
    <w:multiLevelType w:val="hybridMultilevel"/>
    <w:tmpl w:val="7BD4E21C"/>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1743BF6"/>
    <w:multiLevelType w:val="hybridMultilevel"/>
    <w:tmpl w:val="E4508DC2"/>
    <w:lvl w:ilvl="0" w:tplc="0C090003">
      <w:start w:val="1"/>
      <w:numFmt w:val="bullet"/>
      <w:lvlText w:val="o"/>
      <w:lvlJc w:val="left"/>
      <w:pPr>
        <w:tabs>
          <w:tab w:val="num" w:pos="757"/>
        </w:tabs>
        <w:ind w:left="757" w:hanging="360"/>
      </w:pPr>
      <w:rPr>
        <w:rFonts w:ascii="Courier New" w:hAnsi="Courier New" w:cs="Courier New" w:hint="default"/>
      </w:rPr>
    </w:lvl>
    <w:lvl w:ilvl="1" w:tplc="0C090003">
      <w:start w:val="1"/>
      <w:numFmt w:val="bullet"/>
      <w:lvlText w:val="o"/>
      <w:lvlJc w:val="left"/>
      <w:pPr>
        <w:tabs>
          <w:tab w:val="num" w:pos="1477"/>
        </w:tabs>
        <w:ind w:left="1477" w:hanging="360"/>
      </w:pPr>
      <w:rPr>
        <w:rFonts w:ascii="Courier New" w:hAnsi="Courier New" w:cs="Courier New" w:hint="default"/>
      </w:rPr>
    </w:lvl>
    <w:lvl w:ilvl="2" w:tplc="0C090005" w:tentative="1">
      <w:start w:val="1"/>
      <w:numFmt w:val="bullet"/>
      <w:lvlText w:val=""/>
      <w:lvlJc w:val="left"/>
      <w:pPr>
        <w:tabs>
          <w:tab w:val="num" w:pos="2197"/>
        </w:tabs>
        <w:ind w:left="2197" w:hanging="360"/>
      </w:pPr>
      <w:rPr>
        <w:rFonts w:ascii="Wingdings" w:hAnsi="Wingdings" w:hint="default"/>
      </w:rPr>
    </w:lvl>
    <w:lvl w:ilvl="3" w:tplc="0C090001" w:tentative="1">
      <w:start w:val="1"/>
      <w:numFmt w:val="bullet"/>
      <w:lvlText w:val=""/>
      <w:lvlJc w:val="left"/>
      <w:pPr>
        <w:tabs>
          <w:tab w:val="num" w:pos="2917"/>
        </w:tabs>
        <w:ind w:left="2917" w:hanging="360"/>
      </w:pPr>
      <w:rPr>
        <w:rFonts w:ascii="Symbol" w:hAnsi="Symbol" w:hint="default"/>
      </w:rPr>
    </w:lvl>
    <w:lvl w:ilvl="4" w:tplc="0C090003" w:tentative="1">
      <w:start w:val="1"/>
      <w:numFmt w:val="bullet"/>
      <w:lvlText w:val="o"/>
      <w:lvlJc w:val="left"/>
      <w:pPr>
        <w:tabs>
          <w:tab w:val="num" w:pos="3637"/>
        </w:tabs>
        <w:ind w:left="3637" w:hanging="360"/>
      </w:pPr>
      <w:rPr>
        <w:rFonts w:ascii="Courier New" w:hAnsi="Courier New" w:cs="Courier New" w:hint="default"/>
      </w:rPr>
    </w:lvl>
    <w:lvl w:ilvl="5" w:tplc="0C090005" w:tentative="1">
      <w:start w:val="1"/>
      <w:numFmt w:val="bullet"/>
      <w:lvlText w:val=""/>
      <w:lvlJc w:val="left"/>
      <w:pPr>
        <w:tabs>
          <w:tab w:val="num" w:pos="4357"/>
        </w:tabs>
        <w:ind w:left="4357" w:hanging="360"/>
      </w:pPr>
      <w:rPr>
        <w:rFonts w:ascii="Wingdings" w:hAnsi="Wingdings" w:hint="default"/>
      </w:rPr>
    </w:lvl>
    <w:lvl w:ilvl="6" w:tplc="0C090001" w:tentative="1">
      <w:start w:val="1"/>
      <w:numFmt w:val="bullet"/>
      <w:lvlText w:val=""/>
      <w:lvlJc w:val="left"/>
      <w:pPr>
        <w:tabs>
          <w:tab w:val="num" w:pos="5077"/>
        </w:tabs>
        <w:ind w:left="5077" w:hanging="360"/>
      </w:pPr>
      <w:rPr>
        <w:rFonts w:ascii="Symbol" w:hAnsi="Symbol" w:hint="default"/>
      </w:rPr>
    </w:lvl>
    <w:lvl w:ilvl="7" w:tplc="0C090003" w:tentative="1">
      <w:start w:val="1"/>
      <w:numFmt w:val="bullet"/>
      <w:lvlText w:val="o"/>
      <w:lvlJc w:val="left"/>
      <w:pPr>
        <w:tabs>
          <w:tab w:val="num" w:pos="5797"/>
        </w:tabs>
        <w:ind w:left="5797" w:hanging="360"/>
      </w:pPr>
      <w:rPr>
        <w:rFonts w:ascii="Courier New" w:hAnsi="Courier New" w:cs="Courier New" w:hint="default"/>
      </w:rPr>
    </w:lvl>
    <w:lvl w:ilvl="8" w:tplc="0C090005" w:tentative="1">
      <w:start w:val="1"/>
      <w:numFmt w:val="bullet"/>
      <w:lvlText w:val=""/>
      <w:lvlJc w:val="left"/>
      <w:pPr>
        <w:tabs>
          <w:tab w:val="num" w:pos="6517"/>
        </w:tabs>
        <w:ind w:left="6517" w:hanging="360"/>
      </w:pPr>
      <w:rPr>
        <w:rFonts w:ascii="Wingdings" w:hAnsi="Wingdings" w:hint="default"/>
      </w:rPr>
    </w:lvl>
  </w:abstractNum>
  <w:abstractNum w:abstractNumId="6">
    <w:nsid w:val="13E035C2"/>
    <w:multiLevelType w:val="multilevel"/>
    <w:tmpl w:val="BE1E3BBE"/>
    <w:lvl w:ilvl="0">
      <w:start w:val="1"/>
      <w:numFmt w:val="decimal"/>
      <w:pStyle w:val="NumBC1"/>
      <w:lvlText w:val="BC%1"/>
      <w:lvlJc w:val="left"/>
      <w:pPr>
        <w:tabs>
          <w:tab w:val="num" w:pos="1334"/>
        </w:tabs>
        <w:ind w:left="133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7">
    <w:nsid w:val="16754891"/>
    <w:multiLevelType w:val="hybridMultilevel"/>
    <w:tmpl w:val="9CC494D2"/>
    <w:lvl w:ilvl="0" w:tplc="E11EBD5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2874FEB"/>
    <w:multiLevelType w:val="hybridMultilevel"/>
    <w:tmpl w:val="461E50B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3B80223"/>
    <w:multiLevelType w:val="hybridMultilevel"/>
    <w:tmpl w:val="58D432A2"/>
    <w:lvl w:ilvl="0" w:tplc="04CA136A">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4C55C76"/>
    <w:multiLevelType w:val="hybridMultilevel"/>
    <w:tmpl w:val="C2E4615A"/>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E9A16AB"/>
    <w:multiLevelType w:val="hybridMultilevel"/>
    <w:tmpl w:val="83CCC5E8"/>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FBC07CD"/>
    <w:multiLevelType w:val="hybridMultilevel"/>
    <w:tmpl w:val="D750AB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4E04517"/>
    <w:multiLevelType w:val="hybridMultilevel"/>
    <w:tmpl w:val="79984746"/>
    <w:lvl w:ilvl="0" w:tplc="04CA136A">
      <w:start w:val="1"/>
      <w:numFmt w:val="bullet"/>
      <w:lvlText w:val=""/>
      <w:lvlJc w:val="left"/>
      <w:pPr>
        <w:tabs>
          <w:tab w:val="num" w:pos="1134"/>
        </w:tabs>
        <w:ind w:left="1134" w:hanging="360"/>
      </w:pPr>
      <w:rPr>
        <w:rFonts w:ascii="Symbol" w:hAnsi="Symbol" w:hint="default"/>
        <w:sz w:val="18"/>
        <w:szCs w:val="18"/>
      </w:rPr>
    </w:lvl>
    <w:lvl w:ilvl="1" w:tplc="0C090003" w:tentative="1">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14">
    <w:nsid w:val="368F52F9"/>
    <w:multiLevelType w:val="hybridMultilevel"/>
    <w:tmpl w:val="DA7209AA"/>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8E61BE9"/>
    <w:multiLevelType w:val="hybridMultilevel"/>
    <w:tmpl w:val="FAF89338"/>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DF771A0"/>
    <w:multiLevelType w:val="hybridMultilevel"/>
    <w:tmpl w:val="AFA289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66301FF"/>
    <w:multiLevelType w:val="hybridMultilevel"/>
    <w:tmpl w:val="7890B28E"/>
    <w:lvl w:ilvl="0" w:tplc="AE64B202">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B507801"/>
    <w:multiLevelType w:val="multilevel"/>
    <w:tmpl w:val="17EAEBB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6BA5FFD"/>
    <w:multiLevelType w:val="hybridMultilevel"/>
    <w:tmpl w:val="7C08B6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0892CAC"/>
    <w:multiLevelType w:val="hybridMultilevel"/>
    <w:tmpl w:val="C93A5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199663C"/>
    <w:multiLevelType w:val="multilevel"/>
    <w:tmpl w:val="D750AB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1033A9"/>
    <w:multiLevelType w:val="hybridMultilevel"/>
    <w:tmpl w:val="544420F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4EE57C6"/>
    <w:multiLevelType w:val="hybridMultilevel"/>
    <w:tmpl w:val="17EAEBB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67033C7"/>
    <w:multiLevelType w:val="hybridMultilevel"/>
    <w:tmpl w:val="293435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C665B59"/>
    <w:multiLevelType w:val="hybridMultilevel"/>
    <w:tmpl w:val="48AC53E6"/>
    <w:lvl w:ilvl="0" w:tplc="34F277B2">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03626F0"/>
    <w:multiLevelType w:val="hybridMultilevel"/>
    <w:tmpl w:val="1E7610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4C27E72"/>
    <w:multiLevelType w:val="hybridMultilevel"/>
    <w:tmpl w:val="856E7340"/>
    <w:lvl w:ilvl="0" w:tplc="04CA136A">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BE43664"/>
    <w:multiLevelType w:val="singleLevel"/>
    <w:tmpl w:val="14FC603C"/>
    <w:lvl w:ilvl="0">
      <w:start w:val="1"/>
      <w:numFmt w:val="bullet"/>
      <w:pStyle w:val="Bullets"/>
      <w:lvlText w:val=""/>
      <w:lvlJc w:val="left"/>
      <w:pPr>
        <w:tabs>
          <w:tab w:val="num" w:pos="360"/>
        </w:tabs>
        <w:ind w:left="360" w:hanging="360"/>
      </w:pPr>
      <w:rPr>
        <w:rFonts w:ascii="Symbol" w:hAnsi="Symbol" w:hint="default"/>
        <w:sz w:val="20"/>
        <w:szCs w:val="20"/>
      </w:rPr>
    </w:lvl>
  </w:abstractNum>
  <w:num w:numId="1">
    <w:abstractNumId w:val="1"/>
  </w:num>
  <w:num w:numId="2">
    <w:abstractNumId w:val="6"/>
  </w:num>
  <w:num w:numId="3">
    <w:abstractNumId w:val="28"/>
  </w:num>
  <w:num w:numId="4">
    <w:abstractNumId w:val="8"/>
  </w:num>
  <w:num w:numId="5">
    <w:abstractNumId w:val="19"/>
  </w:num>
  <w:num w:numId="6">
    <w:abstractNumId w:val="22"/>
  </w:num>
  <w:num w:numId="7">
    <w:abstractNumId w:val="0"/>
  </w:num>
  <w:num w:numId="8">
    <w:abstractNumId w:val="7"/>
  </w:num>
  <w:num w:numId="9">
    <w:abstractNumId w:val="12"/>
  </w:num>
  <w:num w:numId="10">
    <w:abstractNumId w:val="21"/>
  </w:num>
  <w:num w:numId="11">
    <w:abstractNumId w:val="17"/>
  </w:num>
  <w:num w:numId="12">
    <w:abstractNumId w:val="25"/>
  </w:num>
  <w:num w:numId="13">
    <w:abstractNumId w:val="4"/>
  </w:num>
  <w:num w:numId="14">
    <w:abstractNumId w:val="14"/>
  </w:num>
  <w:num w:numId="15">
    <w:abstractNumId w:val="20"/>
  </w:num>
  <w:num w:numId="16">
    <w:abstractNumId w:val="26"/>
  </w:num>
  <w:num w:numId="17">
    <w:abstractNumId w:val="16"/>
  </w:num>
  <w:num w:numId="18">
    <w:abstractNumId w:val="2"/>
  </w:num>
  <w:num w:numId="19">
    <w:abstractNumId w:val="24"/>
  </w:num>
  <w:num w:numId="20">
    <w:abstractNumId w:val="5"/>
  </w:num>
  <w:num w:numId="21">
    <w:abstractNumId w:val="23"/>
  </w:num>
  <w:num w:numId="22">
    <w:abstractNumId w:val="18"/>
  </w:num>
  <w:num w:numId="23">
    <w:abstractNumId w:val="3"/>
  </w:num>
  <w:num w:numId="24">
    <w:abstractNumId w:val="13"/>
  </w:num>
  <w:num w:numId="25">
    <w:abstractNumId w:val="15"/>
  </w:num>
  <w:num w:numId="26">
    <w:abstractNumId w:val="11"/>
  </w:num>
  <w:num w:numId="27">
    <w:abstractNumId w:val="9"/>
  </w:num>
  <w:num w:numId="28">
    <w:abstractNumId w:val="27"/>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ctiveWritingStyle w:appName="MSWord" w:lang="en-AU"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E0"/>
    <w:rsid w:val="0000454C"/>
    <w:rsid w:val="00013137"/>
    <w:rsid w:val="0001342D"/>
    <w:rsid w:val="00016BEA"/>
    <w:rsid w:val="0002230E"/>
    <w:rsid w:val="00027FDD"/>
    <w:rsid w:val="00035D38"/>
    <w:rsid w:val="00037225"/>
    <w:rsid w:val="0004092D"/>
    <w:rsid w:val="0004444B"/>
    <w:rsid w:val="000460CB"/>
    <w:rsid w:val="00050562"/>
    <w:rsid w:val="00051677"/>
    <w:rsid w:val="00052C84"/>
    <w:rsid w:val="000531DB"/>
    <w:rsid w:val="00060E82"/>
    <w:rsid w:val="0006138C"/>
    <w:rsid w:val="00072481"/>
    <w:rsid w:val="000800B9"/>
    <w:rsid w:val="00081315"/>
    <w:rsid w:val="00081461"/>
    <w:rsid w:val="00081649"/>
    <w:rsid w:val="00082A46"/>
    <w:rsid w:val="000848D2"/>
    <w:rsid w:val="00094251"/>
    <w:rsid w:val="000959B7"/>
    <w:rsid w:val="000A152F"/>
    <w:rsid w:val="000A16C3"/>
    <w:rsid w:val="000A4735"/>
    <w:rsid w:val="000A4AA3"/>
    <w:rsid w:val="000A5B1A"/>
    <w:rsid w:val="000A7EF3"/>
    <w:rsid w:val="000B025C"/>
    <w:rsid w:val="000B04EF"/>
    <w:rsid w:val="000B7C6F"/>
    <w:rsid w:val="000C3A4D"/>
    <w:rsid w:val="000C4F57"/>
    <w:rsid w:val="000C60F5"/>
    <w:rsid w:val="000D282A"/>
    <w:rsid w:val="000D7B1C"/>
    <w:rsid w:val="000E3AA5"/>
    <w:rsid w:val="000F2879"/>
    <w:rsid w:val="000F3306"/>
    <w:rsid w:val="000F5105"/>
    <w:rsid w:val="000F72FB"/>
    <w:rsid w:val="0010208B"/>
    <w:rsid w:val="00105DAB"/>
    <w:rsid w:val="00105F36"/>
    <w:rsid w:val="00106748"/>
    <w:rsid w:val="00107530"/>
    <w:rsid w:val="00107FA9"/>
    <w:rsid w:val="001147BD"/>
    <w:rsid w:val="0011641C"/>
    <w:rsid w:val="00123316"/>
    <w:rsid w:val="001269EB"/>
    <w:rsid w:val="00136870"/>
    <w:rsid w:val="00140104"/>
    <w:rsid w:val="001401E0"/>
    <w:rsid w:val="001416E6"/>
    <w:rsid w:val="0014290A"/>
    <w:rsid w:val="00150F8F"/>
    <w:rsid w:val="00160068"/>
    <w:rsid w:val="00163250"/>
    <w:rsid w:val="00163DD1"/>
    <w:rsid w:val="001642FB"/>
    <w:rsid w:val="001653B1"/>
    <w:rsid w:val="00166010"/>
    <w:rsid w:val="00167CDA"/>
    <w:rsid w:val="0017150D"/>
    <w:rsid w:val="00171D8D"/>
    <w:rsid w:val="00173DB5"/>
    <w:rsid w:val="001746D5"/>
    <w:rsid w:val="00176830"/>
    <w:rsid w:val="00187207"/>
    <w:rsid w:val="00191B5C"/>
    <w:rsid w:val="00193433"/>
    <w:rsid w:val="00193AB6"/>
    <w:rsid w:val="001A0520"/>
    <w:rsid w:val="001A13F0"/>
    <w:rsid w:val="001A193C"/>
    <w:rsid w:val="001A3601"/>
    <w:rsid w:val="001A6ADE"/>
    <w:rsid w:val="001B733C"/>
    <w:rsid w:val="001C06D0"/>
    <w:rsid w:val="001C0D70"/>
    <w:rsid w:val="001C5992"/>
    <w:rsid w:val="001C75F5"/>
    <w:rsid w:val="001D5705"/>
    <w:rsid w:val="001D621E"/>
    <w:rsid w:val="001E0C9F"/>
    <w:rsid w:val="001E44AE"/>
    <w:rsid w:val="001E46C9"/>
    <w:rsid w:val="001E5370"/>
    <w:rsid w:val="001E6D46"/>
    <w:rsid w:val="001F37A3"/>
    <w:rsid w:val="001F6C70"/>
    <w:rsid w:val="001F70CF"/>
    <w:rsid w:val="00203FA1"/>
    <w:rsid w:val="00205B4A"/>
    <w:rsid w:val="00206BD1"/>
    <w:rsid w:val="002126C6"/>
    <w:rsid w:val="002145A8"/>
    <w:rsid w:val="00231887"/>
    <w:rsid w:val="00233070"/>
    <w:rsid w:val="00235557"/>
    <w:rsid w:val="00235DE2"/>
    <w:rsid w:val="0024188E"/>
    <w:rsid w:val="00243A72"/>
    <w:rsid w:val="00243B16"/>
    <w:rsid w:val="002456AA"/>
    <w:rsid w:val="00245D80"/>
    <w:rsid w:val="00250949"/>
    <w:rsid w:val="0025236C"/>
    <w:rsid w:val="00253068"/>
    <w:rsid w:val="002535B4"/>
    <w:rsid w:val="00253EF3"/>
    <w:rsid w:val="00257AFF"/>
    <w:rsid w:val="00264452"/>
    <w:rsid w:val="00265895"/>
    <w:rsid w:val="00267A36"/>
    <w:rsid w:val="0027109E"/>
    <w:rsid w:val="00271570"/>
    <w:rsid w:val="0027664B"/>
    <w:rsid w:val="002838CE"/>
    <w:rsid w:val="00284103"/>
    <w:rsid w:val="0028414D"/>
    <w:rsid w:val="00285D08"/>
    <w:rsid w:val="00287988"/>
    <w:rsid w:val="00292F96"/>
    <w:rsid w:val="00293080"/>
    <w:rsid w:val="002952C6"/>
    <w:rsid w:val="002A0295"/>
    <w:rsid w:val="002A3AFA"/>
    <w:rsid w:val="002A75A1"/>
    <w:rsid w:val="002B0EC3"/>
    <w:rsid w:val="002B58C7"/>
    <w:rsid w:val="002B617D"/>
    <w:rsid w:val="002C17B2"/>
    <w:rsid w:val="002C2751"/>
    <w:rsid w:val="002C3C63"/>
    <w:rsid w:val="002C60CE"/>
    <w:rsid w:val="002C6AEB"/>
    <w:rsid w:val="002D08E3"/>
    <w:rsid w:val="002D4C3A"/>
    <w:rsid w:val="002E1A05"/>
    <w:rsid w:val="002E21FB"/>
    <w:rsid w:val="002E2674"/>
    <w:rsid w:val="002F1D7C"/>
    <w:rsid w:val="002F3EBF"/>
    <w:rsid w:val="00300BED"/>
    <w:rsid w:val="0030292E"/>
    <w:rsid w:val="00315AB5"/>
    <w:rsid w:val="00317894"/>
    <w:rsid w:val="00322C3D"/>
    <w:rsid w:val="00323C9F"/>
    <w:rsid w:val="003263BE"/>
    <w:rsid w:val="0033029D"/>
    <w:rsid w:val="0033099B"/>
    <w:rsid w:val="00330FD8"/>
    <w:rsid w:val="0033122C"/>
    <w:rsid w:val="003315CB"/>
    <w:rsid w:val="00332B65"/>
    <w:rsid w:val="00334AF8"/>
    <w:rsid w:val="003413D5"/>
    <w:rsid w:val="00344F5E"/>
    <w:rsid w:val="003604F2"/>
    <w:rsid w:val="00367EC8"/>
    <w:rsid w:val="00373289"/>
    <w:rsid w:val="0037501F"/>
    <w:rsid w:val="00380957"/>
    <w:rsid w:val="003815E0"/>
    <w:rsid w:val="00381688"/>
    <w:rsid w:val="003827CE"/>
    <w:rsid w:val="00383016"/>
    <w:rsid w:val="0038344F"/>
    <w:rsid w:val="00383461"/>
    <w:rsid w:val="003868CD"/>
    <w:rsid w:val="00387BD2"/>
    <w:rsid w:val="003902FA"/>
    <w:rsid w:val="00394EBB"/>
    <w:rsid w:val="003A39F8"/>
    <w:rsid w:val="003A3AE8"/>
    <w:rsid w:val="003B0B8D"/>
    <w:rsid w:val="003B3343"/>
    <w:rsid w:val="003B399A"/>
    <w:rsid w:val="003B41D8"/>
    <w:rsid w:val="003C0537"/>
    <w:rsid w:val="003C06F8"/>
    <w:rsid w:val="003C0C6B"/>
    <w:rsid w:val="003C106E"/>
    <w:rsid w:val="003C2A5C"/>
    <w:rsid w:val="003C4C8A"/>
    <w:rsid w:val="003C4D0E"/>
    <w:rsid w:val="003C6CF4"/>
    <w:rsid w:val="003C763A"/>
    <w:rsid w:val="003C7703"/>
    <w:rsid w:val="003D6F8D"/>
    <w:rsid w:val="003E6593"/>
    <w:rsid w:val="003F1AC0"/>
    <w:rsid w:val="003F4037"/>
    <w:rsid w:val="003F7B7F"/>
    <w:rsid w:val="0040050D"/>
    <w:rsid w:val="0040375A"/>
    <w:rsid w:val="00405E89"/>
    <w:rsid w:val="00406337"/>
    <w:rsid w:val="00412EF9"/>
    <w:rsid w:val="0041734B"/>
    <w:rsid w:val="00420ED7"/>
    <w:rsid w:val="0042182C"/>
    <w:rsid w:val="00422B7D"/>
    <w:rsid w:val="004258A3"/>
    <w:rsid w:val="00427D3B"/>
    <w:rsid w:val="0043538E"/>
    <w:rsid w:val="00437B53"/>
    <w:rsid w:val="00446374"/>
    <w:rsid w:val="00452FAF"/>
    <w:rsid w:val="004561C3"/>
    <w:rsid w:val="00456DE9"/>
    <w:rsid w:val="004577B3"/>
    <w:rsid w:val="0045782A"/>
    <w:rsid w:val="00460202"/>
    <w:rsid w:val="00467706"/>
    <w:rsid w:val="00472663"/>
    <w:rsid w:val="00473F16"/>
    <w:rsid w:val="004741CA"/>
    <w:rsid w:val="004743AE"/>
    <w:rsid w:val="00474643"/>
    <w:rsid w:val="00476592"/>
    <w:rsid w:val="00482A4F"/>
    <w:rsid w:val="00483DFA"/>
    <w:rsid w:val="00485B60"/>
    <w:rsid w:val="0049048E"/>
    <w:rsid w:val="00491420"/>
    <w:rsid w:val="00493B4D"/>
    <w:rsid w:val="00496958"/>
    <w:rsid w:val="00496963"/>
    <w:rsid w:val="004A07CE"/>
    <w:rsid w:val="004A2580"/>
    <w:rsid w:val="004A5B21"/>
    <w:rsid w:val="004A5FA9"/>
    <w:rsid w:val="004A6A76"/>
    <w:rsid w:val="004B24E1"/>
    <w:rsid w:val="004B351A"/>
    <w:rsid w:val="004B6A14"/>
    <w:rsid w:val="004B722E"/>
    <w:rsid w:val="004B7F7E"/>
    <w:rsid w:val="004C51FB"/>
    <w:rsid w:val="004C7FFE"/>
    <w:rsid w:val="004D2580"/>
    <w:rsid w:val="004D30D4"/>
    <w:rsid w:val="004D4A42"/>
    <w:rsid w:val="004E01D5"/>
    <w:rsid w:val="004E1BBB"/>
    <w:rsid w:val="004E2842"/>
    <w:rsid w:val="004E552F"/>
    <w:rsid w:val="004F05E0"/>
    <w:rsid w:val="004F21B7"/>
    <w:rsid w:val="005005A5"/>
    <w:rsid w:val="0050108A"/>
    <w:rsid w:val="00505D7D"/>
    <w:rsid w:val="00513D6B"/>
    <w:rsid w:val="005155A7"/>
    <w:rsid w:val="00517F9B"/>
    <w:rsid w:val="005213B3"/>
    <w:rsid w:val="00524D3C"/>
    <w:rsid w:val="005265CD"/>
    <w:rsid w:val="00526B6B"/>
    <w:rsid w:val="005319D3"/>
    <w:rsid w:val="00534970"/>
    <w:rsid w:val="005349AA"/>
    <w:rsid w:val="005349CA"/>
    <w:rsid w:val="0053551C"/>
    <w:rsid w:val="0054000A"/>
    <w:rsid w:val="00546ED4"/>
    <w:rsid w:val="00550B4A"/>
    <w:rsid w:val="00550F3D"/>
    <w:rsid w:val="00551268"/>
    <w:rsid w:val="00562125"/>
    <w:rsid w:val="00565A64"/>
    <w:rsid w:val="00565EF7"/>
    <w:rsid w:val="00570908"/>
    <w:rsid w:val="005724CD"/>
    <w:rsid w:val="005740CF"/>
    <w:rsid w:val="00574513"/>
    <w:rsid w:val="005760A2"/>
    <w:rsid w:val="00576F10"/>
    <w:rsid w:val="00580D39"/>
    <w:rsid w:val="0059365B"/>
    <w:rsid w:val="00593E22"/>
    <w:rsid w:val="00594524"/>
    <w:rsid w:val="00596B7E"/>
    <w:rsid w:val="005A0F16"/>
    <w:rsid w:val="005A4123"/>
    <w:rsid w:val="005A589B"/>
    <w:rsid w:val="005B2F52"/>
    <w:rsid w:val="005B6CD4"/>
    <w:rsid w:val="005C09A6"/>
    <w:rsid w:val="005C5EED"/>
    <w:rsid w:val="005C68B4"/>
    <w:rsid w:val="005C73A5"/>
    <w:rsid w:val="005D27F2"/>
    <w:rsid w:val="005D3EC3"/>
    <w:rsid w:val="005D3F71"/>
    <w:rsid w:val="005D61F6"/>
    <w:rsid w:val="005E33D9"/>
    <w:rsid w:val="005E3C84"/>
    <w:rsid w:val="005E41F5"/>
    <w:rsid w:val="005F42F5"/>
    <w:rsid w:val="005F4C23"/>
    <w:rsid w:val="00600A80"/>
    <w:rsid w:val="006038A5"/>
    <w:rsid w:val="00605660"/>
    <w:rsid w:val="00607426"/>
    <w:rsid w:val="006177DB"/>
    <w:rsid w:val="006213C5"/>
    <w:rsid w:val="006229B5"/>
    <w:rsid w:val="00632EE4"/>
    <w:rsid w:val="00635DDA"/>
    <w:rsid w:val="0063621D"/>
    <w:rsid w:val="0063750B"/>
    <w:rsid w:val="00640544"/>
    <w:rsid w:val="00647ADD"/>
    <w:rsid w:val="00652F23"/>
    <w:rsid w:val="00654082"/>
    <w:rsid w:val="00655E84"/>
    <w:rsid w:val="0065735F"/>
    <w:rsid w:val="00664998"/>
    <w:rsid w:val="006661E4"/>
    <w:rsid w:val="0067006A"/>
    <w:rsid w:val="00670AF5"/>
    <w:rsid w:val="00673E53"/>
    <w:rsid w:val="00675C99"/>
    <w:rsid w:val="0067620D"/>
    <w:rsid w:val="00680CC9"/>
    <w:rsid w:val="0068134B"/>
    <w:rsid w:val="006840F5"/>
    <w:rsid w:val="00686924"/>
    <w:rsid w:val="00692047"/>
    <w:rsid w:val="00692539"/>
    <w:rsid w:val="006972E6"/>
    <w:rsid w:val="006A2B1F"/>
    <w:rsid w:val="006A5196"/>
    <w:rsid w:val="006A7443"/>
    <w:rsid w:val="006B11CA"/>
    <w:rsid w:val="006B29D7"/>
    <w:rsid w:val="006C0978"/>
    <w:rsid w:val="006C2B62"/>
    <w:rsid w:val="006C486D"/>
    <w:rsid w:val="006D0F16"/>
    <w:rsid w:val="006D3AB5"/>
    <w:rsid w:val="006E19E2"/>
    <w:rsid w:val="006E1D92"/>
    <w:rsid w:val="006E210A"/>
    <w:rsid w:val="006E4C12"/>
    <w:rsid w:val="006E658E"/>
    <w:rsid w:val="006E700F"/>
    <w:rsid w:val="006E74A8"/>
    <w:rsid w:val="006F5A33"/>
    <w:rsid w:val="006F76DA"/>
    <w:rsid w:val="006F7734"/>
    <w:rsid w:val="00702BDE"/>
    <w:rsid w:val="007030A7"/>
    <w:rsid w:val="0070310F"/>
    <w:rsid w:val="00704792"/>
    <w:rsid w:val="00711992"/>
    <w:rsid w:val="007153AE"/>
    <w:rsid w:val="00716140"/>
    <w:rsid w:val="00716A27"/>
    <w:rsid w:val="00722183"/>
    <w:rsid w:val="00733D0F"/>
    <w:rsid w:val="007353F1"/>
    <w:rsid w:val="00737EB9"/>
    <w:rsid w:val="00740BAB"/>
    <w:rsid w:val="007518DA"/>
    <w:rsid w:val="007523B3"/>
    <w:rsid w:val="0076040F"/>
    <w:rsid w:val="00765253"/>
    <w:rsid w:val="007670CA"/>
    <w:rsid w:val="007700C5"/>
    <w:rsid w:val="00770FDE"/>
    <w:rsid w:val="00773987"/>
    <w:rsid w:val="00773B82"/>
    <w:rsid w:val="00773D45"/>
    <w:rsid w:val="007775B1"/>
    <w:rsid w:val="007801AE"/>
    <w:rsid w:val="00780AE9"/>
    <w:rsid w:val="0078119D"/>
    <w:rsid w:val="00782E90"/>
    <w:rsid w:val="00782F25"/>
    <w:rsid w:val="007843EC"/>
    <w:rsid w:val="00785F08"/>
    <w:rsid w:val="00787218"/>
    <w:rsid w:val="00796BC8"/>
    <w:rsid w:val="007B0507"/>
    <w:rsid w:val="007B3E62"/>
    <w:rsid w:val="007B57C1"/>
    <w:rsid w:val="007C1A9E"/>
    <w:rsid w:val="007C1B21"/>
    <w:rsid w:val="007C2FFB"/>
    <w:rsid w:val="007C4EC1"/>
    <w:rsid w:val="007C51EA"/>
    <w:rsid w:val="007D558A"/>
    <w:rsid w:val="007E4B9B"/>
    <w:rsid w:val="007E4CAB"/>
    <w:rsid w:val="007E5E63"/>
    <w:rsid w:val="007F37C8"/>
    <w:rsid w:val="007F6786"/>
    <w:rsid w:val="007F6B9F"/>
    <w:rsid w:val="007F797E"/>
    <w:rsid w:val="008003C9"/>
    <w:rsid w:val="00803587"/>
    <w:rsid w:val="00811BBB"/>
    <w:rsid w:val="008130A4"/>
    <w:rsid w:val="00814649"/>
    <w:rsid w:val="00815176"/>
    <w:rsid w:val="00815C8F"/>
    <w:rsid w:val="00815F8A"/>
    <w:rsid w:val="008212CA"/>
    <w:rsid w:val="00830CDD"/>
    <w:rsid w:val="00830CFB"/>
    <w:rsid w:val="008334C0"/>
    <w:rsid w:val="008338CF"/>
    <w:rsid w:val="00843611"/>
    <w:rsid w:val="00850BF1"/>
    <w:rsid w:val="00852B7F"/>
    <w:rsid w:val="00853FC1"/>
    <w:rsid w:val="00855FDE"/>
    <w:rsid w:val="00863F64"/>
    <w:rsid w:val="00864942"/>
    <w:rsid w:val="00864A3E"/>
    <w:rsid w:val="00871F81"/>
    <w:rsid w:val="00875FBB"/>
    <w:rsid w:val="00876021"/>
    <w:rsid w:val="008819C1"/>
    <w:rsid w:val="00884C74"/>
    <w:rsid w:val="00884F01"/>
    <w:rsid w:val="00890357"/>
    <w:rsid w:val="00896026"/>
    <w:rsid w:val="00896DE3"/>
    <w:rsid w:val="008A1C08"/>
    <w:rsid w:val="008A4B23"/>
    <w:rsid w:val="008A4D12"/>
    <w:rsid w:val="008B298B"/>
    <w:rsid w:val="008B5E2D"/>
    <w:rsid w:val="008B6E6A"/>
    <w:rsid w:val="008B7B9B"/>
    <w:rsid w:val="008C115A"/>
    <w:rsid w:val="008C67FB"/>
    <w:rsid w:val="008D55EF"/>
    <w:rsid w:val="008D664C"/>
    <w:rsid w:val="008E1D73"/>
    <w:rsid w:val="008E25F0"/>
    <w:rsid w:val="008F3532"/>
    <w:rsid w:val="008F51B2"/>
    <w:rsid w:val="008F7A26"/>
    <w:rsid w:val="0090322E"/>
    <w:rsid w:val="009067E6"/>
    <w:rsid w:val="0091005D"/>
    <w:rsid w:val="00913A14"/>
    <w:rsid w:val="00913D3F"/>
    <w:rsid w:val="00916F74"/>
    <w:rsid w:val="00917527"/>
    <w:rsid w:val="009178B3"/>
    <w:rsid w:val="00917A9F"/>
    <w:rsid w:val="009318D3"/>
    <w:rsid w:val="00937994"/>
    <w:rsid w:val="00943DB7"/>
    <w:rsid w:val="00946818"/>
    <w:rsid w:val="009522E5"/>
    <w:rsid w:val="00952DA9"/>
    <w:rsid w:val="009550EB"/>
    <w:rsid w:val="00955358"/>
    <w:rsid w:val="0096110F"/>
    <w:rsid w:val="00962716"/>
    <w:rsid w:val="00966E69"/>
    <w:rsid w:val="00971EF6"/>
    <w:rsid w:val="00972498"/>
    <w:rsid w:val="00974A30"/>
    <w:rsid w:val="00975A3F"/>
    <w:rsid w:val="00980CC8"/>
    <w:rsid w:val="00986B98"/>
    <w:rsid w:val="00996739"/>
    <w:rsid w:val="00996A4E"/>
    <w:rsid w:val="009A012A"/>
    <w:rsid w:val="009A39D2"/>
    <w:rsid w:val="009A6AA6"/>
    <w:rsid w:val="009B149D"/>
    <w:rsid w:val="009B2A37"/>
    <w:rsid w:val="009B2B2E"/>
    <w:rsid w:val="009B2DDA"/>
    <w:rsid w:val="009B7110"/>
    <w:rsid w:val="009B73EA"/>
    <w:rsid w:val="009C0E7E"/>
    <w:rsid w:val="009C0F2C"/>
    <w:rsid w:val="009C2444"/>
    <w:rsid w:val="009C5029"/>
    <w:rsid w:val="009C5A47"/>
    <w:rsid w:val="009D0236"/>
    <w:rsid w:val="009D0E31"/>
    <w:rsid w:val="009F0623"/>
    <w:rsid w:val="009F0B7F"/>
    <w:rsid w:val="009F5153"/>
    <w:rsid w:val="009F6184"/>
    <w:rsid w:val="009F66AC"/>
    <w:rsid w:val="009F68EC"/>
    <w:rsid w:val="009F6E69"/>
    <w:rsid w:val="009F7CE9"/>
    <w:rsid w:val="00A00C33"/>
    <w:rsid w:val="00A0356A"/>
    <w:rsid w:val="00A039EA"/>
    <w:rsid w:val="00A04065"/>
    <w:rsid w:val="00A07024"/>
    <w:rsid w:val="00A11D4C"/>
    <w:rsid w:val="00A17B51"/>
    <w:rsid w:val="00A2616B"/>
    <w:rsid w:val="00A27E14"/>
    <w:rsid w:val="00A303BC"/>
    <w:rsid w:val="00A33DC0"/>
    <w:rsid w:val="00A34129"/>
    <w:rsid w:val="00A45848"/>
    <w:rsid w:val="00A458E0"/>
    <w:rsid w:val="00A4775E"/>
    <w:rsid w:val="00A47D73"/>
    <w:rsid w:val="00A52E93"/>
    <w:rsid w:val="00A537F3"/>
    <w:rsid w:val="00A61C82"/>
    <w:rsid w:val="00A62A0B"/>
    <w:rsid w:val="00A62BF0"/>
    <w:rsid w:val="00A63E88"/>
    <w:rsid w:val="00A67C3F"/>
    <w:rsid w:val="00A71580"/>
    <w:rsid w:val="00A724CE"/>
    <w:rsid w:val="00A7399D"/>
    <w:rsid w:val="00A7429A"/>
    <w:rsid w:val="00A75C18"/>
    <w:rsid w:val="00A8264A"/>
    <w:rsid w:val="00A90482"/>
    <w:rsid w:val="00AA1A70"/>
    <w:rsid w:val="00AA2E8B"/>
    <w:rsid w:val="00AA4142"/>
    <w:rsid w:val="00AA7DB8"/>
    <w:rsid w:val="00AB0453"/>
    <w:rsid w:val="00AB2FDD"/>
    <w:rsid w:val="00AB4A4F"/>
    <w:rsid w:val="00AB6F57"/>
    <w:rsid w:val="00AC47EB"/>
    <w:rsid w:val="00AC576C"/>
    <w:rsid w:val="00AC6D3F"/>
    <w:rsid w:val="00AD1C16"/>
    <w:rsid w:val="00AD42E3"/>
    <w:rsid w:val="00AD4739"/>
    <w:rsid w:val="00AD6245"/>
    <w:rsid w:val="00AD78E3"/>
    <w:rsid w:val="00AE34A9"/>
    <w:rsid w:val="00AE3661"/>
    <w:rsid w:val="00AE3A93"/>
    <w:rsid w:val="00AE6CCD"/>
    <w:rsid w:val="00AF153B"/>
    <w:rsid w:val="00AF6277"/>
    <w:rsid w:val="00B12FCE"/>
    <w:rsid w:val="00B15AD1"/>
    <w:rsid w:val="00B16C14"/>
    <w:rsid w:val="00B26085"/>
    <w:rsid w:val="00B31B6D"/>
    <w:rsid w:val="00B323B8"/>
    <w:rsid w:val="00B34727"/>
    <w:rsid w:val="00B35190"/>
    <w:rsid w:val="00B35FE1"/>
    <w:rsid w:val="00B37519"/>
    <w:rsid w:val="00B4036B"/>
    <w:rsid w:val="00B437D0"/>
    <w:rsid w:val="00B4681A"/>
    <w:rsid w:val="00B46D70"/>
    <w:rsid w:val="00B525C7"/>
    <w:rsid w:val="00B5287D"/>
    <w:rsid w:val="00B52A6A"/>
    <w:rsid w:val="00B60ED3"/>
    <w:rsid w:val="00B6105E"/>
    <w:rsid w:val="00B62D23"/>
    <w:rsid w:val="00B63348"/>
    <w:rsid w:val="00B63D57"/>
    <w:rsid w:val="00B63D66"/>
    <w:rsid w:val="00B67F5D"/>
    <w:rsid w:val="00B72CD2"/>
    <w:rsid w:val="00B73145"/>
    <w:rsid w:val="00B74783"/>
    <w:rsid w:val="00B7638D"/>
    <w:rsid w:val="00B8002B"/>
    <w:rsid w:val="00B81FCE"/>
    <w:rsid w:val="00B82869"/>
    <w:rsid w:val="00B82CA1"/>
    <w:rsid w:val="00B8600B"/>
    <w:rsid w:val="00B877F2"/>
    <w:rsid w:val="00B92457"/>
    <w:rsid w:val="00B92556"/>
    <w:rsid w:val="00B97788"/>
    <w:rsid w:val="00BA0D4F"/>
    <w:rsid w:val="00BA13BD"/>
    <w:rsid w:val="00BA4605"/>
    <w:rsid w:val="00BA5BC8"/>
    <w:rsid w:val="00BB10EA"/>
    <w:rsid w:val="00BC0617"/>
    <w:rsid w:val="00BC1D8B"/>
    <w:rsid w:val="00BC2A8B"/>
    <w:rsid w:val="00BC3283"/>
    <w:rsid w:val="00BC5152"/>
    <w:rsid w:val="00BD425B"/>
    <w:rsid w:val="00BD474F"/>
    <w:rsid w:val="00BD7E0A"/>
    <w:rsid w:val="00BE3671"/>
    <w:rsid w:val="00BE3F23"/>
    <w:rsid w:val="00BE4553"/>
    <w:rsid w:val="00BF2A9A"/>
    <w:rsid w:val="00BF2F73"/>
    <w:rsid w:val="00BF4922"/>
    <w:rsid w:val="00BF5130"/>
    <w:rsid w:val="00C03310"/>
    <w:rsid w:val="00C05970"/>
    <w:rsid w:val="00C06576"/>
    <w:rsid w:val="00C07B44"/>
    <w:rsid w:val="00C101E6"/>
    <w:rsid w:val="00C246B9"/>
    <w:rsid w:val="00C24A70"/>
    <w:rsid w:val="00C272E0"/>
    <w:rsid w:val="00C30DAF"/>
    <w:rsid w:val="00C35E8D"/>
    <w:rsid w:val="00C36673"/>
    <w:rsid w:val="00C403A3"/>
    <w:rsid w:val="00C43116"/>
    <w:rsid w:val="00C465C7"/>
    <w:rsid w:val="00C5217A"/>
    <w:rsid w:val="00C54F1C"/>
    <w:rsid w:val="00C5614E"/>
    <w:rsid w:val="00C56B81"/>
    <w:rsid w:val="00C6207F"/>
    <w:rsid w:val="00C65149"/>
    <w:rsid w:val="00C654E9"/>
    <w:rsid w:val="00C76F88"/>
    <w:rsid w:val="00C77AA1"/>
    <w:rsid w:val="00C928A8"/>
    <w:rsid w:val="00C96FFC"/>
    <w:rsid w:val="00CA022A"/>
    <w:rsid w:val="00CB0BBD"/>
    <w:rsid w:val="00CB241D"/>
    <w:rsid w:val="00CB3B73"/>
    <w:rsid w:val="00CB4E81"/>
    <w:rsid w:val="00CC0E50"/>
    <w:rsid w:val="00CC188E"/>
    <w:rsid w:val="00CC29BE"/>
    <w:rsid w:val="00CC39DC"/>
    <w:rsid w:val="00CC3AAE"/>
    <w:rsid w:val="00CC6F3E"/>
    <w:rsid w:val="00CC72CB"/>
    <w:rsid w:val="00CC737E"/>
    <w:rsid w:val="00CC7B17"/>
    <w:rsid w:val="00CD7CAA"/>
    <w:rsid w:val="00CD7FB4"/>
    <w:rsid w:val="00CF44C4"/>
    <w:rsid w:val="00D1072A"/>
    <w:rsid w:val="00D20E16"/>
    <w:rsid w:val="00D2317A"/>
    <w:rsid w:val="00D2337F"/>
    <w:rsid w:val="00D236B0"/>
    <w:rsid w:val="00D23B6F"/>
    <w:rsid w:val="00D2538E"/>
    <w:rsid w:val="00D27D0C"/>
    <w:rsid w:val="00D27FB3"/>
    <w:rsid w:val="00D33CA9"/>
    <w:rsid w:val="00D34DBF"/>
    <w:rsid w:val="00D45016"/>
    <w:rsid w:val="00D45100"/>
    <w:rsid w:val="00D4587E"/>
    <w:rsid w:val="00D45D8F"/>
    <w:rsid w:val="00D47BA3"/>
    <w:rsid w:val="00D57CA8"/>
    <w:rsid w:val="00D62892"/>
    <w:rsid w:val="00D647EA"/>
    <w:rsid w:val="00D703A7"/>
    <w:rsid w:val="00D71B36"/>
    <w:rsid w:val="00D7227C"/>
    <w:rsid w:val="00D7263D"/>
    <w:rsid w:val="00D8160D"/>
    <w:rsid w:val="00D81728"/>
    <w:rsid w:val="00D85022"/>
    <w:rsid w:val="00D850C3"/>
    <w:rsid w:val="00D86697"/>
    <w:rsid w:val="00D900B7"/>
    <w:rsid w:val="00D90489"/>
    <w:rsid w:val="00D910F8"/>
    <w:rsid w:val="00D978F8"/>
    <w:rsid w:val="00D97F9B"/>
    <w:rsid w:val="00DA3EF8"/>
    <w:rsid w:val="00DA57CB"/>
    <w:rsid w:val="00DB18F5"/>
    <w:rsid w:val="00DB43B0"/>
    <w:rsid w:val="00DB4669"/>
    <w:rsid w:val="00DB7562"/>
    <w:rsid w:val="00DC5D87"/>
    <w:rsid w:val="00DC772A"/>
    <w:rsid w:val="00DD396E"/>
    <w:rsid w:val="00DD4C77"/>
    <w:rsid w:val="00DD538E"/>
    <w:rsid w:val="00DD6C13"/>
    <w:rsid w:val="00DE0020"/>
    <w:rsid w:val="00DE01DF"/>
    <w:rsid w:val="00DE16E2"/>
    <w:rsid w:val="00DE2FB3"/>
    <w:rsid w:val="00DE6124"/>
    <w:rsid w:val="00DF3BAA"/>
    <w:rsid w:val="00DF3DC5"/>
    <w:rsid w:val="00DF569B"/>
    <w:rsid w:val="00DF69AF"/>
    <w:rsid w:val="00E000A2"/>
    <w:rsid w:val="00E15BE6"/>
    <w:rsid w:val="00E1726C"/>
    <w:rsid w:val="00E27EC2"/>
    <w:rsid w:val="00E306C5"/>
    <w:rsid w:val="00E31856"/>
    <w:rsid w:val="00E34484"/>
    <w:rsid w:val="00E362FA"/>
    <w:rsid w:val="00E36AC1"/>
    <w:rsid w:val="00E432C8"/>
    <w:rsid w:val="00E441E6"/>
    <w:rsid w:val="00E47E25"/>
    <w:rsid w:val="00E51510"/>
    <w:rsid w:val="00E52EE0"/>
    <w:rsid w:val="00E53FB1"/>
    <w:rsid w:val="00E578D4"/>
    <w:rsid w:val="00E60950"/>
    <w:rsid w:val="00E6247B"/>
    <w:rsid w:val="00E626D4"/>
    <w:rsid w:val="00E63DCB"/>
    <w:rsid w:val="00E653D6"/>
    <w:rsid w:val="00E716F0"/>
    <w:rsid w:val="00E71B66"/>
    <w:rsid w:val="00E73ACE"/>
    <w:rsid w:val="00E77B65"/>
    <w:rsid w:val="00E8354E"/>
    <w:rsid w:val="00E8536F"/>
    <w:rsid w:val="00E8621F"/>
    <w:rsid w:val="00E94134"/>
    <w:rsid w:val="00E954F5"/>
    <w:rsid w:val="00E96D18"/>
    <w:rsid w:val="00EA1C2A"/>
    <w:rsid w:val="00EA2022"/>
    <w:rsid w:val="00EB0F82"/>
    <w:rsid w:val="00EB33AA"/>
    <w:rsid w:val="00EB3E6F"/>
    <w:rsid w:val="00EB5B7A"/>
    <w:rsid w:val="00EB6E9F"/>
    <w:rsid w:val="00EC0C0C"/>
    <w:rsid w:val="00EC48CC"/>
    <w:rsid w:val="00ED4379"/>
    <w:rsid w:val="00ED4ABE"/>
    <w:rsid w:val="00EE2881"/>
    <w:rsid w:val="00EE462E"/>
    <w:rsid w:val="00EF0F9C"/>
    <w:rsid w:val="00EF1089"/>
    <w:rsid w:val="00EF246C"/>
    <w:rsid w:val="00EF56B7"/>
    <w:rsid w:val="00EF642E"/>
    <w:rsid w:val="00F04BE2"/>
    <w:rsid w:val="00F05DCF"/>
    <w:rsid w:val="00F05E0D"/>
    <w:rsid w:val="00F07C83"/>
    <w:rsid w:val="00F16007"/>
    <w:rsid w:val="00F1649C"/>
    <w:rsid w:val="00F17A49"/>
    <w:rsid w:val="00F23F69"/>
    <w:rsid w:val="00F438C8"/>
    <w:rsid w:val="00F6015C"/>
    <w:rsid w:val="00F6318B"/>
    <w:rsid w:val="00F64A7A"/>
    <w:rsid w:val="00F64F12"/>
    <w:rsid w:val="00F6619A"/>
    <w:rsid w:val="00F73214"/>
    <w:rsid w:val="00F7573A"/>
    <w:rsid w:val="00F82B77"/>
    <w:rsid w:val="00F84FE1"/>
    <w:rsid w:val="00F9419E"/>
    <w:rsid w:val="00F96601"/>
    <w:rsid w:val="00F97676"/>
    <w:rsid w:val="00F97B2B"/>
    <w:rsid w:val="00FA035F"/>
    <w:rsid w:val="00FA1D88"/>
    <w:rsid w:val="00FA7477"/>
    <w:rsid w:val="00FA7831"/>
    <w:rsid w:val="00FB044B"/>
    <w:rsid w:val="00FB086B"/>
    <w:rsid w:val="00FB3A1C"/>
    <w:rsid w:val="00FB44F1"/>
    <w:rsid w:val="00FB6729"/>
    <w:rsid w:val="00FB7B32"/>
    <w:rsid w:val="00FC2674"/>
    <w:rsid w:val="00FC62F1"/>
    <w:rsid w:val="00FC7852"/>
    <w:rsid w:val="00FC7CD6"/>
    <w:rsid w:val="00FD0048"/>
    <w:rsid w:val="00FD0AEB"/>
    <w:rsid w:val="00FD149E"/>
    <w:rsid w:val="00FD25B3"/>
    <w:rsid w:val="00FD5884"/>
    <w:rsid w:val="00FD7EE7"/>
    <w:rsid w:val="00FE2BC3"/>
    <w:rsid w:val="00FE3DC1"/>
    <w:rsid w:val="00FE4C1F"/>
    <w:rsid w:val="00FF0C23"/>
    <w:rsid w:val="00FF6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link w:val="Heading1Char"/>
    <w:qFormat/>
    <w:rsid w:val="00206BD1"/>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206BD1"/>
    <w:pPr>
      <w:spacing w:before="0" w:after="200" w:line="280" w:lineRule="exact"/>
      <w:outlineLvl w:val="1"/>
    </w:pPr>
    <w:rPr>
      <w:rFonts w:ascii="Times New Roman" w:hAnsi="Times New Roman" w:cs="Arial"/>
      <w:bCs w:val="0"/>
      <w:iCs/>
      <w:kern w:val="0"/>
      <w:sz w:val="28"/>
      <w:szCs w:val="28"/>
    </w:rPr>
  </w:style>
  <w:style w:type="paragraph" w:styleId="Heading3">
    <w:name w:val="heading 3"/>
    <w:basedOn w:val="Heading2"/>
    <w:next w:val="Normal"/>
    <w:link w:val="Heading3Char"/>
    <w:qFormat/>
    <w:rsid w:val="00206BD1"/>
    <w:pPr>
      <w:spacing w:line="240" w:lineRule="exact"/>
      <w:outlineLvl w:val="2"/>
    </w:pPr>
    <w:rPr>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3">
    <w:name w:val="toc 3"/>
    <w:basedOn w:val="Normal"/>
    <w:next w:val="Normal"/>
    <w:semiHidden/>
    <w:pPr>
      <w:tabs>
        <w:tab w:val="center" w:leader="dot" w:pos="5760"/>
      </w:tabs>
      <w:ind w:left="1440"/>
    </w:pPr>
  </w:style>
  <w:style w:type="paragraph" w:styleId="TOC2">
    <w:name w:val="toc 2"/>
    <w:basedOn w:val="Normal"/>
    <w:next w:val="Normal"/>
    <w:semiHidden/>
    <w:pPr>
      <w:tabs>
        <w:tab w:val="center" w:leader="dot" w:pos="5760"/>
      </w:tabs>
      <w:ind w:left="720"/>
    </w:pPr>
  </w:style>
  <w:style w:type="paragraph" w:styleId="TOC1">
    <w:name w:val="toc 1"/>
    <w:basedOn w:val="Normal"/>
    <w:next w:val="Normal"/>
    <w:semiHidden/>
    <w:pPr>
      <w:tabs>
        <w:tab w:val="center" w:leader="dot" w:pos="5760"/>
      </w:tabs>
      <w:spacing w:before="240"/>
    </w:pPr>
  </w:style>
  <w:style w:type="paragraph" w:styleId="Footer">
    <w:name w:val="footer"/>
    <w:basedOn w:val="Normal"/>
    <w:pPr>
      <w:tabs>
        <w:tab w:val="center" w:pos="3119"/>
      </w:tabs>
      <w:spacing w:line="240" w:lineRule="auto"/>
    </w:pPr>
  </w:style>
  <w:style w:type="paragraph" w:styleId="Header">
    <w:name w:val="header"/>
    <w:basedOn w:val="Normal"/>
    <w:pPr>
      <w:tabs>
        <w:tab w:val="center" w:pos="4320"/>
        <w:tab w:val="right" w:pos="8640"/>
      </w:tabs>
      <w:spacing w:line="240" w:lineRule="auto"/>
    </w:pPr>
  </w:style>
  <w:style w:type="paragraph" w:styleId="Title">
    <w:name w:val="Title"/>
    <w:basedOn w:val="Normal"/>
    <w:next w:val="Normal"/>
    <w:qFormat/>
    <w:pPr>
      <w:spacing w:line="500" w:lineRule="exact"/>
      <w:ind w:right="720"/>
    </w:pPr>
    <w:rPr>
      <w:b/>
      <w:sz w:val="50"/>
    </w:rPr>
  </w:style>
  <w:style w:type="paragraph" w:customStyle="1" w:styleId="TopHeading1">
    <w:name w:val="Top Heading 1"/>
    <w:basedOn w:val="Normal"/>
    <w:pPr>
      <w:spacing w:after="200" w:line="280" w:lineRule="exact"/>
      <w:jc w:val="center"/>
    </w:pPr>
    <w:rPr>
      <w:b/>
      <w:caps/>
      <w:sz w:val="28"/>
    </w:rPr>
  </w:style>
  <w:style w:type="paragraph" w:customStyle="1" w:styleId="ParaHeading3">
    <w:name w:val="Para Heading 3"/>
    <w:basedOn w:val="Normal"/>
    <w:next w:val="StandardPara"/>
    <w:pPr>
      <w:keepNext/>
      <w:keepLines/>
      <w:spacing w:before="200" w:after="200" w:line="280" w:lineRule="exact"/>
      <w:ind w:left="720" w:hanging="720"/>
    </w:pPr>
    <w:rPr>
      <w:b/>
      <w:sz w:val="28"/>
    </w:rPr>
  </w:style>
  <w:style w:type="paragraph" w:customStyle="1" w:styleId="StandardPara">
    <w:name w:val="Standard Para"/>
    <w:basedOn w:val="Normal"/>
    <w:pPr>
      <w:spacing w:after="200"/>
      <w:ind w:left="720" w:hanging="720"/>
    </w:pPr>
    <w:rPr>
      <w:b/>
    </w:rPr>
  </w:style>
  <w:style w:type="paragraph" w:customStyle="1" w:styleId="EDNumber">
    <w:name w:val="ED Number"/>
    <w:basedOn w:val="Normal"/>
    <w:pPr>
      <w:tabs>
        <w:tab w:val="right" w:pos="6237"/>
      </w:tabs>
      <w:spacing w:line="240" w:lineRule="auto"/>
    </w:pPr>
  </w:style>
  <w:style w:type="paragraph" w:customStyle="1" w:styleId="ContentsPlain">
    <w:name w:val="Contents Plain"/>
    <w:basedOn w:val="Normal"/>
    <w:pPr>
      <w:spacing w:before="100" w:line="240" w:lineRule="exact"/>
      <w:ind w:right="720"/>
    </w:pPr>
    <w:rPr>
      <w:sz w:val="24"/>
    </w:rPr>
  </w:style>
  <w:style w:type="paragraph" w:customStyle="1" w:styleId="ContentsBold">
    <w:name w:val="Contents Bold"/>
    <w:basedOn w:val="Normal"/>
    <w:pPr>
      <w:tabs>
        <w:tab w:val="left" w:pos="432"/>
      </w:tabs>
      <w:spacing w:before="100" w:line="280" w:lineRule="exact"/>
      <w:ind w:left="720" w:right="720" w:hanging="720"/>
    </w:pPr>
    <w:rPr>
      <w:b/>
      <w:sz w:val="28"/>
    </w:rPr>
  </w:style>
  <w:style w:type="paragraph" w:customStyle="1" w:styleId="ContentsIndent">
    <w:name w:val="Contents Indent"/>
    <w:basedOn w:val="ContentsBold"/>
    <w:pPr>
      <w:tabs>
        <w:tab w:val="clear" w:pos="432"/>
      </w:tabs>
      <w:spacing w:before="0" w:line="240" w:lineRule="exact"/>
      <w:ind w:left="1584" w:hanging="432"/>
    </w:pPr>
    <w:rPr>
      <w:b w:val="0"/>
      <w:sz w:val="24"/>
    </w:rPr>
  </w:style>
  <w:style w:type="paragraph" w:customStyle="1" w:styleId="StandardIndent">
    <w:name w:val="Standard Indent"/>
    <w:basedOn w:val="StandardPara"/>
    <w:pPr>
      <w:ind w:firstLine="0"/>
    </w:pPr>
  </w:style>
  <w:style w:type="paragraph" w:customStyle="1" w:styleId="TopHeading2">
    <w:name w:val="Top Heading 2"/>
    <w:basedOn w:val="TopHeading1"/>
    <w:pPr>
      <w:jc w:val="left"/>
    </w:pPr>
    <w:rPr>
      <w:caps w:val="0"/>
    </w:rPr>
  </w:style>
  <w:style w:type="paragraph" w:customStyle="1" w:styleId="StandardPoint">
    <w:name w:val="Standard Point"/>
    <w:basedOn w:val="StandardPara"/>
    <w:pPr>
      <w:ind w:left="1440"/>
    </w:pPr>
  </w:style>
  <w:style w:type="paragraph" w:customStyle="1" w:styleId="CommentPara">
    <w:name w:val="Comment Para"/>
    <w:basedOn w:val="Normal"/>
    <w:pPr>
      <w:spacing w:after="200"/>
      <w:ind w:left="720" w:hanging="720"/>
      <w:outlineLvl w:val="2"/>
    </w:pPr>
  </w:style>
  <w:style w:type="paragraph" w:customStyle="1" w:styleId="ParaHeading4">
    <w:name w:val="Para Heading 4"/>
    <w:basedOn w:val="ParaHeading3"/>
    <w:next w:val="CommentPara"/>
    <w:pPr>
      <w:spacing w:before="0" w:line="240" w:lineRule="exact"/>
      <w:ind w:firstLine="0"/>
    </w:pPr>
    <w:rPr>
      <w:sz w:val="24"/>
    </w:rPr>
  </w:style>
  <w:style w:type="paragraph" w:customStyle="1" w:styleId="CommentPoint">
    <w:name w:val="Comment Point"/>
    <w:basedOn w:val="CommentPara"/>
    <w:pPr>
      <w:ind w:left="1440"/>
      <w:outlineLvl w:val="4"/>
    </w:pPr>
  </w:style>
  <w:style w:type="paragraph" w:customStyle="1" w:styleId="DefinePara">
    <w:name w:val="Define Para"/>
    <w:basedOn w:val="Normal"/>
    <w:pPr>
      <w:spacing w:after="200"/>
      <w:ind w:left="1080" w:hanging="360"/>
    </w:pPr>
    <w:rPr>
      <w:b/>
    </w:rPr>
  </w:style>
  <w:style w:type="paragraph" w:customStyle="1" w:styleId="DefinePoint">
    <w:name w:val="Define Point"/>
    <w:basedOn w:val="DefinePara"/>
    <w:pPr>
      <w:ind w:left="1800" w:hanging="720"/>
    </w:pPr>
  </w:style>
  <w:style w:type="paragraph" w:customStyle="1" w:styleId="CommentIndent">
    <w:name w:val="Comment Indent"/>
    <w:basedOn w:val="CommentPara"/>
    <w:pPr>
      <w:ind w:firstLine="0"/>
      <w:outlineLvl w:val="9"/>
    </w:pPr>
  </w:style>
  <w:style w:type="paragraph" w:customStyle="1" w:styleId="DefineIndent">
    <w:name w:val="Define Indent"/>
    <w:basedOn w:val="DefinePara"/>
    <w:pPr>
      <w:ind w:firstLine="0"/>
    </w:pPr>
  </w:style>
  <w:style w:type="paragraph" w:customStyle="1" w:styleId="TextPara">
    <w:name w:val="Text Para"/>
    <w:basedOn w:val="Normal"/>
    <w:pPr>
      <w:spacing w:after="200"/>
    </w:pPr>
  </w:style>
  <w:style w:type="paragraph" w:customStyle="1" w:styleId="TextPoint">
    <w:name w:val="Text Point"/>
    <w:basedOn w:val="TextPara"/>
    <w:pPr>
      <w:ind w:left="720" w:hanging="720"/>
    </w:pPr>
  </w:style>
  <w:style w:type="paragraph" w:customStyle="1" w:styleId="Appendices">
    <w:name w:val="Appendices"/>
    <w:basedOn w:val="Normal"/>
    <w:pPr>
      <w:spacing w:before="100" w:line="220" w:lineRule="exact"/>
      <w:ind w:left="864" w:right="720" w:hanging="432"/>
    </w:pPr>
    <w:rPr>
      <w:sz w:val="22"/>
    </w:rPr>
  </w:style>
  <w:style w:type="paragraph" w:customStyle="1" w:styleId="StandardIndentPoint">
    <w:name w:val="Standard Indent Point"/>
    <w:basedOn w:val="StandardPara"/>
    <w:pPr>
      <w:ind w:left="2160"/>
    </w:pPr>
  </w:style>
  <w:style w:type="paragraph" w:customStyle="1" w:styleId="CommentIndentPoint">
    <w:name w:val="Comment Indent Point"/>
    <w:basedOn w:val="CommentPara"/>
    <w:pPr>
      <w:ind w:left="2160"/>
    </w:pPr>
  </w:style>
  <w:style w:type="paragraph" w:customStyle="1" w:styleId="SectionHeading">
    <w:name w:val="Section Heading"/>
    <w:basedOn w:val="Normal"/>
    <w:next w:val="Normal"/>
    <w:pPr>
      <w:spacing w:after="240"/>
    </w:pPr>
    <w:rPr>
      <w:i/>
      <w:u w:val="single"/>
    </w:rPr>
  </w:style>
  <w:style w:type="paragraph" w:customStyle="1" w:styleId="CommentsPage">
    <w:name w:val="CommentsPage"/>
    <w:basedOn w:val="Normal"/>
    <w:next w:val="Normal"/>
  </w:style>
  <w:style w:type="paragraph" w:styleId="FootnoteText">
    <w:name w:val="footnote text"/>
    <w:basedOn w:val="Normal"/>
    <w:link w:val="FootnoteTextChar"/>
    <w:semiHidden/>
    <w:pPr>
      <w:spacing w:line="240" w:lineRule="auto"/>
      <w:ind w:left="432" w:hanging="432"/>
    </w:pPr>
    <w:rPr>
      <w:sz w:val="16"/>
    </w:rPr>
  </w:style>
  <w:style w:type="paragraph" w:styleId="BalloonText">
    <w:name w:val="Balloon Text"/>
    <w:basedOn w:val="Normal"/>
    <w:semiHidden/>
    <w:rsid w:val="00150F8F"/>
    <w:rPr>
      <w:rFonts w:ascii="Tahoma" w:hAnsi="Tahoma" w:cs="Tahoma"/>
      <w:sz w:val="16"/>
      <w:szCs w:val="16"/>
    </w:rPr>
  </w:style>
  <w:style w:type="paragraph" w:customStyle="1" w:styleId="DefineSubPoint">
    <w:name w:val="Define SubPoint"/>
    <w:basedOn w:val="DefinePoint"/>
    <w:pPr>
      <w:ind w:left="2520"/>
    </w:pPr>
  </w:style>
  <w:style w:type="table" w:styleId="TableGrid">
    <w:name w:val="Table Grid"/>
    <w:basedOn w:val="TableNormal"/>
    <w:rsid w:val="002A75A1"/>
    <w:pPr>
      <w:spacing w:line="2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Date">
    <w:name w:val="Cover Date"/>
    <w:basedOn w:val="Normal"/>
    <w:next w:val="Normal"/>
    <w:rsid w:val="00680CC9"/>
    <w:pPr>
      <w:spacing w:line="240" w:lineRule="exact"/>
      <w:jc w:val="right"/>
    </w:pPr>
    <w:rPr>
      <w:sz w:val="24"/>
    </w:rPr>
  </w:style>
  <w:style w:type="paragraph" w:customStyle="1" w:styleId="CoverTitle">
    <w:name w:val="Cover Title"/>
    <w:basedOn w:val="Normal"/>
    <w:rsid w:val="00680CC9"/>
    <w:pPr>
      <w:spacing w:line="500" w:lineRule="exact"/>
    </w:pPr>
    <w:rPr>
      <w:b/>
      <w:sz w:val="50"/>
    </w:rPr>
  </w:style>
  <w:style w:type="character" w:styleId="FootnoteReference">
    <w:name w:val="footnote reference"/>
    <w:rsid w:val="004E2842"/>
    <w:rPr>
      <w:vertAlign w:val="superscript"/>
    </w:rPr>
  </w:style>
  <w:style w:type="paragraph" w:customStyle="1" w:styleId="AppendixText">
    <w:name w:val="AppendixText"/>
    <w:basedOn w:val="Normal"/>
    <w:rsid w:val="003C0537"/>
    <w:pPr>
      <w:spacing w:after="200"/>
    </w:pPr>
  </w:style>
  <w:style w:type="paragraph" w:customStyle="1" w:styleId="NoNumPlain1">
    <w:name w:val="NoNum Plain1"/>
    <w:basedOn w:val="Normal"/>
    <w:rsid w:val="0059365B"/>
    <w:pPr>
      <w:spacing w:after="200" w:line="240" w:lineRule="exact"/>
    </w:pPr>
    <w:rPr>
      <w:sz w:val="24"/>
    </w:rPr>
  </w:style>
  <w:style w:type="paragraph" w:customStyle="1" w:styleId="NumPlain1">
    <w:name w:val="Num Plain1"/>
    <w:basedOn w:val="Normal"/>
    <w:link w:val="NumPlain1Char"/>
    <w:rsid w:val="00FA1D88"/>
    <w:pPr>
      <w:spacing w:after="200"/>
    </w:pPr>
  </w:style>
  <w:style w:type="character" w:customStyle="1" w:styleId="NumPlain1Char">
    <w:name w:val="Num Plain1 Char"/>
    <w:link w:val="NumPlain1"/>
    <w:rsid w:val="00FA1D88"/>
    <w:rPr>
      <w:lang w:val="en-AU" w:eastAsia="en-US" w:bidi="ar-SA"/>
    </w:rPr>
  </w:style>
  <w:style w:type="paragraph" w:customStyle="1" w:styleId="Default">
    <w:name w:val="Default"/>
    <w:rsid w:val="00702BDE"/>
    <w:pPr>
      <w:autoSpaceDE w:val="0"/>
      <w:autoSpaceDN w:val="0"/>
      <w:adjustRightInd w:val="0"/>
    </w:pPr>
    <w:rPr>
      <w:rFonts w:ascii="Arial" w:hAnsi="Arial" w:cs="Arial"/>
      <w:color w:val="000000"/>
      <w:sz w:val="24"/>
      <w:szCs w:val="24"/>
    </w:rPr>
  </w:style>
  <w:style w:type="paragraph" w:customStyle="1" w:styleId="NumBC1">
    <w:name w:val="Num BC1"/>
    <w:basedOn w:val="Normal"/>
    <w:rsid w:val="00D71B36"/>
    <w:pPr>
      <w:numPr>
        <w:numId w:val="2"/>
      </w:numPr>
      <w:spacing w:after="200"/>
    </w:pPr>
  </w:style>
  <w:style w:type="paragraph" w:customStyle="1" w:styleId="NumBC2">
    <w:name w:val="Num BC2"/>
    <w:basedOn w:val="NumBC1"/>
    <w:rsid w:val="00D71B36"/>
    <w:pPr>
      <w:numPr>
        <w:ilvl w:val="1"/>
      </w:numPr>
    </w:pPr>
  </w:style>
  <w:style w:type="paragraph" w:customStyle="1" w:styleId="NumBC3">
    <w:name w:val="Num BC3"/>
    <w:basedOn w:val="NumBC2"/>
    <w:rsid w:val="00D71B36"/>
    <w:pPr>
      <w:numPr>
        <w:ilvl w:val="2"/>
      </w:numPr>
    </w:pPr>
  </w:style>
  <w:style w:type="paragraph" w:customStyle="1" w:styleId="NumBC4">
    <w:name w:val="Num BC4"/>
    <w:basedOn w:val="NumBC3"/>
    <w:rsid w:val="00D71B36"/>
    <w:pPr>
      <w:numPr>
        <w:ilvl w:val="3"/>
      </w:numPr>
    </w:pPr>
  </w:style>
  <w:style w:type="paragraph" w:customStyle="1" w:styleId="NumPlain2">
    <w:name w:val="Num Plain2"/>
    <w:basedOn w:val="NumPlain1"/>
    <w:rsid w:val="008B7B9B"/>
    <w:pPr>
      <w:tabs>
        <w:tab w:val="num" w:pos="1021"/>
      </w:tabs>
      <w:ind w:left="1021" w:hanging="511"/>
    </w:pPr>
  </w:style>
  <w:style w:type="paragraph" w:customStyle="1" w:styleId="NumPlain4">
    <w:name w:val="Num Plain4"/>
    <w:basedOn w:val="Normal"/>
    <w:rsid w:val="008B7B9B"/>
    <w:pPr>
      <w:tabs>
        <w:tab w:val="num" w:pos="2041"/>
        <w:tab w:val="num" w:pos="2495"/>
      </w:tabs>
      <w:spacing w:after="200"/>
      <w:ind w:left="2495" w:hanging="624"/>
    </w:pPr>
  </w:style>
  <w:style w:type="paragraph" w:customStyle="1" w:styleId="Bullet1">
    <w:name w:val="Bullet1"/>
    <w:basedOn w:val="Normal"/>
    <w:rsid w:val="008B7B9B"/>
    <w:pPr>
      <w:tabs>
        <w:tab w:val="num" w:pos="360"/>
      </w:tabs>
      <w:spacing w:after="200"/>
      <w:ind w:left="360" w:hanging="360"/>
    </w:pPr>
  </w:style>
  <w:style w:type="paragraph" w:customStyle="1" w:styleId="Bullets">
    <w:name w:val="Bullets"/>
    <w:basedOn w:val="Normal"/>
    <w:rsid w:val="00191B5C"/>
    <w:pPr>
      <w:numPr>
        <w:numId w:val="3"/>
      </w:numPr>
      <w:tabs>
        <w:tab w:val="clear" w:pos="360"/>
        <w:tab w:val="num" w:pos="1134"/>
      </w:tabs>
      <w:spacing w:line="240" w:lineRule="auto"/>
      <w:ind w:left="1134"/>
    </w:pPr>
    <w:rPr>
      <w:sz w:val="24"/>
    </w:rPr>
  </w:style>
  <w:style w:type="character" w:customStyle="1" w:styleId="Heading2Char">
    <w:name w:val="Heading 2 Char"/>
    <w:link w:val="Heading2"/>
    <w:rsid w:val="00206BD1"/>
    <w:rPr>
      <w:rFonts w:cs="Arial"/>
      <w:b/>
      <w:iCs/>
      <w:sz w:val="28"/>
      <w:szCs w:val="28"/>
      <w:lang w:eastAsia="en-US"/>
    </w:rPr>
  </w:style>
  <w:style w:type="character" w:customStyle="1" w:styleId="Heading3Char">
    <w:name w:val="Heading 3 Char"/>
    <w:link w:val="Heading3"/>
    <w:rsid w:val="00206BD1"/>
    <w:rPr>
      <w:rFonts w:cs="Arial"/>
      <w:b/>
      <w:bCs/>
      <w:iCs/>
      <w:sz w:val="24"/>
      <w:szCs w:val="26"/>
      <w:lang w:eastAsia="en-US"/>
    </w:rPr>
  </w:style>
  <w:style w:type="character" w:customStyle="1" w:styleId="FootnoteTextChar">
    <w:name w:val="Footnote Text Char"/>
    <w:link w:val="FootnoteText"/>
    <w:semiHidden/>
    <w:rsid w:val="00206BD1"/>
    <w:rPr>
      <w:sz w:val="16"/>
      <w:lang w:eastAsia="en-US"/>
    </w:rPr>
  </w:style>
  <w:style w:type="paragraph" w:customStyle="1" w:styleId="PlainHanging1">
    <w:name w:val="Plain Hanging1"/>
    <w:basedOn w:val="Normal"/>
    <w:rsid w:val="00206BD1"/>
    <w:pPr>
      <w:spacing w:after="200"/>
      <w:ind w:left="1020" w:hanging="510"/>
    </w:pPr>
  </w:style>
  <w:style w:type="paragraph" w:customStyle="1" w:styleId="PlainHanging0">
    <w:name w:val="Plain Hanging0"/>
    <w:basedOn w:val="PlainHanging1"/>
    <w:qFormat/>
    <w:rsid w:val="00206BD1"/>
    <w:pPr>
      <w:ind w:left="510"/>
    </w:pPr>
  </w:style>
  <w:style w:type="paragraph" w:customStyle="1" w:styleId="BoldHanging0">
    <w:name w:val="Bold Hanging0"/>
    <w:basedOn w:val="PlainHanging0"/>
    <w:qFormat/>
    <w:rsid w:val="00206BD1"/>
    <w:rPr>
      <w:b/>
    </w:rPr>
  </w:style>
  <w:style w:type="character" w:customStyle="1" w:styleId="Heading1Char">
    <w:name w:val="Heading 1 Char"/>
    <w:link w:val="Heading1"/>
    <w:rsid w:val="00206BD1"/>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link w:val="Heading1Char"/>
    <w:qFormat/>
    <w:rsid w:val="00206BD1"/>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206BD1"/>
    <w:pPr>
      <w:spacing w:before="0" w:after="200" w:line="280" w:lineRule="exact"/>
      <w:outlineLvl w:val="1"/>
    </w:pPr>
    <w:rPr>
      <w:rFonts w:ascii="Times New Roman" w:hAnsi="Times New Roman" w:cs="Arial"/>
      <w:bCs w:val="0"/>
      <w:iCs/>
      <w:kern w:val="0"/>
      <w:sz w:val="28"/>
      <w:szCs w:val="28"/>
    </w:rPr>
  </w:style>
  <w:style w:type="paragraph" w:styleId="Heading3">
    <w:name w:val="heading 3"/>
    <w:basedOn w:val="Heading2"/>
    <w:next w:val="Normal"/>
    <w:link w:val="Heading3Char"/>
    <w:qFormat/>
    <w:rsid w:val="00206BD1"/>
    <w:pPr>
      <w:spacing w:line="240" w:lineRule="exact"/>
      <w:outlineLvl w:val="2"/>
    </w:pPr>
    <w:rPr>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3">
    <w:name w:val="toc 3"/>
    <w:basedOn w:val="Normal"/>
    <w:next w:val="Normal"/>
    <w:semiHidden/>
    <w:pPr>
      <w:tabs>
        <w:tab w:val="center" w:leader="dot" w:pos="5760"/>
      </w:tabs>
      <w:ind w:left="1440"/>
    </w:pPr>
  </w:style>
  <w:style w:type="paragraph" w:styleId="TOC2">
    <w:name w:val="toc 2"/>
    <w:basedOn w:val="Normal"/>
    <w:next w:val="Normal"/>
    <w:semiHidden/>
    <w:pPr>
      <w:tabs>
        <w:tab w:val="center" w:leader="dot" w:pos="5760"/>
      </w:tabs>
      <w:ind w:left="720"/>
    </w:pPr>
  </w:style>
  <w:style w:type="paragraph" w:styleId="TOC1">
    <w:name w:val="toc 1"/>
    <w:basedOn w:val="Normal"/>
    <w:next w:val="Normal"/>
    <w:semiHidden/>
    <w:pPr>
      <w:tabs>
        <w:tab w:val="center" w:leader="dot" w:pos="5760"/>
      </w:tabs>
      <w:spacing w:before="240"/>
    </w:pPr>
  </w:style>
  <w:style w:type="paragraph" w:styleId="Footer">
    <w:name w:val="footer"/>
    <w:basedOn w:val="Normal"/>
    <w:pPr>
      <w:tabs>
        <w:tab w:val="center" w:pos="3119"/>
      </w:tabs>
      <w:spacing w:line="240" w:lineRule="auto"/>
    </w:pPr>
  </w:style>
  <w:style w:type="paragraph" w:styleId="Header">
    <w:name w:val="header"/>
    <w:basedOn w:val="Normal"/>
    <w:pPr>
      <w:tabs>
        <w:tab w:val="center" w:pos="4320"/>
        <w:tab w:val="right" w:pos="8640"/>
      </w:tabs>
      <w:spacing w:line="240" w:lineRule="auto"/>
    </w:pPr>
  </w:style>
  <w:style w:type="paragraph" w:styleId="Title">
    <w:name w:val="Title"/>
    <w:basedOn w:val="Normal"/>
    <w:next w:val="Normal"/>
    <w:qFormat/>
    <w:pPr>
      <w:spacing w:line="500" w:lineRule="exact"/>
      <w:ind w:right="720"/>
    </w:pPr>
    <w:rPr>
      <w:b/>
      <w:sz w:val="50"/>
    </w:rPr>
  </w:style>
  <w:style w:type="paragraph" w:customStyle="1" w:styleId="TopHeading1">
    <w:name w:val="Top Heading 1"/>
    <w:basedOn w:val="Normal"/>
    <w:pPr>
      <w:spacing w:after="200" w:line="280" w:lineRule="exact"/>
      <w:jc w:val="center"/>
    </w:pPr>
    <w:rPr>
      <w:b/>
      <w:caps/>
      <w:sz w:val="28"/>
    </w:rPr>
  </w:style>
  <w:style w:type="paragraph" w:customStyle="1" w:styleId="ParaHeading3">
    <w:name w:val="Para Heading 3"/>
    <w:basedOn w:val="Normal"/>
    <w:next w:val="StandardPara"/>
    <w:pPr>
      <w:keepNext/>
      <w:keepLines/>
      <w:spacing w:before="200" w:after="200" w:line="280" w:lineRule="exact"/>
      <w:ind w:left="720" w:hanging="720"/>
    </w:pPr>
    <w:rPr>
      <w:b/>
      <w:sz w:val="28"/>
    </w:rPr>
  </w:style>
  <w:style w:type="paragraph" w:customStyle="1" w:styleId="StandardPara">
    <w:name w:val="Standard Para"/>
    <w:basedOn w:val="Normal"/>
    <w:pPr>
      <w:spacing w:after="200"/>
      <w:ind w:left="720" w:hanging="720"/>
    </w:pPr>
    <w:rPr>
      <w:b/>
    </w:rPr>
  </w:style>
  <w:style w:type="paragraph" w:customStyle="1" w:styleId="EDNumber">
    <w:name w:val="ED Number"/>
    <w:basedOn w:val="Normal"/>
    <w:pPr>
      <w:tabs>
        <w:tab w:val="right" w:pos="6237"/>
      </w:tabs>
      <w:spacing w:line="240" w:lineRule="auto"/>
    </w:pPr>
  </w:style>
  <w:style w:type="paragraph" w:customStyle="1" w:styleId="ContentsPlain">
    <w:name w:val="Contents Plain"/>
    <w:basedOn w:val="Normal"/>
    <w:pPr>
      <w:spacing w:before="100" w:line="240" w:lineRule="exact"/>
      <w:ind w:right="720"/>
    </w:pPr>
    <w:rPr>
      <w:sz w:val="24"/>
    </w:rPr>
  </w:style>
  <w:style w:type="paragraph" w:customStyle="1" w:styleId="ContentsBold">
    <w:name w:val="Contents Bold"/>
    <w:basedOn w:val="Normal"/>
    <w:pPr>
      <w:tabs>
        <w:tab w:val="left" w:pos="432"/>
      </w:tabs>
      <w:spacing w:before="100" w:line="280" w:lineRule="exact"/>
      <w:ind w:left="720" w:right="720" w:hanging="720"/>
    </w:pPr>
    <w:rPr>
      <w:b/>
      <w:sz w:val="28"/>
    </w:rPr>
  </w:style>
  <w:style w:type="paragraph" w:customStyle="1" w:styleId="ContentsIndent">
    <w:name w:val="Contents Indent"/>
    <w:basedOn w:val="ContentsBold"/>
    <w:pPr>
      <w:tabs>
        <w:tab w:val="clear" w:pos="432"/>
      </w:tabs>
      <w:spacing w:before="0" w:line="240" w:lineRule="exact"/>
      <w:ind w:left="1584" w:hanging="432"/>
    </w:pPr>
    <w:rPr>
      <w:b w:val="0"/>
      <w:sz w:val="24"/>
    </w:rPr>
  </w:style>
  <w:style w:type="paragraph" w:customStyle="1" w:styleId="StandardIndent">
    <w:name w:val="Standard Indent"/>
    <w:basedOn w:val="StandardPara"/>
    <w:pPr>
      <w:ind w:firstLine="0"/>
    </w:pPr>
  </w:style>
  <w:style w:type="paragraph" w:customStyle="1" w:styleId="TopHeading2">
    <w:name w:val="Top Heading 2"/>
    <w:basedOn w:val="TopHeading1"/>
    <w:pPr>
      <w:jc w:val="left"/>
    </w:pPr>
    <w:rPr>
      <w:caps w:val="0"/>
    </w:rPr>
  </w:style>
  <w:style w:type="paragraph" w:customStyle="1" w:styleId="StandardPoint">
    <w:name w:val="Standard Point"/>
    <w:basedOn w:val="StandardPara"/>
    <w:pPr>
      <w:ind w:left="1440"/>
    </w:pPr>
  </w:style>
  <w:style w:type="paragraph" w:customStyle="1" w:styleId="CommentPara">
    <w:name w:val="Comment Para"/>
    <w:basedOn w:val="Normal"/>
    <w:pPr>
      <w:spacing w:after="200"/>
      <w:ind w:left="720" w:hanging="720"/>
      <w:outlineLvl w:val="2"/>
    </w:pPr>
  </w:style>
  <w:style w:type="paragraph" w:customStyle="1" w:styleId="ParaHeading4">
    <w:name w:val="Para Heading 4"/>
    <w:basedOn w:val="ParaHeading3"/>
    <w:next w:val="CommentPara"/>
    <w:pPr>
      <w:spacing w:before="0" w:line="240" w:lineRule="exact"/>
      <w:ind w:firstLine="0"/>
    </w:pPr>
    <w:rPr>
      <w:sz w:val="24"/>
    </w:rPr>
  </w:style>
  <w:style w:type="paragraph" w:customStyle="1" w:styleId="CommentPoint">
    <w:name w:val="Comment Point"/>
    <w:basedOn w:val="CommentPara"/>
    <w:pPr>
      <w:ind w:left="1440"/>
      <w:outlineLvl w:val="4"/>
    </w:pPr>
  </w:style>
  <w:style w:type="paragraph" w:customStyle="1" w:styleId="DefinePara">
    <w:name w:val="Define Para"/>
    <w:basedOn w:val="Normal"/>
    <w:pPr>
      <w:spacing w:after="200"/>
      <w:ind w:left="1080" w:hanging="360"/>
    </w:pPr>
    <w:rPr>
      <w:b/>
    </w:rPr>
  </w:style>
  <w:style w:type="paragraph" w:customStyle="1" w:styleId="DefinePoint">
    <w:name w:val="Define Point"/>
    <w:basedOn w:val="DefinePara"/>
    <w:pPr>
      <w:ind w:left="1800" w:hanging="720"/>
    </w:pPr>
  </w:style>
  <w:style w:type="paragraph" w:customStyle="1" w:styleId="CommentIndent">
    <w:name w:val="Comment Indent"/>
    <w:basedOn w:val="CommentPara"/>
    <w:pPr>
      <w:ind w:firstLine="0"/>
      <w:outlineLvl w:val="9"/>
    </w:pPr>
  </w:style>
  <w:style w:type="paragraph" w:customStyle="1" w:styleId="DefineIndent">
    <w:name w:val="Define Indent"/>
    <w:basedOn w:val="DefinePara"/>
    <w:pPr>
      <w:ind w:firstLine="0"/>
    </w:pPr>
  </w:style>
  <w:style w:type="paragraph" w:customStyle="1" w:styleId="TextPara">
    <w:name w:val="Text Para"/>
    <w:basedOn w:val="Normal"/>
    <w:pPr>
      <w:spacing w:after="200"/>
    </w:pPr>
  </w:style>
  <w:style w:type="paragraph" w:customStyle="1" w:styleId="TextPoint">
    <w:name w:val="Text Point"/>
    <w:basedOn w:val="TextPara"/>
    <w:pPr>
      <w:ind w:left="720" w:hanging="720"/>
    </w:pPr>
  </w:style>
  <w:style w:type="paragraph" w:customStyle="1" w:styleId="Appendices">
    <w:name w:val="Appendices"/>
    <w:basedOn w:val="Normal"/>
    <w:pPr>
      <w:spacing w:before="100" w:line="220" w:lineRule="exact"/>
      <w:ind w:left="864" w:right="720" w:hanging="432"/>
    </w:pPr>
    <w:rPr>
      <w:sz w:val="22"/>
    </w:rPr>
  </w:style>
  <w:style w:type="paragraph" w:customStyle="1" w:styleId="StandardIndentPoint">
    <w:name w:val="Standard Indent Point"/>
    <w:basedOn w:val="StandardPara"/>
    <w:pPr>
      <w:ind w:left="2160"/>
    </w:pPr>
  </w:style>
  <w:style w:type="paragraph" w:customStyle="1" w:styleId="CommentIndentPoint">
    <w:name w:val="Comment Indent Point"/>
    <w:basedOn w:val="CommentPara"/>
    <w:pPr>
      <w:ind w:left="2160"/>
    </w:pPr>
  </w:style>
  <w:style w:type="paragraph" w:customStyle="1" w:styleId="SectionHeading">
    <w:name w:val="Section Heading"/>
    <w:basedOn w:val="Normal"/>
    <w:next w:val="Normal"/>
    <w:pPr>
      <w:spacing w:after="240"/>
    </w:pPr>
    <w:rPr>
      <w:i/>
      <w:u w:val="single"/>
    </w:rPr>
  </w:style>
  <w:style w:type="paragraph" w:customStyle="1" w:styleId="CommentsPage">
    <w:name w:val="CommentsPage"/>
    <w:basedOn w:val="Normal"/>
    <w:next w:val="Normal"/>
  </w:style>
  <w:style w:type="paragraph" w:styleId="FootnoteText">
    <w:name w:val="footnote text"/>
    <w:basedOn w:val="Normal"/>
    <w:link w:val="FootnoteTextChar"/>
    <w:semiHidden/>
    <w:pPr>
      <w:spacing w:line="240" w:lineRule="auto"/>
      <w:ind w:left="432" w:hanging="432"/>
    </w:pPr>
    <w:rPr>
      <w:sz w:val="16"/>
    </w:rPr>
  </w:style>
  <w:style w:type="paragraph" w:styleId="BalloonText">
    <w:name w:val="Balloon Text"/>
    <w:basedOn w:val="Normal"/>
    <w:semiHidden/>
    <w:rsid w:val="00150F8F"/>
    <w:rPr>
      <w:rFonts w:ascii="Tahoma" w:hAnsi="Tahoma" w:cs="Tahoma"/>
      <w:sz w:val="16"/>
      <w:szCs w:val="16"/>
    </w:rPr>
  </w:style>
  <w:style w:type="paragraph" w:customStyle="1" w:styleId="DefineSubPoint">
    <w:name w:val="Define SubPoint"/>
    <w:basedOn w:val="DefinePoint"/>
    <w:pPr>
      <w:ind w:left="2520"/>
    </w:pPr>
  </w:style>
  <w:style w:type="table" w:styleId="TableGrid">
    <w:name w:val="Table Grid"/>
    <w:basedOn w:val="TableNormal"/>
    <w:rsid w:val="002A75A1"/>
    <w:pPr>
      <w:spacing w:line="2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Date">
    <w:name w:val="Cover Date"/>
    <w:basedOn w:val="Normal"/>
    <w:next w:val="Normal"/>
    <w:rsid w:val="00680CC9"/>
    <w:pPr>
      <w:spacing w:line="240" w:lineRule="exact"/>
      <w:jc w:val="right"/>
    </w:pPr>
    <w:rPr>
      <w:sz w:val="24"/>
    </w:rPr>
  </w:style>
  <w:style w:type="paragraph" w:customStyle="1" w:styleId="CoverTitle">
    <w:name w:val="Cover Title"/>
    <w:basedOn w:val="Normal"/>
    <w:rsid w:val="00680CC9"/>
    <w:pPr>
      <w:spacing w:line="500" w:lineRule="exact"/>
    </w:pPr>
    <w:rPr>
      <w:b/>
      <w:sz w:val="50"/>
    </w:rPr>
  </w:style>
  <w:style w:type="character" w:styleId="FootnoteReference">
    <w:name w:val="footnote reference"/>
    <w:rsid w:val="004E2842"/>
    <w:rPr>
      <w:vertAlign w:val="superscript"/>
    </w:rPr>
  </w:style>
  <w:style w:type="paragraph" w:customStyle="1" w:styleId="AppendixText">
    <w:name w:val="AppendixText"/>
    <w:basedOn w:val="Normal"/>
    <w:rsid w:val="003C0537"/>
    <w:pPr>
      <w:spacing w:after="200"/>
    </w:pPr>
  </w:style>
  <w:style w:type="paragraph" w:customStyle="1" w:styleId="NoNumPlain1">
    <w:name w:val="NoNum Plain1"/>
    <w:basedOn w:val="Normal"/>
    <w:rsid w:val="0059365B"/>
    <w:pPr>
      <w:spacing w:after="200" w:line="240" w:lineRule="exact"/>
    </w:pPr>
    <w:rPr>
      <w:sz w:val="24"/>
    </w:rPr>
  </w:style>
  <w:style w:type="paragraph" w:customStyle="1" w:styleId="NumPlain1">
    <w:name w:val="Num Plain1"/>
    <w:basedOn w:val="Normal"/>
    <w:link w:val="NumPlain1Char"/>
    <w:rsid w:val="00FA1D88"/>
    <w:pPr>
      <w:spacing w:after="200"/>
    </w:pPr>
  </w:style>
  <w:style w:type="character" w:customStyle="1" w:styleId="NumPlain1Char">
    <w:name w:val="Num Plain1 Char"/>
    <w:link w:val="NumPlain1"/>
    <w:rsid w:val="00FA1D88"/>
    <w:rPr>
      <w:lang w:val="en-AU" w:eastAsia="en-US" w:bidi="ar-SA"/>
    </w:rPr>
  </w:style>
  <w:style w:type="paragraph" w:customStyle="1" w:styleId="Default">
    <w:name w:val="Default"/>
    <w:rsid w:val="00702BDE"/>
    <w:pPr>
      <w:autoSpaceDE w:val="0"/>
      <w:autoSpaceDN w:val="0"/>
      <w:adjustRightInd w:val="0"/>
    </w:pPr>
    <w:rPr>
      <w:rFonts w:ascii="Arial" w:hAnsi="Arial" w:cs="Arial"/>
      <w:color w:val="000000"/>
      <w:sz w:val="24"/>
      <w:szCs w:val="24"/>
    </w:rPr>
  </w:style>
  <w:style w:type="paragraph" w:customStyle="1" w:styleId="NumBC1">
    <w:name w:val="Num BC1"/>
    <w:basedOn w:val="Normal"/>
    <w:rsid w:val="00D71B36"/>
    <w:pPr>
      <w:numPr>
        <w:numId w:val="2"/>
      </w:numPr>
      <w:spacing w:after="200"/>
    </w:pPr>
  </w:style>
  <w:style w:type="paragraph" w:customStyle="1" w:styleId="NumBC2">
    <w:name w:val="Num BC2"/>
    <w:basedOn w:val="NumBC1"/>
    <w:rsid w:val="00D71B36"/>
    <w:pPr>
      <w:numPr>
        <w:ilvl w:val="1"/>
      </w:numPr>
    </w:pPr>
  </w:style>
  <w:style w:type="paragraph" w:customStyle="1" w:styleId="NumBC3">
    <w:name w:val="Num BC3"/>
    <w:basedOn w:val="NumBC2"/>
    <w:rsid w:val="00D71B36"/>
    <w:pPr>
      <w:numPr>
        <w:ilvl w:val="2"/>
      </w:numPr>
    </w:pPr>
  </w:style>
  <w:style w:type="paragraph" w:customStyle="1" w:styleId="NumBC4">
    <w:name w:val="Num BC4"/>
    <w:basedOn w:val="NumBC3"/>
    <w:rsid w:val="00D71B36"/>
    <w:pPr>
      <w:numPr>
        <w:ilvl w:val="3"/>
      </w:numPr>
    </w:pPr>
  </w:style>
  <w:style w:type="paragraph" w:customStyle="1" w:styleId="NumPlain2">
    <w:name w:val="Num Plain2"/>
    <w:basedOn w:val="NumPlain1"/>
    <w:rsid w:val="008B7B9B"/>
    <w:pPr>
      <w:tabs>
        <w:tab w:val="num" w:pos="1021"/>
      </w:tabs>
      <w:ind w:left="1021" w:hanging="511"/>
    </w:pPr>
  </w:style>
  <w:style w:type="paragraph" w:customStyle="1" w:styleId="NumPlain4">
    <w:name w:val="Num Plain4"/>
    <w:basedOn w:val="Normal"/>
    <w:rsid w:val="008B7B9B"/>
    <w:pPr>
      <w:tabs>
        <w:tab w:val="num" w:pos="2041"/>
        <w:tab w:val="num" w:pos="2495"/>
      </w:tabs>
      <w:spacing w:after="200"/>
      <w:ind w:left="2495" w:hanging="624"/>
    </w:pPr>
  </w:style>
  <w:style w:type="paragraph" w:customStyle="1" w:styleId="Bullet1">
    <w:name w:val="Bullet1"/>
    <w:basedOn w:val="Normal"/>
    <w:rsid w:val="008B7B9B"/>
    <w:pPr>
      <w:tabs>
        <w:tab w:val="num" w:pos="360"/>
      </w:tabs>
      <w:spacing w:after="200"/>
      <w:ind w:left="360" w:hanging="360"/>
    </w:pPr>
  </w:style>
  <w:style w:type="paragraph" w:customStyle="1" w:styleId="Bullets">
    <w:name w:val="Bullets"/>
    <w:basedOn w:val="Normal"/>
    <w:rsid w:val="00191B5C"/>
    <w:pPr>
      <w:numPr>
        <w:numId w:val="3"/>
      </w:numPr>
      <w:tabs>
        <w:tab w:val="clear" w:pos="360"/>
        <w:tab w:val="num" w:pos="1134"/>
      </w:tabs>
      <w:spacing w:line="240" w:lineRule="auto"/>
      <w:ind w:left="1134"/>
    </w:pPr>
    <w:rPr>
      <w:sz w:val="24"/>
    </w:rPr>
  </w:style>
  <w:style w:type="character" w:customStyle="1" w:styleId="Heading2Char">
    <w:name w:val="Heading 2 Char"/>
    <w:link w:val="Heading2"/>
    <w:rsid w:val="00206BD1"/>
    <w:rPr>
      <w:rFonts w:cs="Arial"/>
      <w:b/>
      <w:iCs/>
      <w:sz w:val="28"/>
      <w:szCs w:val="28"/>
      <w:lang w:eastAsia="en-US"/>
    </w:rPr>
  </w:style>
  <w:style w:type="character" w:customStyle="1" w:styleId="Heading3Char">
    <w:name w:val="Heading 3 Char"/>
    <w:link w:val="Heading3"/>
    <w:rsid w:val="00206BD1"/>
    <w:rPr>
      <w:rFonts w:cs="Arial"/>
      <w:b/>
      <w:bCs/>
      <w:iCs/>
      <w:sz w:val="24"/>
      <w:szCs w:val="26"/>
      <w:lang w:eastAsia="en-US"/>
    </w:rPr>
  </w:style>
  <w:style w:type="character" w:customStyle="1" w:styleId="FootnoteTextChar">
    <w:name w:val="Footnote Text Char"/>
    <w:link w:val="FootnoteText"/>
    <w:semiHidden/>
    <w:rsid w:val="00206BD1"/>
    <w:rPr>
      <w:sz w:val="16"/>
      <w:lang w:eastAsia="en-US"/>
    </w:rPr>
  </w:style>
  <w:style w:type="paragraph" w:customStyle="1" w:styleId="PlainHanging1">
    <w:name w:val="Plain Hanging1"/>
    <w:basedOn w:val="Normal"/>
    <w:rsid w:val="00206BD1"/>
    <w:pPr>
      <w:spacing w:after="200"/>
      <w:ind w:left="1020" w:hanging="510"/>
    </w:pPr>
  </w:style>
  <w:style w:type="paragraph" w:customStyle="1" w:styleId="PlainHanging0">
    <w:name w:val="Plain Hanging0"/>
    <w:basedOn w:val="PlainHanging1"/>
    <w:qFormat/>
    <w:rsid w:val="00206BD1"/>
    <w:pPr>
      <w:ind w:left="510"/>
    </w:pPr>
  </w:style>
  <w:style w:type="paragraph" w:customStyle="1" w:styleId="BoldHanging0">
    <w:name w:val="Bold Hanging0"/>
    <w:basedOn w:val="PlainHanging0"/>
    <w:qFormat/>
    <w:rsid w:val="00206BD1"/>
    <w:rPr>
      <w:b/>
    </w:rPr>
  </w:style>
  <w:style w:type="character" w:customStyle="1" w:styleId="Heading1Char">
    <w:name w:val="Heading 1 Char"/>
    <w:link w:val="Heading1"/>
    <w:rsid w:val="00206BD1"/>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76078">
      <w:bodyDiv w:val="1"/>
      <w:marLeft w:val="0"/>
      <w:marRight w:val="0"/>
      <w:marTop w:val="0"/>
      <w:marBottom w:val="0"/>
      <w:divBdr>
        <w:top w:val="none" w:sz="0" w:space="0" w:color="auto"/>
        <w:left w:val="none" w:sz="0" w:space="0" w:color="auto"/>
        <w:bottom w:val="none" w:sz="0" w:space="0" w:color="auto"/>
        <w:right w:val="none" w:sz="0" w:space="0" w:color="auto"/>
      </w:divBdr>
    </w:div>
    <w:div w:id="8815990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581">
          <w:marLeft w:val="0"/>
          <w:marRight w:val="0"/>
          <w:marTop w:val="0"/>
          <w:marBottom w:val="0"/>
          <w:divBdr>
            <w:top w:val="none" w:sz="0" w:space="0" w:color="auto"/>
            <w:left w:val="none" w:sz="0" w:space="0" w:color="auto"/>
            <w:bottom w:val="none" w:sz="0" w:space="0" w:color="auto"/>
            <w:right w:val="none" w:sz="0" w:space="0" w:color="auto"/>
          </w:divBdr>
          <w:divsChild>
            <w:div w:id="287469472">
              <w:marLeft w:val="0"/>
              <w:marRight w:val="0"/>
              <w:marTop w:val="0"/>
              <w:marBottom w:val="0"/>
              <w:divBdr>
                <w:top w:val="none" w:sz="0" w:space="0" w:color="auto"/>
                <w:left w:val="none" w:sz="0" w:space="0" w:color="auto"/>
                <w:bottom w:val="none" w:sz="0" w:space="0" w:color="auto"/>
                <w:right w:val="none" w:sz="0" w:space="0" w:color="auto"/>
              </w:divBdr>
            </w:div>
            <w:div w:id="1148126899">
              <w:marLeft w:val="0"/>
              <w:marRight w:val="0"/>
              <w:marTop w:val="0"/>
              <w:marBottom w:val="0"/>
              <w:divBdr>
                <w:top w:val="none" w:sz="0" w:space="0" w:color="auto"/>
                <w:left w:val="none" w:sz="0" w:space="0" w:color="auto"/>
                <w:bottom w:val="none" w:sz="0" w:space="0" w:color="auto"/>
                <w:right w:val="none" w:sz="0" w:space="0" w:color="auto"/>
              </w:divBdr>
            </w:div>
            <w:div w:id="1305503824">
              <w:marLeft w:val="0"/>
              <w:marRight w:val="0"/>
              <w:marTop w:val="0"/>
              <w:marBottom w:val="0"/>
              <w:divBdr>
                <w:top w:val="none" w:sz="0" w:space="0" w:color="auto"/>
                <w:left w:val="none" w:sz="0" w:space="0" w:color="auto"/>
                <w:bottom w:val="none" w:sz="0" w:space="0" w:color="auto"/>
                <w:right w:val="none" w:sz="0" w:space="0" w:color="auto"/>
              </w:divBdr>
            </w:div>
            <w:div w:id="1469082379">
              <w:marLeft w:val="0"/>
              <w:marRight w:val="0"/>
              <w:marTop w:val="0"/>
              <w:marBottom w:val="0"/>
              <w:divBdr>
                <w:top w:val="none" w:sz="0" w:space="0" w:color="auto"/>
                <w:left w:val="none" w:sz="0" w:space="0" w:color="auto"/>
                <w:bottom w:val="none" w:sz="0" w:space="0" w:color="auto"/>
                <w:right w:val="none" w:sz="0" w:space="0" w:color="auto"/>
              </w:divBdr>
            </w:div>
            <w:div w:id="1935549575">
              <w:marLeft w:val="0"/>
              <w:marRight w:val="0"/>
              <w:marTop w:val="0"/>
              <w:marBottom w:val="0"/>
              <w:divBdr>
                <w:top w:val="none" w:sz="0" w:space="0" w:color="auto"/>
                <w:left w:val="none" w:sz="0" w:space="0" w:color="auto"/>
                <w:bottom w:val="none" w:sz="0" w:space="0" w:color="auto"/>
                <w:right w:val="none" w:sz="0" w:space="0" w:color="auto"/>
              </w:divBdr>
            </w:div>
            <w:div w:id="20019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4143">
      <w:bodyDiv w:val="1"/>
      <w:marLeft w:val="0"/>
      <w:marRight w:val="0"/>
      <w:marTop w:val="0"/>
      <w:marBottom w:val="0"/>
      <w:divBdr>
        <w:top w:val="none" w:sz="0" w:space="0" w:color="auto"/>
        <w:left w:val="none" w:sz="0" w:space="0" w:color="auto"/>
        <w:bottom w:val="none" w:sz="0" w:space="0" w:color="auto"/>
        <w:right w:val="none" w:sz="0" w:space="0" w:color="auto"/>
      </w:divBdr>
      <w:divsChild>
        <w:div w:id="1802532548">
          <w:marLeft w:val="0"/>
          <w:marRight w:val="0"/>
          <w:marTop w:val="0"/>
          <w:marBottom w:val="0"/>
          <w:divBdr>
            <w:top w:val="none" w:sz="0" w:space="0" w:color="auto"/>
            <w:left w:val="none" w:sz="0" w:space="0" w:color="auto"/>
            <w:bottom w:val="none" w:sz="0" w:space="0" w:color="auto"/>
            <w:right w:val="none" w:sz="0" w:space="0" w:color="auto"/>
          </w:divBdr>
          <w:divsChild>
            <w:div w:id="382216817">
              <w:marLeft w:val="0"/>
              <w:marRight w:val="0"/>
              <w:marTop w:val="0"/>
              <w:marBottom w:val="0"/>
              <w:divBdr>
                <w:top w:val="none" w:sz="0" w:space="0" w:color="auto"/>
                <w:left w:val="none" w:sz="0" w:space="0" w:color="auto"/>
                <w:bottom w:val="none" w:sz="0" w:space="0" w:color="auto"/>
                <w:right w:val="none" w:sz="0" w:space="0" w:color="auto"/>
              </w:divBdr>
            </w:div>
            <w:div w:id="1170364238">
              <w:marLeft w:val="0"/>
              <w:marRight w:val="0"/>
              <w:marTop w:val="0"/>
              <w:marBottom w:val="0"/>
              <w:divBdr>
                <w:top w:val="none" w:sz="0" w:space="0" w:color="auto"/>
                <w:left w:val="none" w:sz="0" w:space="0" w:color="auto"/>
                <w:bottom w:val="none" w:sz="0" w:space="0" w:color="auto"/>
                <w:right w:val="none" w:sz="0" w:space="0" w:color="auto"/>
              </w:divBdr>
            </w:div>
            <w:div w:id="1646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5718">
      <w:bodyDiv w:val="1"/>
      <w:marLeft w:val="0"/>
      <w:marRight w:val="0"/>
      <w:marTop w:val="0"/>
      <w:marBottom w:val="0"/>
      <w:divBdr>
        <w:top w:val="none" w:sz="0" w:space="0" w:color="auto"/>
        <w:left w:val="none" w:sz="0" w:space="0" w:color="auto"/>
        <w:bottom w:val="none" w:sz="0" w:space="0" w:color="auto"/>
        <w:right w:val="none" w:sz="0" w:space="0" w:color="auto"/>
      </w:divBdr>
      <w:divsChild>
        <w:div w:id="481504105">
          <w:marLeft w:val="0"/>
          <w:marRight w:val="0"/>
          <w:marTop w:val="0"/>
          <w:marBottom w:val="0"/>
          <w:divBdr>
            <w:top w:val="none" w:sz="0" w:space="0" w:color="auto"/>
            <w:left w:val="none" w:sz="0" w:space="0" w:color="auto"/>
            <w:bottom w:val="none" w:sz="0" w:space="0" w:color="auto"/>
            <w:right w:val="none" w:sz="0" w:space="0" w:color="auto"/>
          </w:divBdr>
          <w:divsChild>
            <w:div w:id="173037762">
              <w:marLeft w:val="0"/>
              <w:marRight w:val="0"/>
              <w:marTop w:val="0"/>
              <w:marBottom w:val="0"/>
              <w:divBdr>
                <w:top w:val="none" w:sz="0" w:space="0" w:color="auto"/>
                <w:left w:val="none" w:sz="0" w:space="0" w:color="auto"/>
                <w:bottom w:val="none" w:sz="0" w:space="0" w:color="auto"/>
                <w:right w:val="none" w:sz="0" w:space="0" w:color="auto"/>
              </w:divBdr>
            </w:div>
            <w:div w:id="711077740">
              <w:marLeft w:val="0"/>
              <w:marRight w:val="0"/>
              <w:marTop w:val="0"/>
              <w:marBottom w:val="0"/>
              <w:divBdr>
                <w:top w:val="none" w:sz="0" w:space="0" w:color="auto"/>
                <w:left w:val="none" w:sz="0" w:space="0" w:color="auto"/>
                <w:bottom w:val="none" w:sz="0" w:space="0" w:color="auto"/>
                <w:right w:val="none" w:sz="0" w:space="0" w:color="auto"/>
              </w:divBdr>
            </w:div>
            <w:div w:id="1571035565">
              <w:marLeft w:val="0"/>
              <w:marRight w:val="0"/>
              <w:marTop w:val="0"/>
              <w:marBottom w:val="0"/>
              <w:divBdr>
                <w:top w:val="none" w:sz="0" w:space="0" w:color="auto"/>
                <w:left w:val="none" w:sz="0" w:space="0" w:color="auto"/>
                <w:bottom w:val="none" w:sz="0" w:space="0" w:color="auto"/>
                <w:right w:val="none" w:sz="0" w:space="0" w:color="auto"/>
              </w:divBdr>
            </w:div>
            <w:div w:id="20655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turn\templates$\Accoun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A4BD1-19C8-4F9A-830A-FED3ADE1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Accounting.dot</Template>
  <TotalTime>4</TotalTime>
  <Pages>9</Pages>
  <Words>1947</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AASB 8 RIS (Feb 2007)</vt:lpstr>
    </vt:vector>
  </TitlesOfParts>
  <Company>AASB</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8 RIS (Feb 2007)</dc:title>
  <dc:creator>Ahmad Hamidi-Ravari</dc:creator>
  <cp:lastModifiedBy>Angus Thomson</cp:lastModifiedBy>
  <cp:revision>6</cp:revision>
  <cp:lastPrinted>2010-08-03T07:14:00Z</cp:lastPrinted>
  <dcterms:created xsi:type="dcterms:W3CDTF">2011-07-06T07:06:00Z</dcterms:created>
  <dcterms:modified xsi:type="dcterms:W3CDTF">2011-07-06T07:09:00Z</dcterms:modified>
</cp:coreProperties>
</file>