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96" w:rsidRDefault="007A6C96" w:rsidP="007A6C96">
      <w:pPr>
        <w:jc w:val="center"/>
        <w:outlineLvl w:val="0"/>
        <w:rPr>
          <w:b/>
        </w:rPr>
      </w:pPr>
    </w:p>
    <w:p w:rsidR="0078240F" w:rsidRPr="00720717" w:rsidRDefault="00664018" w:rsidP="00682814">
      <w:pPr>
        <w:jc w:val="center"/>
        <w:outlineLvl w:val="0"/>
        <w:rPr>
          <w:b/>
        </w:rPr>
      </w:pPr>
      <w:r w:rsidRPr="00720717">
        <w:rPr>
          <w:b/>
        </w:rPr>
        <w:t>EXPLANATORY STATEMENT</w:t>
      </w:r>
    </w:p>
    <w:p w:rsidR="00720717" w:rsidRPr="00664018" w:rsidRDefault="00720717" w:rsidP="00720717">
      <w:pPr>
        <w:jc w:val="center"/>
      </w:pPr>
    </w:p>
    <w:p w:rsidR="00664018" w:rsidRPr="00664018" w:rsidRDefault="00664018" w:rsidP="00664018">
      <w:pPr>
        <w:jc w:val="center"/>
      </w:pPr>
      <w:r w:rsidRPr="00664018">
        <w:t>Issued by the authority of the Minister for Broadband, Communications and the Digital Economy</w:t>
      </w:r>
    </w:p>
    <w:p w:rsidR="00664018" w:rsidRPr="00664018" w:rsidRDefault="00664018" w:rsidP="00720717">
      <w:pPr>
        <w:jc w:val="center"/>
        <w:rPr>
          <w:caps/>
        </w:rPr>
      </w:pPr>
    </w:p>
    <w:p w:rsidR="00664018" w:rsidRPr="00664018" w:rsidRDefault="00664018" w:rsidP="00664018">
      <w:pPr>
        <w:jc w:val="center"/>
        <w:rPr>
          <w:i/>
        </w:rPr>
      </w:pPr>
      <w:r w:rsidRPr="00664018">
        <w:rPr>
          <w:i/>
        </w:rPr>
        <w:t>Australian Communications and Media Authority (</w:t>
      </w:r>
      <w:r w:rsidR="00B5674E">
        <w:rPr>
          <w:i/>
        </w:rPr>
        <w:t xml:space="preserve">Annual Carrier Licence Charge) </w:t>
      </w:r>
      <w:r w:rsidRPr="00664018">
        <w:rPr>
          <w:i/>
        </w:rPr>
        <w:t xml:space="preserve">Direction 2011 </w:t>
      </w:r>
    </w:p>
    <w:p w:rsidR="00720717" w:rsidRDefault="00720717" w:rsidP="00720717">
      <w:pPr>
        <w:jc w:val="center"/>
        <w:rPr>
          <w:b/>
        </w:rPr>
      </w:pPr>
    </w:p>
    <w:p w:rsidR="00720717" w:rsidRDefault="00664018" w:rsidP="00664018">
      <w:pPr>
        <w:jc w:val="center"/>
      </w:pPr>
      <w:r w:rsidRPr="008C5B85">
        <w:rPr>
          <w:i/>
          <w:iCs/>
        </w:rPr>
        <w:t>Australian Communications and Media Authority Act 2005</w:t>
      </w:r>
    </w:p>
    <w:p w:rsidR="009416D5" w:rsidRDefault="009416D5">
      <w:pPr>
        <w:rPr>
          <w:u w:val="single"/>
        </w:rPr>
      </w:pPr>
    </w:p>
    <w:p w:rsidR="00720717" w:rsidRPr="009416D5" w:rsidRDefault="009416D5">
      <w:pPr>
        <w:rPr>
          <w:u w:val="single"/>
        </w:rPr>
      </w:pPr>
      <w:r w:rsidRPr="009416D5">
        <w:rPr>
          <w:u w:val="single"/>
        </w:rPr>
        <w:t xml:space="preserve">Authority </w:t>
      </w:r>
    </w:p>
    <w:p w:rsidR="009416D5" w:rsidRDefault="009416D5"/>
    <w:p w:rsidR="009416D5" w:rsidRPr="008C5B85" w:rsidRDefault="009416D5" w:rsidP="009416D5">
      <w:r w:rsidRPr="008C5B85">
        <w:t xml:space="preserve">The </w:t>
      </w:r>
      <w:r w:rsidRPr="008C5B85">
        <w:rPr>
          <w:i/>
        </w:rPr>
        <w:t>Australian Communications and Media Authority (</w:t>
      </w:r>
      <w:r>
        <w:rPr>
          <w:i/>
        </w:rPr>
        <w:t>Annual Carrier Licence Charge</w:t>
      </w:r>
      <w:r w:rsidRPr="008C5B85">
        <w:rPr>
          <w:i/>
        </w:rPr>
        <w:t>) Direction 2011</w:t>
      </w:r>
      <w:r w:rsidRPr="008C5B85">
        <w:t xml:space="preserve"> (the Direction) is made by the Minister for Broadband, Communications, and the Digital Economy (the Minister) to the Australian Communications and Media Authority (ACMA) pursuant to section</w:t>
      </w:r>
      <w:r>
        <w:t> </w:t>
      </w:r>
      <w:r w:rsidRPr="008C5B85">
        <w:t xml:space="preserve">14 of the </w:t>
      </w:r>
      <w:r w:rsidRPr="008C5B85">
        <w:rPr>
          <w:i/>
          <w:iCs/>
        </w:rPr>
        <w:t>Australian Communications and Media Authority Act 2005</w:t>
      </w:r>
      <w:r>
        <w:t xml:space="preserve"> (ACMA Act</w:t>
      </w:r>
      <w:r w:rsidRPr="008C5B85">
        <w:t>)</w:t>
      </w:r>
      <w:r>
        <w:t xml:space="preserve">.    </w:t>
      </w:r>
    </w:p>
    <w:p w:rsidR="009416D5" w:rsidRDefault="009416D5" w:rsidP="00682814">
      <w:pPr>
        <w:outlineLvl w:val="0"/>
        <w:rPr>
          <w:u w:val="single"/>
        </w:rPr>
      </w:pPr>
    </w:p>
    <w:p w:rsidR="00720717" w:rsidRDefault="00720717" w:rsidP="00682814">
      <w:pPr>
        <w:outlineLvl w:val="0"/>
        <w:rPr>
          <w:u w:val="single"/>
        </w:rPr>
      </w:pPr>
      <w:r>
        <w:rPr>
          <w:u w:val="single"/>
        </w:rPr>
        <w:t>Purpose</w:t>
      </w:r>
    </w:p>
    <w:p w:rsidR="00720717" w:rsidRPr="00720717" w:rsidRDefault="00720717"/>
    <w:p w:rsidR="009416D5" w:rsidRDefault="009416D5" w:rsidP="009416D5">
      <w:r>
        <w:t xml:space="preserve">The purpose of the Direction is to require the ACMA to make determinations under subsection 14(1) of the </w:t>
      </w:r>
      <w:r>
        <w:rPr>
          <w:bCs/>
          <w:i/>
          <w:iCs/>
        </w:rPr>
        <w:t xml:space="preserve">Telecommunications (Carrier Licence Charges) Act 1997 </w:t>
      </w:r>
      <w:r w:rsidRPr="00664018">
        <w:rPr>
          <w:bCs/>
          <w:iCs/>
        </w:rPr>
        <w:t>(</w:t>
      </w:r>
      <w:r w:rsidRPr="00370E1C">
        <w:rPr>
          <w:bCs/>
        </w:rPr>
        <w:t>Carrier Licence Charges Act</w:t>
      </w:r>
      <w:r>
        <w:rPr>
          <w:bCs/>
          <w:iCs/>
        </w:rPr>
        <w:t xml:space="preserve">) </w:t>
      </w:r>
      <w:r w:rsidR="001329B6">
        <w:rPr>
          <w:bCs/>
          <w:iCs/>
        </w:rPr>
        <w:t xml:space="preserve">which </w:t>
      </w:r>
      <w:r>
        <w:rPr>
          <w:bCs/>
          <w:iCs/>
        </w:rPr>
        <w:t xml:space="preserve">have the </w:t>
      </w:r>
      <w:r>
        <w:rPr>
          <w:noProof/>
        </w:rPr>
        <w:t>effect</w:t>
      </w:r>
      <w:r>
        <w:t xml:space="preserve"> of </w:t>
      </w:r>
      <w:r w:rsidR="00FB5252">
        <w:t>removing the</w:t>
      </w:r>
      <w:r>
        <w:t xml:space="preserve"> annual carrier licence charge for</w:t>
      </w:r>
      <w:r w:rsidR="00FB5252">
        <w:t xml:space="preserve"> a</w:t>
      </w:r>
      <w:r>
        <w:t xml:space="preserve"> licence held by a carrier that was a ‘USO non-participating person’ pursuant to the </w:t>
      </w:r>
      <w:r>
        <w:rPr>
          <w:i/>
        </w:rPr>
        <w:t xml:space="preserve">Telecommunications (Participating Persons) Determination 2011 </w:t>
      </w:r>
      <w:r w:rsidRPr="00D6541A">
        <w:rPr>
          <w:i/>
        </w:rPr>
        <w:t xml:space="preserve">(No.1) </w:t>
      </w:r>
      <w:r>
        <w:t xml:space="preserve">(the Participating Persons Determination) </w:t>
      </w:r>
      <w:r w:rsidRPr="009B731A">
        <w:t>for</w:t>
      </w:r>
      <w:r>
        <w:t xml:space="preserve"> the eligible revenue period immediately preceding that financial year.</w:t>
      </w:r>
    </w:p>
    <w:p w:rsidR="009416D5" w:rsidRDefault="009416D5" w:rsidP="006965FC"/>
    <w:p w:rsidR="009416D5" w:rsidRDefault="009416D5" w:rsidP="009416D5">
      <w:pPr>
        <w:outlineLvl w:val="0"/>
        <w:rPr>
          <w:u w:val="single"/>
        </w:rPr>
      </w:pPr>
      <w:r>
        <w:rPr>
          <w:u w:val="single"/>
        </w:rPr>
        <w:t>Background</w:t>
      </w:r>
    </w:p>
    <w:p w:rsidR="009416D5" w:rsidRDefault="009416D5" w:rsidP="006965FC"/>
    <w:p w:rsidR="006965FC" w:rsidRDefault="006965FC" w:rsidP="006965FC">
      <w:r>
        <w:t xml:space="preserve">On </w:t>
      </w:r>
      <w:r w:rsidRPr="00664018">
        <w:t xml:space="preserve">15 September 2009, the </w:t>
      </w:r>
      <w:r>
        <w:t xml:space="preserve">Australian </w:t>
      </w:r>
      <w:r w:rsidR="00194CBD">
        <w:t>G</w:t>
      </w:r>
      <w:r w:rsidR="00194CBD" w:rsidRPr="00664018">
        <w:t xml:space="preserve">overnment </w:t>
      </w:r>
      <w:r w:rsidRPr="00664018">
        <w:t>announced a package of reforms to telecommunications regulation in Australia which included the intention to remove unnecessary red tape by exempting smaller carriers from certain reporting obligations to the ACMA</w:t>
      </w:r>
      <w:r w:rsidR="009416D5">
        <w:t xml:space="preserve">, </w:t>
      </w:r>
      <w:r w:rsidRPr="00664018">
        <w:t>and</w:t>
      </w:r>
      <w:r w:rsidR="00A4657E">
        <w:t xml:space="preserve"> </w:t>
      </w:r>
      <w:r w:rsidR="009416D5">
        <w:t xml:space="preserve">in effect, </w:t>
      </w:r>
      <w:r w:rsidR="00A4657E">
        <w:t xml:space="preserve">from paying annual carrier licence </w:t>
      </w:r>
      <w:r w:rsidRPr="00664018">
        <w:t>charges</w:t>
      </w:r>
      <w:r>
        <w:t>.</w:t>
      </w:r>
    </w:p>
    <w:p w:rsidR="006965FC" w:rsidRDefault="006965FC" w:rsidP="006965FC"/>
    <w:p w:rsidR="006965FC" w:rsidRDefault="00F703CE" w:rsidP="00F703CE">
      <w:r>
        <w:t xml:space="preserve">On 2 May 2011, the government released a consultation paper and exposure draft on the </w:t>
      </w:r>
      <w:r>
        <w:rPr>
          <w:i/>
        </w:rPr>
        <w:t>Telecommunications (Participating Persons) Determination 2011</w:t>
      </w:r>
      <w:r>
        <w:t xml:space="preserve"> </w:t>
      </w:r>
      <w:r>
        <w:rPr>
          <w:i/>
        </w:rPr>
        <w:t>(No.1)</w:t>
      </w:r>
      <w:r w:rsidR="00D6541A">
        <w:rPr>
          <w:i/>
        </w:rPr>
        <w:t xml:space="preserve"> </w:t>
      </w:r>
      <w:r w:rsidR="00D6541A">
        <w:t>(the Participating Persons Determination)</w:t>
      </w:r>
      <w:r w:rsidR="00A4657E">
        <w:rPr>
          <w:i/>
        </w:rPr>
        <w:t xml:space="preserve">, </w:t>
      </w:r>
      <w:r w:rsidR="00A4657E">
        <w:t>which</w:t>
      </w:r>
      <w:r>
        <w:t xml:space="preserve"> </w:t>
      </w:r>
      <w:r w:rsidR="009416D5">
        <w:t xml:space="preserve">will </w:t>
      </w:r>
      <w:r>
        <w:t xml:space="preserve">reduce </w:t>
      </w:r>
      <w:r w:rsidR="006965FC">
        <w:t>red tape for smaller carriers by exempting carriers with</w:t>
      </w:r>
      <w:r w:rsidR="00A4657E">
        <w:t xml:space="preserve"> revenues less than $25 million (either</w:t>
      </w:r>
      <w:r>
        <w:t xml:space="preserve"> initial sales revenue, gross telecommunications sales revenue, or </w:t>
      </w:r>
      <w:r w:rsidRPr="00D56EDD">
        <w:t>eligible revenue</w:t>
      </w:r>
      <w:r w:rsidR="00A4657E">
        <w:t>)</w:t>
      </w:r>
      <w:r w:rsidRPr="00D56EDD">
        <w:t xml:space="preserve"> </w:t>
      </w:r>
      <w:r w:rsidR="006965FC">
        <w:t>from the requirement of lodging an eligible revenue return to the ACMA</w:t>
      </w:r>
      <w:r>
        <w:t>, and from contributing to the Universal Service Obligation (USO) and National Relay Service (NRS) levies</w:t>
      </w:r>
      <w:r w:rsidR="006965FC">
        <w:t xml:space="preserve">. The consultation paper also confirmed the government’s intention that regulatory changes would be made to ensure that </w:t>
      </w:r>
      <w:r w:rsidR="00A4657E">
        <w:t xml:space="preserve">these smaller carriers </w:t>
      </w:r>
      <w:r w:rsidR="006965FC">
        <w:t>would</w:t>
      </w:r>
      <w:r w:rsidR="00A4657E">
        <w:t xml:space="preserve"> also</w:t>
      </w:r>
      <w:r w:rsidR="006965FC">
        <w:t xml:space="preserve"> be exempt from</w:t>
      </w:r>
      <w:r>
        <w:t xml:space="preserve"> paying</w:t>
      </w:r>
      <w:r w:rsidR="006965FC">
        <w:t xml:space="preserve"> annual carrier licence charges.</w:t>
      </w:r>
    </w:p>
    <w:p w:rsidR="00664018" w:rsidRDefault="00664018" w:rsidP="00664018"/>
    <w:p w:rsidR="009B731A" w:rsidRDefault="00A619F6" w:rsidP="007F6E44">
      <w:pPr>
        <w:rPr>
          <w:lang w:val="en-GB"/>
        </w:rPr>
      </w:pPr>
      <w:r>
        <w:t>Under</w:t>
      </w:r>
      <w:r w:rsidR="009B731A">
        <w:t xml:space="preserve"> section 13 of</w:t>
      </w:r>
      <w:r>
        <w:t xml:space="preserve"> the </w:t>
      </w:r>
      <w:r w:rsidR="007F6E44" w:rsidRPr="00370E1C">
        <w:rPr>
          <w:bCs/>
        </w:rPr>
        <w:t>Carrier Licence Charges Act</w:t>
      </w:r>
      <w:r>
        <w:t>, a holder of a telecommunications carrier licence is required to pay annual carrier licence charges</w:t>
      </w:r>
      <w:r w:rsidR="009B731A">
        <w:t xml:space="preserve">. </w:t>
      </w:r>
      <w:r w:rsidR="00194CBD">
        <w:rPr>
          <w:sz w:val="23"/>
          <w:szCs w:val="23"/>
        </w:rPr>
        <w:t xml:space="preserve">The annual carrier licence charge recovers the costs of regulating the telecommunications industry. </w:t>
      </w:r>
      <w:r w:rsidR="009B731A">
        <w:t xml:space="preserve">The amount of the annual carrier licence charge is set by the ACMA </w:t>
      </w:r>
      <w:r w:rsidR="009B731A">
        <w:lastRenderedPageBreak/>
        <w:t>annually in a written determination pursuant to section 14 of the Carrier Licence Charges Act. Section 5 of the ACMA’s determination</w:t>
      </w:r>
      <w:r w:rsidR="009416D5">
        <w:t xml:space="preserve"> for the 2009-10 financial year</w:t>
      </w:r>
      <w:r w:rsidR="009B731A">
        <w:t xml:space="preserve">, the </w:t>
      </w:r>
      <w:r w:rsidR="009B731A">
        <w:rPr>
          <w:i/>
        </w:rPr>
        <w:t>Telecommunications (Annual Carrier Licence Charge) Determination 2010</w:t>
      </w:r>
      <w:r w:rsidR="009B731A">
        <w:t xml:space="preserve">, sets out </w:t>
      </w:r>
      <w:r w:rsidR="00F37B3A">
        <w:t xml:space="preserve">the </w:t>
      </w:r>
      <w:r w:rsidR="00F37B3A">
        <w:rPr>
          <w:lang w:val="en-GB"/>
        </w:rPr>
        <w:t>methodology used for the calculation of the annual carrier licence charge. This section specifies a formula for the calculation of the annual carrier licence charge, including a fixed and variable component.</w:t>
      </w:r>
    </w:p>
    <w:p w:rsidR="00F37B3A" w:rsidRDefault="00F37B3A" w:rsidP="007F6E44">
      <w:pPr>
        <w:rPr>
          <w:lang w:val="en-GB"/>
        </w:rPr>
      </w:pPr>
    </w:p>
    <w:p w:rsidR="00F37B3A" w:rsidRPr="00731062" w:rsidRDefault="00F37B3A" w:rsidP="007F6E44">
      <w:pPr>
        <w:rPr>
          <w:lang w:val="en-GB"/>
        </w:rPr>
      </w:pPr>
      <w:r>
        <w:rPr>
          <w:lang w:val="en-GB"/>
        </w:rPr>
        <w:t xml:space="preserve">The fixed component of the annual carrier licence charge </w:t>
      </w:r>
      <w:r w:rsidR="00731062">
        <w:rPr>
          <w:lang w:val="en-GB"/>
        </w:rPr>
        <w:t>is a</w:t>
      </w:r>
      <w:r>
        <w:rPr>
          <w:lang w:val="en-GB"/>
        </w:rPr>
        <w:t xml:space="preserve"> cost recovery based administration charge</w:t>
      </w:r>
      <w:r w:rsidR="00B326D9">
        <w:rPr>
          <w:lang w:val="en-GB"/>
        </w:rPr>
        <w:t xml:space="preserve">. The variable component is </w:t>
      </w:r>
      <w:r w:rsidR="00194CBD">
        <w:rPr>
          <w:lang w:val="en-GB"/>
        </w:rPr>
        <w:t>calculated</w:t>
      </w:r>
      <w:r w:rsidR="00731062">
        <w:rPr>
          <w:lang w:val="en-GB"/>
        </w:rPr>
        <w:t>,</w:t>
      </w:r>
      <w:r w:rsidR="00FB5252">
        <w:rPr>
          <w:lang w:val="en-GB"/>
        </w:rPr>
        <w:t xml:space="preserve"> </w:t>
      </w:r>
      <w:r w:rsidR="00731062">
        <w:rPr>
          <w:lang w:val="en-GB"/>
        </w:rPr>
        <w:t>in part,</w:t>
      </w:r>
      <w:r w:rsidR="00FB5252">
        <w:rPr>
          <w:lang w:val="en-GB"/>
        </w:rPr>
        <w:t xml:space="preserve"> on the basis of</w:t>
      </w:r>
      <w:r w:rsidR="00731062">
        <w:rPr>
          <w:lang w:val="en-GB"/>
        </w:rPr>
        <w:t xml:space="preserve"> the ACMA’s assessment of each carrier’s eligible revenue for the eligible revenue period under section 20F of the </w:t>
      </w:r>
      <w:r w:rsidR="00731062">
        <w:rPr>
          <w:i/>
          <w:lang w:val="en-GB"/>
        </w:rPr>
        <w:t>Telecommunications (Consumer Protection and Service Standards) Act 1999</w:t>
      </w:r>
      <w:r w:rsidR="00731062">
        <w:rPr>
          <w:lang w:val="en-GB"/>
        </w:rPr>
        <w:t xml:space="preserve"> (the Act).</w:t>
      </w:r>
    </w:p>
    <w:p w:rsidR="00731062" w:rsidRDefault="00731062" w:rsidP="007F6E44">
      <w:pPr>
        <w:rPr>
          <w:lang w:val="en-GB"/>
        </w:rPr>
      </w:pPr>
    </w:p>
    <w:p w:rsidR="007F6E44" w:rsidRDefault="00731062" w:rsidP="007F6E44">
      <w:r>
        <w:rPr>
          <w:lang w:val="en-GB"/>
        </w:rPr>
        <w:t>Under subsection 20(1) of the Act, carriers are required to submit to the ACMA a written return (eligible revenue return) setting out their eligible revenue for the eligible revenue period (financial year).</w:t>
      </w:r>
    </w:p>
    <w:p w:rsidR="009416D5" w:rsidRDefault="009416D5"/>
    <w:p w:rsidR="009416D5" w:rsidRDefault="00A602CE">
      <w:r>
        <w:rPr>
          <w:u w:val="single"/>
        </w:rPr>
        <w:t xml:space="preserve">Operation of the Direction </w:t>
      </w:r>
    </w:p>
    <w:p w:rsidR="00A602CE" w:rsidRDefault="00A602CE" w:rsidP="007F6E44"/>
    <w:p w:rsidR="00303D56" w:rsidRDefault="00E93345" w:rsidP="00303D56">
      <w:r>
        <w:t xml:space="preserve">The Direction requires the ACMA to make such determinations as necessary under subsection 14(1) of the </w:t>
      </w:r>
      <w:r w:rsidRPr="00370E1C">
        <w:rPr>
          <w:bCs/>
        </w:rPr>
        <w:t>Carrier Licence Charges Act</w:t>
      </w:r>
      <w:r>
        <w:rPr>
          <w:bCs/>
          <w:iCs/>
        </w:rPr>
        <w:t xml:space="preserve"> </w:t>
      </w:r>
      <w:r w:rsidRPr="008C5B85">
        <w:rPr>
          <w:bCs/>
          <w:iCs/>
        </w:rPr>
        <w:t>which</w:t>
      </w:r>
      <w:r>
        <w:rPr>
          <w:bCs/>
          <w:i/>
          <w:iCs/>
        </w:rPr>
        <w:t xml:space="preserve"> </w:t>
      </w:r>
      <w:r>
        <w:rPr>
          <w:bCs/>
          <w:iCs/>
        </w:rPr>
        <w:t xml:space="preserve">have the </w:t>
      </w:r>
      <w:r>
        <w:t xml:space="preserve">effect of </w:t>
      </w:r>
      <w:r w:rsidR="00D16F5D">
        <w:t>removing the</w:t>
      </w:r>
      <w:r>
        <w:t xml:space="preserve"> annual carrier licence charge for </w:t>
      </w:r>
      <w:r w:rsidR="0038799E">
        <w:t xml:space="preserve">a </w:t>
      </w:r>
      <w:r>
        <w:t>licence held by</w:t>
      </w:r>
      <w:r w:rsidR="0038799E">
        <w:t xml:space="preserve"> a</w:t>
      </w:r>
      <w:r>
        <w:t xml:space="preserve"> carrier that was a ‘USO non-participating person’ pursuant to the Participating Persons Determination </w:t>
      </w:r>
      <w:r w:rsidRPr="009B731A">
        <w:t>for</w:t>
      </w:r>
      <w:r>
        <w:t xml:space="preserve"> the eligible revenue period immediately preceding that financial year.</w:t>
      </w:r>
    </w:p>
    <w:p w:rsidR="00E93345" w:rsidRDefault="00E93345" w:rsidP="00E93345"/>
    <w:p w:rsidR="00DB1C98" w:rsidRDefault="00E93345" w:rsidP="00664018">
      <w:r>
        <w:t xml:space="preserve">The Participating Persons Determination </w:t>
      </w:r>
      <w:r w:rsidR="004571C6">
        <w:t xml:space="preserve">which is </w:t>
      </w:r>
      <w:r>
        <w:t>made under p</w:t>
      </w:r>
      <w:r w:rsidR="00664018" w:rsidRPr="003664FE">
        <w:t xml:space="preserve">aragraph 20A(2)(b) of </w:t>
      </w:r>
      <w:r w:rsidR="00731062">
        <w:t>the Act</w:t>
      </w:r>
      <w:r w:rsidR="004571C6">
        <w:t xml:space="preserve"> </w:t>
      </w:r>
      <w:r w:rsidR="00753A6E">
        <w:t xml:space="preserve">enables the </w:t>
      </w:r>
      <w:r w:rsidR="00664018" w:rsidRPr="003664FE">
        <w:t xml:space="preserve">Minister </w:t>
      </w:r>
      <w:r w:rsidR="00753A6E">
        <w:t xml:space="preserve">to </w:t>
      </w:r>
      <w:r w:rsidR="00664018" w:rsidRPr="003664FE">
        <w:t xml:space="preserve">make a written determination </w:t>
      </w:r>
      <w:r w:rsidR="001549B1">
        <w:t>specifying</w:t>
      </w:r>
      <w:r w:rsidR="001549B1" w:rsidRPr="00D56EDD">
        <w:t xml:space="preserve"> that a certain kind of person is not a ‘participating person’ for an eligible revenue period under the Act</w:t>
      </w:r>
      <w:r w:rsidR="001549B1">
        <w:t>.</w:t>
      </w:r>
    </w:p>
    <w:p w:rsidR="00E93345" w:rsidRDefault="00E93345" w:rsidP="00664018"/>
    <w:p w:rsidR="00CA538E" w:rsidRDefault="00E93345" w:rsidP="00E93345">
      <w:r>
        <w:t xml:space="preserve">The effect of the Participating Persons Determination is to </w:t>
      </w:r>
      <w:r w:rsidR="00FB0347">
        <w:t xml:space="preserve">exempt </w:t>
      </w:r>
      <w:r w:rsidR="00753A6E" w:rsidRPr="00753A6E">
        <w:t xml:space="preserve">carriers with eligible revenue of less than $25 million from </w:t>
      </w:r>
      <w:r w:rsidR="00753A6E">
        <w:t xml:space="preserve">the requirement of lodging </w:t>
      </w:r>
      <w:r w:rsidR="00795A2B" w:rsidRPr="00753A6E">
        <w:t>eligible</w:t>
      </w:r>
      <w:r w:rsidR="00753A6E">
        <w:t xml:space="preserve"> revenue return</w:t>
      </w:r>
      <w:r w:rsidR="00FB0347">
        <w:t>s</w:t>
      </w:r>
      <w:r w:rsidR="00753A6E">
        <w:t xml:space="preserve"> to the ACMA</w:t>
      </w:r>
      <w:r w:rsidR="00CA538E">
        <w:t xml:space="preserve"> and from paying </w:t>
      </w:r>
      <w:r w:rsidR="00753A6E" w:rsidRPr="00753A6E">
        <w:t xml:space="preserve">the USO </w:t>
      </w:r>
      <w:r w:rsidR="00FB0347">
        <w:t xml:space="preserve">and NRS levies. </w:t>
      </w:r>
      <w:r w:rsidR="00CA538E">
        <w:t>In order to determine which carriers are exempt from these</w:t>
      </w:r>
      <w:r w:rsidR="001549B1">
        <w:t xml:space="preserve"> regulatory</w:t>
      </w:r>
      <w:r w:rsidR="00CA538E">
        <w:t xml:space="preserve"> requirements, the Participating Persons Determinations introduces the concept of a ‘USO non-participating person’. A USO non-participating person is </w:t>
      </w:r>
      <w:r w:rsidR="001549B1">
        <w:t>a</w:t>
      </w:r>
      <w:r w:rsidR="00CA538E">
        <w:t xml:space="preserve"> carrier that has revenue below one of the three revenue thresholds (initial sales revenue, gross telecommunications sales revenue or eligible revenue) and provides the ACMA with an eligible statutory declaration (within </w:t>
      </w:r>
      <w:r w:rsidR="006549BB">
        <w:t>a specified period</w:t>
      </w:r>
      <w:r w:rsidR="00CA538E">
        <w:t xml:space="preserve"> of the</w:t>
      </w:r>
      <w:r w:rsidR="006549BB">
        <w:t xml:space="preserve"> end of the</w:t>
      </w:r>
      <w:r w:rsidR="00CA538E">
        <w:t xml:space="preserve"> eligible revenue period)</w:t>
      </w:r>
      <w:r w:rsidR="001549B1">
        <w:t xml:space="preserve"> declaring that their revenue is below one of the three thresholds.</w:t>
      </w:r>
      <w:r w:rsidR="004571C6">
        <w:t xml:space="preserve"> </w:t>
      </w:r>
      <w:r w:rsidR="00CA538E">
        <w:t xml:space="preserve">More information </w:t>
      </w:r>
      <w:r w:rsidR="004571C6">
        <w:t xml:space="preserve">about this </w:t>
      </w:r>
      <w:r w:rsidR="00CA538E">
        <w:t>can be found in the explanatory statement to the Participating Persons Determination.</w:t>
      </w:r>
    </w:p>
    <w:p w:rsidR="00CA538E" w:rsidRDefault="00CA538E" w:rsidP="00E93345"/>
    <w:p w:rsidR="00303D56" w:rsidRDefault="00CA538E" w:rsidP="00303D56">
      <w:r>
        <w:t xml:space="preserve">The Direction </w:t>
      </w:r>
      <w:r w:rsidR="004571C6">
        <w:t xml:space="preserve">is made to </w:t>
      </w:r>
      <w:r w:rsidR="003F358F">
        <w:t xml:space="preserve">ensure </w:t>
      </w:r>
      <w:r w:rsidR="001549B1">
        <w:t xml:space="preserve">that carriers that are USO non-participating persons </w:t>
      </w:r>
      <w:r w:rsidR="00C54677">
        <w:t xml:space="preserve">for the eligible revenue period immediately preceding that financial year </w:t>
      </w:r>
      <w:r w:rsidR="004571C6">
        <w:t xml:space="preserve">will </w:t>
      </w:r>
      <w:r w:rsidR="003F358F">
        <w:t xml:space="preserve">not </w:t>
      </w:r>
      <w:r w:rsidR="004571C6">
        <w:t xml:space="preserve">be required to </w:t>
      </w:r>
      <w:r w:rsidR="003F358F">
        <w:t xml:space="preserve">pay </w:t>
      </w:r>
      <w:r w:rsidR="004571C6">
        <w:t xml:space="preserve">any </w:t>
      </w:r>
      <w:r w:rsidR="003F358F">
        <w:t>annual carrier licence charge</w:t>
      </w:r>
      <w:r w:rsidR="00C54677">
        <w:t>. That is, if a carrier is a ‘USO non-participating person’ for the 2010</w:t>
      </w:r>
      <w:r w:rsidR="00E45606">
        <w:t>-11</w:t>
      </w:r>
      <w:r w:rsidR="00C54677">
        <w:t xml:space="preserve"> eligible revenue period pursuant to the Participating Persons Determination, then that carrier will not pay any annual carrier licence charges for the 2011</w:t>
      </w:r>
      <w:r w:rsidR="00E45606">
        <w:t>-12</w:t>
      </w:r>
      <w:r w:rsidR="00C54677">
        <w:t xml:space="preserve"> financial year.</w:t>
      </w:r>
    </w:p>
    <w:p w:rsidR="003F358F" w:rsidRDefault="003F358F" w:rsidP="00E93345"/>
    <w:p w:rsidR="003C3D0E" w:rsidRDefault="00FD1768" w:rsidP="00FD1768">
      <w:pPr>
        <w:pStyle w:val="BodyText2"/>
        <w:rPr>
          <w:szCs w:val="24"/>
        </w:rPr>
      </w:pPr>
      <w:r w:rsidRPr="000916F7">
        <w:rPr>
          <w:szCs w:val="24"/>
        </w:rPr>
        <w:t>Details</w:t>
      </w:r>
      <w:r>
        <w:rPr>
          <w:szCs w:val="24"/>
        </w:rPr>
        <w:t xml:space="preserve"> of the accompanying Direction </w:t>
      </w:r>
      <w:r w:rsidRPr="000916F7">
        <w:rPr>
          <w:szCs w:val="24"/>
        </w:rPr>
        <w:t xml:space="preserve">are set out in the </w:t>
      </w:r>
      <w:r w:rsidRPr="000916F7">
        <w:rPr>
          <w:szCs w:val="24"/>
          <w:u w:val="single"/>
        </w:rPr>
        <w:t>Attachment</w:t>
      </w:r>
      <w:r w:rsidR="00D16F5D">
        <w:rPr>
          <w:szCs w:val="24"/>
          <w:u w:val="single"/>
        </w:rPr>
        <w:t xml:space="preserve"> A</w:t>
      </w:r>
      <w:r w:rsidRPr="000916F7">
        <w:rPr>
          <w:szCs w:val="24"/>
        </w:rPr>
        <w:t>.</w:t>
      </w:r>
    </w:p>
    <w:p w:rsidR="003C3D0E" w:rsidRPr="000916F7" w:rsidRDefault="003C3D0E" w:rsidP="00FD1768">
      <w:pPr>
        <w:pStyle w:val="BodyText2"/>
        <w:rPr>
          <w:szCs w:val="24"/>
        </w:rPr>
      </w:pPr>
    </w:p>
    <w:p w:rsidR="009416D5" w:rsidRDefault="00BE2684">
      <w:pPr>
        <w:pStyle w:val="BodyText2"/>
        <w:rPr>
          <w:u w:val="single"/>
        </w:rPr>
      </w:pPr>
      <w:r w:rsidRPr="00BE2684">
        <w:rPr>
          <w:u w:val="single"/>
        </w:rPr>
        <w:t>Consultation</w:t>
      </w:r>
    </w:p>
    <w:p w:rsidR="009416D5" w:rsidRDefault="009416D5">
      <w:pPr>
        <w:pStyle w:val="BodyText2"/>
      </w:pPr>
    </w:p>
    <w:p w:rsidR="00971FEF" w:rsidRDefault="00FD1768" w:rsidP="00FD1768">
      <w:r>
        <w:t>The AC</w:t>
      </w:r>
      <w:r w:rsidR="00047A06">
        <w:t xml:space="preserve">MA </w:t>
      </w:r>
      <w:r>
        <w:t>has been consulted in relation to the making of this Direction</w:t>
      </w:r>
      <w:r w:rsidR="00EF1DC0">
        <w:t xml:space="preserve">. </w:t>
      </w:r>
    </w:p>
    <w:p w:rsidR="00971FEF" w:rsidRDefault="00971FEF" w:rsidP="00FD1768"/>
    <w:p w:rsidR="00FD1768" w:rsidRPr="005A5D51" w:rsidRDefault="00FD1768" w:rsidP="00971FEF">
      <w:r>
        <w:t xml:space="preserve">The Direction is a legislative instrument for the purposes of the </w:t>
      </w:r>
      <w:r>
        <w:rPr>
          <w:i/>
        </w:rPr>
        <w:t>Legislative Instruments Act 2003</w:t>
      </w:r>
      <w:r w:rsidR="005A5D51">
        <w:rPr>
          <w:i/>
        </w:rPr>
        <w:t xml:space="preserve"> </w:t>
      </w:r>
      <w:r w:rsidR="005A5D51" w:rsidRPr="005A5D51">
        <w:t>(LIA)</w:t>
      </w:r>
      <w:r w:rsidR="005A5D51">
        <w:rPr>
          <w:i/>
        </w:rPr>
        <w:t>.</w:t>
      </w:r>
      <w:r w:rsidR="005A5D51" w:rsidRPr="005A5D51">
        <w:t xml:space="preserve"> However, as a result of item 41 of the table to subsection 44(2) of the LIA, the Determination is not subject to disallowance</w:t>
      </w:r>
      <w:r w:rsidR="001549B1">
        <w:t xml:space="preserve">. </w:t>
      </w:r>
    </w:p>
    <w:p w:rsidR="00FD1768" w:rsidRPr="00FD1768" w:rsidRDefault="00FD1768" w:rsidP="00FD1768">
      <w:pPr>
        <w:ind w:left="5040" w:firstLine="720"/>
        <w:outlineLvl w:val="0"/>
        <w:rPr>
          <w:b/>
        </w:rPr>
      </w:pPr>
      <w:r>
        <w:rPr>
          <w:u w:val="single"/>
        </w:rPr>
        <w:br w:type="column"/>
      </w:r>
      <w:r w:rsidRPr="00FD1768">
        <w:rPr>
          <w:b/>
        </w:rPr>
        <w:lastRenderedPageBreak/>
        <w:t xml:space="preserve">ATTACHMENT </w:t>
      </w:r>
      <w:r w:rsidR="00795A2B">
        <w:rPr>
          <w:b/>
        </w:rPr>
        <w:t>A</w:t>
      </w:r>
    </w:p>
    <w:p w:rsidR="00FD1768" w:rsidRDefault="00FD1768" w:rsidP="00682814">
      <w:pPr>
        <w:outlineLvl w:val="0"/>
        <w:rPr>
          <w:u w:val="single"/>
        </w:rPr>
      </w:pPr>
    </w:p>
    <w:p w:rsidR="00D6541A" w:rsidRDefault="00FD1768" w:rsidP="00FD1768">
      <w:pPr>
        <w:pStyle w:val="ACMABodyText"/>
        <w:rPr>
          <w:b/>
          <w:sz w:val="28"/>
          <w:szCs w:val="28"/>
        </w:rPr>
      </w:pPr>
      <w:r w:rsidRPr="00AA7A2D">
        <w:rPr>
          <w:b/>
          <w:sz w:val="28"/>
          <w:szCs w:val="28"/>
        </w:rPr>
        <w:t>Notes on</w:t>
      </w:r>
      <w:r w:rsidR="00D6541A">
        <w:rPr>
          <w:b/>
          <w:sz w:val="28"/>
          <w:szCs w:val="28"/>
        </w:rPr>
        <w:t xml:space="preserve"> Clauses</w:t>
      </w:r>
    </w:p>
    <w:p w:rsidR="001A2097" w:rsidRDefault="001A2097" w:rsidP="00FD1768">
      <w:pPr>
        <w:rPr>
          <w:b/>
        </w:rPr>
      </w:pPr>
    </w:p>
    <w:p w:rsidR="00FD1768" w:rsidRPr="005C5E78" w:rsidRDefault="001A2097" w:rsidP="00FD1768">
      <w:pPr>
        <w:rPr>
          <w:b/>
        </w:rPr>
      </w:pPr>
      <w:r>
        <w:rPr>
          <w:b/>
        </w:rPr>
        <w:t xml:space="preserve">Clause </w:t>
      </w:r>
      <w:r w:rsidR="00FD1768" w:rsidRPr="005C5E78">
        <w:rPr>
          <w:b/>
        </w:rPr>
        <w:t xml:space="preserve">1 – </w:t>
      </w:r>
      <w:r w:rsidR="00FD1768">
        <w:rPr>
          <w:b/>
        </w:rPr>
        <w:t xml:space="preserve">Name of </w:t>
      </w:r>
      <w:r w:rsidR="00DB1C98">
        <w:rPr>
          <w:b/>
        </w:rPr>
        <w:t>Direction</w:t>
      </w:r>
    </w:p>
    <w:p w:rsidR="00FD1768" w:rsidRPr="005C5E78" w:rsidRDefault="001A2097" w:rsidP="00FD1768">
      <w:pPr>
        <w:spacing w:before="80" w:after="120"/>
      </w:pPr>
      <w:r>
        <w:t xml:space="preserve">Clause </w:t>
      </w:r>
      <w:r w:rsidR="00FD1768">
        <w:t xml:space="preserve">1 provides that the name of the </w:t>
      </w:r>
      <w:r w:rsidR="00A632CC">
        <w:t>D</w:t>
      </w:r>
      <w:r w:rsidR="00FD1768">
        <w:t xml:space="preserve">irection is the </w:t>
      </w:r>
      <w:r w:rsidR="00FD1768" w:rsidRPr="00FD1768">
        <w:rPr>
          <w:i/>
        </w:rPr>
        <w:t>Australian Communications and Media Authority (Annual Carrier Licence Charge) Direction 2011</w:t>
      </w:r>
      <w:r w:rsidR="00FD1768">
        <w:t>.</w:t>
      </w:r>
    </w:p>
    <w:p w:rsidR="00FD1768" w:rsidRDefault="00FD1768" w:rsidP="00FD1768">
      <w:pPr>
        <w:rPr>
          <w:b/>
        </w:rPr>
      </w:pPr>
    </w:p>
    <w:p w:rsidR="00FD1768" w:rsidRPr="005C5E78" w:rsidRDefault="001A2097" w:rsidP="00FD1768">
      <w:pPr>
        <w:rPr>
          <w:b/>
        </w:rPr>
      </w:pPr>
      <w:r>
        <w:rPr>
          <w:b/>
        </w:rPr>
        <w:t xml:space="preserve">Clause </w:t>
      </w:r>
      <w:r w:rsidR="00FD1768">
        <w:rPr>
          <w:b/>
        </w:rPr>
        <w:t>2</w:t>
      </w:r>
      <w:r w:rsidR="00FD1768" w:rsidRPr="005C5E78">
        <w:rPr>
          <w:b/>
        </w:rPr>
        <w:t xml:space="preserve"> – </w:t>
      </w:r>
      <w:r w:rsidR="00FD1768">
        <w:rPr>
          <w:b/>
        </w:rPr>
        <w:t>Commencement</w:t>
      </w:r>
    </w:p>
    <w:p w:rsidR="004874CA" w:rsidRDefault="001A2097" w:rsidP="00FD1768">
      <w:pPr>
        <w:spacing w:before="80" w:after="120"/>
      </w:pPr>
      <w:r>
        <w:t>Clause</w:t>
      </w:r>
      <w:r w:rsidR="00FD1768">
        <w:t xml:space="preserve"> 2 </w:t>
      </w:r>
      <w:r w:rsidR="0038799E">
        <w:t>establishes</w:t>
      </w:r>
      <w:r w:rsidR="00CA3FA1">
        <w:t xml:space="preserve"> </w:t>
      </w:r>
      <w:r w:rsidR="00FD1768">
        <w:t xml:space="preserve">when the Direction will commence. The Direction will commence immediately after the </w:t>
      </w:r>
      <w:r w:rsidR="00FD1768" w:rsidRPr="00FD1768">
        <w:rPr>
          <w:i/>
        </w:rPr>
        <w:t>Telecommunications (Participating Persons) Determination 2011 (No. 1)</w:t>
      </w:r>
      <w:r w:rsidR="00D6541A" w:rsidRPr="00D6541A">
        <w:t xml:space="preserve"> </w:t>
      </w:r>
      <w:r w:rsidR="00D6541A">
        <w:t>(the Participating Persons Determination)</w:t>
      </w:r>
      <w:r w:rsidR="00FD1768">
        <w:t xml:space="preserve"> commences, or the day after th</w:t>
      </w:r>
      <w:r w:rsidR="00FA4669">
        <w:t>e</w:t>
      </w:r>
      <w:r w:rsidR="00FD1768">
        <w:t xml:space="preserve"> Direction is registered on the Federal Register of Legislative Instruments (whichever occurs later in time).</w:t>
      </w:r>
      <w:r w:rsidR="00FA4669">
        <w:t xml:space="preserve"> </w:t>
      </w:r>
    </w:p>
    <w:p w:rsidR="00FD1768" w:rsidRDefault="00CA3FA1" w:rsidP="00CA3FA1">
      <w:pPr>
        <w:spacing w:before="80" w:after="120"/>
        <w:rPr>
          <w:bCs/>
        </w:rPr>
      </w:pPr>
      <w:r>
        <w:t xml:space="preserve">The commencement of the Direction needs to occur after the commencement of the </w:t>
      </w:r>
      <w:r w:rsidR="00DC132E" w:rsidRPr="00DC132E">
        <w:t>Participating Persons Determination</w:t>
      </w:r>
      <w:r w:rsidRPr="00FD1768">
        <w:rPr>
          <w:i/>
        </w:rPr>
        <w:t xml:space="preserve"> </w:t>
      </w:r>
      <w:r>
        <w:t xml:space="preserve">because </w:t>
      </w:r>
      <w:r w:rsidR="00795A2B">
        <w:t xml:space="preserve">clause </w:t>
      </w:r>
      <w:r>
        <w:t xml:space="preserve">4 of the Direction adopts the term, ‘USO non-participating person’ as defined in subsection 4(4) of </w:t>
      </w:r>
      <w:r w:rsidR="00791B15">
        <w:t>th</w:t>
      </w:r>
      <w:r w:rsidR="00D6541A">
        <w:t>e Participating Persons Determination</w:t>
      </w:r>
      <w:r>
        <w:t xml:space="preserve">. </w:t>
      </w:r>
      <w:r w:rsidR="00795A2B">
        <w:t>Clause 4 of the Direction</w:t>
      </w:r>
      <w:r w:rsidR="00503B33">
        <w:t xml:space="preserve"> </w:t>
      </w:r>
      <w:r w:rsidR="00795A2B">
        <w:t>requires the ACMA to impose</w:t>
      </w:r>
      <w:r w:rsidR="0038799E">
        <w:t xml:space="preserve"> a</w:t>
      </w:r>
      <w:r w:rsidR="00503B33">
        <w:t xml:space="preserve"> $0 annual carrier licence charge to a USO non-participating person (</w:t>
      </w:r>
      <w:r w:rsidR="004571C6">
        <w:t xml:space="preserve">as </w:t>
      </w:r>
      <w:r w:rsidR="00503B33">
        <w:t>discussed below)</w:t>
      </w:r>
      <w:r w:rsidR="00795A2B">
        <w:t xml:space="preserve">. </w:t>
      </w:r>
    </w:p>
    <w:p w:rsidR="004874CA" w:rsidRDefault="004874CA" w:rsidP="001A2097">
      <w:pPr>
        <w:autoSpaceDE w:val="0"/>
        <w:autoSpaceDN w:val="0"/>
        <w:adjustRightInd w:val="0"/>
        <w:rPr>
          <w:b/>
          <w:bCs/>
        </w:rPr>
      </w:pPr>
    </w:p>
    <w:p w:rsidR="001A2097" w:rsidRPr="001A2097" w:rsidRDefault="001A2097" w:rsidP="001A2097">
      <w:pPr>
        <w:autoSpaceDE w:val="0"/>
        <w:autoSpaceDN w:val="0"/>
        <w:adjustRightInd w:val="0"/>
        <w:rPr>
          <w:b/>
          <w:bCs/>
        </w:rPr>
      </w:pPr>
      <w:r>
        <w:rPr>
          <w:b/>
          <w:bCs/>
        </w:rPr>
        <w:t xml:space="preserve">Clause </w:t>
      </w:r>
      <w:r w:rsidRPr="001A2097">
        <w:rPr>
          <w:b/>
          <w:bCs/>
        </w:rPr>
        <w:t>3</w:t>
      </w:r>
      <w:r w:rsidR="005945F4">
        <w:rPr>
          <w:b/>
          <w:bCs/>
        </w:rPr>
        <w:t xml:space="preserve"> </w:t>
      </w:r>
      <w:r w:rsidR="00EF1DC0">
        <w:rPr>
          <w:b/>
          <w:bCs/>
        </w:rPr>
        <w:t xml:space="preserve">- </w:t>
      </w:r>
      <w:r w:rsidR="00EF1DC0" w:rsidRPr="001A2097">
        <w:rPr>
          <w:b/>
          <w:bCs/>
        </w:rPr>
        <w:t>Definitions</w:t>
      </w:r>
    </w:p>
    <w:p w:rsidR="001A2097" w:rsidRDefault="001A2097" w:rsidP="001A2097">
      <w:pPr>
        <w:autoSpaceDE w:val="0"/>
        <w:autoSpaceDN w:val="0"/>
        <w:adjustRightInd w:val="0"/>
        <w:rPr>
          <w:b/>
          <w:bCs/>
        </w:rPr>
      </w:pPr>
    </w:p>
    <w:p w:rsidR="008C4644" w:rsidRPr="008C4644" w:rsidRDefault="008C4644" w:rsidP="001A2097">
      <w:pPr>
        <w:autoSpaceDE w:val="0"/>
        <w:autoSpaceDN w:val="0"/>
        <w:adjustRightInd w:val="0"/>
        <w:rPr>
          <w:bCs/>
        </w:rPr>
      </w:pPr>
      <w:r w:rsidRPr="008C4644">
        <w:rPr>
          <w:bCs/>
        </w:rPr>
        <w:t xml:space="preserve">Clause 3 sets out </w:t>
      </w:r>
      <w:r w:rsidR="007350DC">
        <w:rPr>
          <w:bCs/>
        </w:rPr>
        <w:t xml:space="preserve">the </w:t>
      </w:r>
      <w:r w:rsidRPr="008C4644">
        <w:rPr>
          <w:bCs/>
        </w:rPr>
        <w:t xml:space="preserve">key definitions used in </w:t>
      </w:r>
      <w:r w:rsidR="00A619F6" w:rsidRPr="008C4644">
        <w:rPr>
          <w:bCs/>
        </w:rPr>
        <w:t>the</w:t>
      </w:r>
      <w:r w:rsidRPr="008C4644">
        <w:rPr>
          <w:bCs/>
        </w:rPr>
        <w:t xml:space="preserve"> Direction.</w:t>
      </w:r>
    </w:p>
    <w:p w:rsidR="008C4644" w:rsidRPr="008C4644" w:rsidRDefault="008C4644" w:rsidP="001A2097">
      <w:pPr>
        <w:autoSpaceDE w:val="0"/>
        <w:autoSpaceDN w:val="0"/>
        <w:adjustRightInd w:val="0"/>
        <w:rPr>
          <w:bCs/>
        </w:rPr>
      </w:pPr>
    </w:p>
    <w:p w:rsidR="001A2097" w:rsidRPr="008C4644" w:rsidRDefault="008C4644" w:rsidP="001A2097">
      <w:pPr>
        <w:autoSpaceDE w:val="0"/>
        <w:autoSpaceDN w:val="0"/>
        <w:adjustRightInd w:val="0"/>
        <w:rPr>
          <w:bCs/>
        </w:rPr>
      </w:pPr>
      <w:r>
        <w:rPr>
          <w:bCs/>
        </w:rPr>
        <w:t xml:space="preserve">The term </w:t>
      </w:r>
      <w:r w:rsidR="001A2097" w:rsidRPr="008C4644">
        <w:rPr>
          <w:b/>
          <w:bCs/>
          <w:i/>
        </w:rPr>
        <w:t>ACMA</w:t>
      </w:r>
      <w:r w:rsidR="001A2097" w:rsidRPr="008C4644">
        <w:rPr>
          <w:bCs/>
        </w:rPr>
        <w:t xml:space="preserve"> </w:t>
      </w:r>
      <w:r w:rsidR="00EF1DC0">
        <w:rPr>
          <w:bCs/>
        </w:rPr>
        <w:t>means</w:t>
      </w:r>
      <w:r w:rsidR="001A2097" w:rsidRPr="008C4644">
        <w:rPr>
          <w:bCs/>
        </w:rPr>
        <w:t xml:space="preserve"> the Australian Communications and Media Authority.</w:t>
      </w:r>
    </w:p>
    <w:p w:rsidR="008C4644" w:rsidRPr="008C4644" w:rsidRDefault="008C4644" w:rsidP="001A2097">
      <w:pPr>
        <w:autoSpaceDE w:val="0"/>
        <w:autoSpaceDN w:val="0"/>
        <w:adjustRightInd w:val="0"/>
        <w:rPr>
          <w:bCs/>
        </w:rPr>
      </w:pPr>
    </w:p>
    <w:p w:rsidR="001A2097" w:rsidRPr="008C4644" w:rsidRDefault="008C4644" w:rsidP="001A2097">
      <w:pPr>
        <w:autoSpaceDE w:val="0"/>
        <w:autoSpaceDN w:val="0"/>
        <w:adjustRightInd w:val="0"/>
        <w:rPr>
          <w:bCs/>
        </w:rPr>
      </w:pPr>
      <w:r w:rsidRPr="008C4644">
        <w:rPr>
          <w:bCs/>
        </w:rPr>
        <w:t xml:space="preserve">The term </w:t>
      </w:r>
      <w:r w:rsidR="001A2097" w:rsidRPr="008C4644">
        <w:rPr>
          <w:b/>
          <w:bCs/>
          <w:i/>
        </w:rPr>
        <w:t>ACMA Act</w:t>
      </w:r>
      <w:r w:rsidR="001A2097" w:rsidRPr="008C4644">
        <w:rPr>
          <w:bCs/>
        </w:rPr>
        <w:t xml:space="preserve"> means the </w:t>
      </w:r>
      <w:r w:rsidR="001A2097" w:rsidRPr="008C4644">
        <w:rPr>
          <w:bCs/>
          <w:i/>
        </w:rPr>
        <w:t>Australian Communications and Media Authority Act 2005</w:t>
      </w:r>
      <w:r w:rsidR="001A2097" w:rsidRPr="008C4644">
        <w:rPr>
          <w:bCs/>
        </w:rPr>
        <w:t xml:space="preserve">. </w:t>
      </w:r>
    </w:p>
    <w:p w:rsidR="001A2097" w:rsidRPr="008C4644" w:rsidRDefault="001A2097" w:rsidP="001A2097">
      <w:pPr>
        <w:autoSpaceDE w:val="0"/>
        <w:autoSpaceDN w:val="0"/>
        <w:adjustRightInd w:val="0"/>
        <w:rPr>
          <w:bCs/>
        </w:rPr>
      </w:pPr>
    </w:p>
    <w:p w:rsidR="001A2097" w:rsidRPr="008C4644" w:rsidRDefault="008C4644" w:rsidP="001A2097">
      <w:pPr>
        <w:autoSpaceDE w:val="0"/>
        <w:autoSpaceDN w:val="0"/>
        <w:adjustRightInd w:val="0"/>
        <w:rPr>
          <w:bCs/>
        </w:rPr>
      </w:pPr>
      <w:r w:rsidRPr="008C4644">
        <w:rPr>
          <w:bCs/>
        </w:rPr>
        <w:t xml:space="preserve">The term </w:t>
      </w:r>
      <w:r w:rsidR="001A2097" w:rsidRPr="008C4644">
        <w:rPr>
          <w:b/>
          <w:bCs/>
          <w:i/>
        </w:rPr>
        <w:t>annual carrier licence charge</w:t>
      </w:r>
      <w:r w:rsidR="001A2097" w:rsidRPr="008C4644">
        <w:rPr>
          <w:bCs/>
        </w:rPr>
        <w:t xml:space="preserve"> </w:t>
      </w:r>
      <w:r w:rsidRPr="008C4644">
        <w:rPr>
          <w:bCs/>
        </w:rPr>
        <w:t xml:space="preserve">is defined by reference to </w:t>
      </w:r>
      <w:r w:rsidR="001A2097" w:rsidRPr="008C4644">
        <w:rPr>
          <w:bCs/>
        </w:rPr>
        <w:t xml:space="preserve">Part 3 of the Carrier Licence Charges Act. </w:t>
      </w:r>
      <w:r w:rsidR="003A5607">
        <w:rPr>
          <w:bCs/>
        </w:rPr>
        <w:t xml:space="preserve"> Section 11 of the </w:t>
      </w:r>
      <w:r w:rsidR="003A5607" w:rsidRPr="008C4644">
        <w:rPr>
          <w:bCs/>
        </w:rPr>
        <w:t>Carrier Licence Charges Act</w:t>
      </w:r>
      <w:r w:rsidR="00D40B45">
        <w:rPr>
          <w:bCs/>
        </w:rPr>
        <w:t xml:space="preserve"> defines ‘charge’ for Part 3</w:t>
      </w:r>
      <w:r w:rsidR="0088591F">
        <w:rPr>
          <w:bCs/>
        </w:rPr>
        <w:t>, by reference to a charge imposed on a carrier licence for a financial year</w:t>
      </w:r>
      <w:r w:rsidR="00973FE1">
        <w:rPr>
          <w:bCs/>
        </w:rPr>
        <w:t xml:space="preserve">. </w:t>
      </w:r>
      <w:r w:rsidR="005A5D51">
        <w:t>The amount of charge imposed on a carrier licence is the amount ascertained in accordance with a written determination made by the ACMA</w:t>
      </w:r>
      <w:r w:rsidR="00973FE1">
        <w:rPr>
          <w:bCs/>
        </w:rPr>
        <w:t xml:space="preserve"> under section 14 of the </w:t>
      </w:r>
      <w:r w:rsidR="00973FE1" w:rsidRPr="008C4644">
        <w:rPr>
          <w:bCs/>
        </w:rPr>
        <w:t>Carrier Licence Charges Act</w:t>
      </w:r>
      <w:r w:rsidR="00973FE1">
        <w:rPr>
          <w:bCs/>
        </w:rPr>
        <w:t>.</w:t>
      </w:r>
    </w:p>
    <w:p w:rsidR="008C4644" w:rsidRPr="008C4644" w:rsidRDefault="008C4644" w:rsidP="001A2097">
      <w:pPr>
        <w:autoSpaceDE w:val="0"/>
        <w:autoSpaceDN w:val="0"/>
        <w:adjustRightInd w:val="0"/>
        <w:rPr>
          <w:bCs/>
        </w:rPr>
      </w:pPr>
    </w:p>
    <w:p w:rsidR="001A2097" w:rsidRPr="008C4644" w:rsidRDefault="008C4644" w:rsidP="001A2097">
      <w:pPr>
        <w:autoSpaceDE w:val="0"/>
        <w:autoSpaceDN w:val="0"/>
        <w:adjustRightInd w:val="0"/>
        <w:rPr>
          <w:bCs/>
        </w:rPr>
      </w:pPr>
      <w:r w:rsidRPr="008C4644">
        <w:rPr>
          <w:bCs/>
        </w:rPr>
        <w:t xml:space="preserve">The terms </w:t>
      </w:r>
      <w:r w:rsidRPr="005E73B5">
        <w:rPr>
          <w:b/>
          <w:bCs/>
          <w:i/>
        </w:rPr>
        <w:t>carrier</w:t>
      </w:r>
      <w:r w:rsidRPr="008C4644">
        <w:rPr>
          <w:bCs/>
        </w:rPr>
        <w:t xml:space="preserve"> and </w:t>
      </w:r>
      <w:r w:rsidRPr="005E73B5">
        <w:rPr>
          <w:b/>
          <w:bCs/>
          <w:i/>
        </w:rPr>
        <w:t>carrier licence</w:t>
      </w:r>
      <w:r w:rsidRPr="008C4644">
        <w:rPr>
          <w:bCs/>
        </w:rPr>
        <w:t xml:space="preserve"> are given the same meaning </w:t>
      </w:r>
      <w:r w:rsidR="00D33B27">
        <w:rPr>
          <w:bCs/>
        </w:rPr>
        <w:t>as</w:t>
      </w:r>
      <w:r w:rsidRPr="008C4644">
        <w:rPr>
          <w:bCs/>
        </w:rPr>
        <w:t xml:space="preserve"> </w:t>
      </w:r>
      <w:r w:rsidR="001A2097" w:rsidRPr="008C4644">
        <w:rPr>
          <w:bCs/>
        </w:rPr>
        <w:t xml:space="preserve">in section 7 of the </w:t>
      </w:r>
      <w:r w:rsidR="001A2097" w:rsidRPr="008C4644">
        <w:rPr>
          <w:bCs/>
          <w:i/>
        </w:rPr>
        <w:t>Telecommunications Act 1997</w:t>
      </w:r>
      <w:r w:rsidR="001A2097" w:rsidRPr="008C4644">
        <w:rPr>
          <w:bCs/>
        </w:rPr>
        <w:t>.</w:t>
      </w:r>
    </w:p>
    <w:p w:rsidR="001A2097" w:rsidRPr="008C4644" w:rsidRDefault="001A2097" w:rsidP="001A2097">
      <w:pPr>
        <w:autoSpaceDE w:val="0"/>
        <w:autoSpaceDN w:val="0"/>
        <w:adjustRightInd w:val="0"/>
        <w:rPr>
          <w:bCs/>
        </w:rPr>
      </w:pPr>
    </w:p>
    <w:p w:rsidR="001A2097" w:rsidRPr="008C4644" w:rsidRDefault="008C4644" w:rsidP="001A2097">
      <w:pPr>
        <w:autoSpaceDE w:val="0"/>
        <w:autoSpaceDN w:val="0"/>
        <w:adjustRightInd w:val="0"/>
        <w:rPr>
          <w:bCs/>
        </w:rPr>
      </w:pPr>
      <w:r w:rsidRPr="008C4644">
        <w:rPr>
          <w:bCs/>
        </w:rPr>
        <w:t xml:space="preserve">The term </w:t>
      </w:r>
      <w:r w:rsidR="001A2097" w:rsidRPr="008C4644">
        <w:rPr>
          <w:b/>
          <w:bCs/>
          <w:i/>
        </w:rPr>
        <w:t xml:space="preserve">Carrier Licence Charges Act </w:t>
      </w:r>
      <w:r w:rsidR="00EF1DC0">
        <w:rPr>
          <w:bCs/>
        </w:rPr>
        <w:t>means</w:t>
      </w:r>
      <w:r>
        <w:rPr>
          <w:bCs/>
        </w:rPr>
        <w:t xml:space="preserve"> the </w:t>
      </w:r>
      <w:r w:rsidR="001A2097" w:rsidRPr="008C4644">
        <w:rPr>
          <w:bCs/>
          <w:i/>
        </w:rPr>
        <w:t>Telecommunications (Carrier Licence Charges) Act 1997</w:t>
      </w:r>
      <w:r w:rsidR="001A2097" w:rsidRPr="008C4644">
        <w:rPr>
          <w:bCs/>
        </w:rPr>
        <w:t>.</w:t>
      </w:r>
    </w:p>
    <w:p w:rsidR="001A2097" w:rsidRPr="008C4644" w:rsidRDefault="001A2097" w:rsidP="001A2097">
      <w:pPr>
        <w:autoSpaceDE w:val="0"/>
        <w:autoSpaceDN w:val="0"/>
        <w:adjustRightInd w:val="0"/>
        <w:rPr>
          <w:bCs/>
        </w:rPr>
      </w:pPr>
    </w:p>
    <w:p w:rsidR="001A2097" w:rsidRPr="008C4644" w:rsidRDefault="008C4644" w:rsidP="001A2097">
      <w:pPr>
        <w:autoSpaceDE w:val="0"/>
        <w:autoSpaceDN w:val="0"/>
        <w:adjustRightInd w:val="0"/>
        <w:rPr>
          <w:bCs/>
        </w:rPr>
      </w:pPr>
      <w:r w:rsidRPr="008C4644">
        <w:rPr>
          <w:bCs/>
        </w:rPr>
        <w:t xml:space="preserve">The term </w:t>
      </w:r>
      <w:r w:rsidR="001A2097" w:rsidRPr="008C4644">
        <w:rPr>
          <w:b/>
          <w:bCs/>
          <w:i/>
        </w:rPr>
        <w:t>eligible revenue period</w:t>
      </w:r>
      <w:r w:rsidR="001A2097" w:rsidRPr="008C4644">
        <w:rPr>
          <w:bCs/>
        </w:rPr>
        <w:t xml:space="preserve"> has the same meaning as in section 20C of the </w:t>
      </w:r>
      <w:r w:rsidR="001A2097" w:rsidRPr="008C4644">
        <w:rPr>
          <w:bCs/>
          <w:i/>
        </w:rPr>
        <w:t>Telecommunications (Consumer Protection and Service Standards) Act 1999</w:t>
      </w:r>
      <w:r w:rsidR="001A2097" w:rsidRPr="008C4644">
        <w:rPr>
          <w:bCs/>
        </w:rPr>
        <w:t>.</w:t>
      </w:r>
      <w:r w:rsidR="000C4CBB">
        <w:rPr>
          <w:bCs/>
        </w:rPr>
        <w:t xml:space="preserve"> </w:t>
      </w:r>
      <w:r w:rsidR="003009D9">
        <w:rPr>
          <w:bCs/>
        </w:rPr>
        <w:t>This refers to a financial year and each later financial year.</w:t>
      </w:r>
      <w:r w:rsidR="001A2097" w:rsidRPr="008C4644">
        <w:rPr>
          <w:bCs/>
        </w:rPr>
        <w:t xml:space="preserve"> </w:t>
      </w:r>
    </w:p>
    <w:p w:rsidR="008C4644" w:rsidRPr="008C4644" w:rsidRDefault="008C4644" w:rsidP="001A2097">
      <w:pPr>
        <w:autoSpaceDE w:val="0"/>
        <w:autoSpaceDN w:val="0"/>
        <w:adjustRightInd w:val="0"/>
        <w:rPr>
          <w:bCs/>
        </w:rPr>
      </w:pPr>
    </w:p>
    <w:p w:rsidR="001A2097" w:rsidRPr="008C4644" w:rsidRDefault="008C4644" w:rsidP="001A2097">
      <w:pPr>
        <w:autoSpaceDE w:val="0"/>
        <w:autoSpaceDN w:val="0"/>
        <w:adjustRightInd w:val="0"/>
        <w:rPr>
          <w:bCs/>
        </w:rPr>
      </w:pPr>
      <w:r w:rsidRPr="008C4644">
        <w:rPr>
          <w:bCs/>
        </w:rPr>
        <w:lastRenderedPageBreak/>
        <w:t xml:space="preserve">The </w:t>
      </w:r>
      <w:r w:rsidR="00CA3FA1">
        <w:rPr>
          <w:bCs/>
        </w:rPr>
        <w:t>term</w:t>
      </w:r>
      <w:r w:rsidRPr="008C4644">
        <w:rPr>
          <w:bCs/>
        </w:rPr>
        <w:t xml:space="preserve"> </w:t>
      </w:r>
      <w:r w:rsidR="001A2097" w:rsidRPr="008C4644">
        <w:rPr>
          <w:b/>
          <w:bCs/>
          <w:i/>
        </w:rPr>
        <w:t>relevant financial year</w:t>
      </w:r>
      <w:r w:rsidR="001A2097" w:rsidRPr="008C4644">
        <w:rPr>
          <w:bCs/>
        </w:rPr>
        <w:t xml:space="preserve"> </w:t>
      </w:r>
      <w:r>
        <w:rPr>
          <w:bCs/>
        </w:rPr>
        <w:t xml:space="preserve">refers to </w:t>
      </w:r>
      <w:r w:rsidRPr="008C4644">
        <w:rPr>
          <w:bCs/>
        </w:rPr>
        <w:t xml:space="preserve">the </w:t>
      </w:r>
      <w:r w:rsidR="001A2097" w:rsidRPr="008C4644">
        <w:rPr>
          <w:bCs/>
        </w:rPr>
        <w:t>financial year that begins on 1</w:t>
      </w:r>
      <w:r w:rsidR="003A0389">
        <w:rPr>
          <w:bCs/>
        </w:rPr>
        <w:t> </w:t>
      </w:r>
      <w:r w:rsidR="001A2097" w:rsidRPr="008C4644">
        <w:rPr>
          <w:bCs/>
        </w:rPr>
        <w:t>July</w:t>
      </w:r>
      <w:r w:rsidR="003A0389">
        <w:rPr>
          <w:bCs/>
        </w:rPr>
        <w:t> </w:t>
      </w:r>
      <w:r w:rsidR="001A2097" w:rsidRPr="008C4644">
        <w:rPr>
          <w:bCs/>
        </w:rPr>
        <w:t>2011 and each later financial year.</w:t>
      </w:r>
    </w:p>
    <w:p w:rsidR="001A2097" w:rsidRPr="008C4644" w:rsidRDefault="001A2097" w:rsidP="001A2097">
      <w:pPr>
        <w:autoSpaceDE w:val="0"/>
        <w:autoSpaceDN w:val="0"/>
        <w:adjustRightInd w:val="0"/>
        <w:rPr>
          <w:bCs/>
        </w:rPr>
      </w:pPr>
    </w:p>
    <w:p w:rsidR="001A2097" w:rsidRDefault="008C4644" w:rsidP="001A2097">
      <w:pPr>
        <w:autoSpaceDE w:val="0"/>
        <w:autoSpaceDN w:val="0"/>
        <w:adjustRightInd w:val="0"/>
        <w:rPr>
          <w:bCs/>
          <w:i/>
        </w:rPr>
      </w:pPr>
      <w:r w:rsidRPr="008C4644">
        <w:rPr>
          <w:bCs/>
        </w:rPr>
        <w:t>The term</w:t>
      </w:r>
      <w:r>
        <w:rPr>
          <w:bCs/>
          <w:i/>
        </w:rPr>
        <w:t xml:space="preserve"> </w:t>
      </w:r>
      <w:r w:rsidR="001A2097" w:rsidRPr="008C4644">
        <w:rPr>
          <w:b/>
          <w:bCs/>
          <w:i/>
        </w:rPr>
        <w:t>USO non-participating person</w:t>
      </w:r>
      <w:r w:rsidR="001A2097" w:rsidRPr="008C4644">
        <w:rPr>
          <w:b/>
          <w:bCs/>
        </w:rPr>
        <w:t xml:space="preserve"> </w:t>
      </w:r>
      <w:r w:rsidR="001A2097" w:rsidRPr="008C4644">
        <w:rPr>
          <w:bCs/>
        </w:rPr>
        <w:t xml:space="preserve">has the same meaning </w:t>
      </w:r>
      <w:r w:rsidR="00CA3FA1">
        <w:rPr>
          <w:bCs/>
        </w:rPr>
        <w:t xml:space="preserve">as in </w:t>
      </w:r>
      <w:bookmarkStart w:id="0" w:name="OLE_LINK7"/>
      <w:bookmarkStart w:id="1" w:name="OLE_LINK8"/>
      <w:r w:rsidR="00CA3FA1">
        <w:rPr>
          <w:bCs/>
        </w:rPr>
        <w:t>subsection 4(4) of the</w:t>
      </w:r>
      <w:r w:rsidRPr="008C4644">
        <w:rPr>
          <w:bCs/>
        </w:rPr>
        <w:t xml:space="preserve"> </w:t>
      </w:r>
      <w:r w:rsidR="00D6541A">
        <w:t>Participating Persons Determination</w:t>
      </w:r>
      <w:r w:rsidR="001A2097" w:rsidRPr="008C4644">
        <w:rPr>
          <w:bCs/>
          <w:i/>
        </w:rPr>
        <w:t>.</w:t>
      </w:r>
      <w:r w:rsidR="00E721DD">
        <w:rPr>
          <w:bCs/>
          <w:i/>
        </w:rPr>
        <w:t xml:space="preserve"> </w:t>
      </w:r>
      <w:bookmarkEnd w:id="0"/>
      <w:bookmarkEnd w:id="1"/>
    </w:p>
    <w:p w:rsidR="00CA3FA1" w:rsidRPr="00CA3FA1" w:rsidRDefault="00CA3FA1" w:rsidP="001A2097">
      <w:pPr>
        <w:autoSpaceDE w:val="0"/>
        <w:autoSpaceDN w:val="0"/>
        <w:adjustRightInd w:val="0"/>
        <w:rPr>
          <w:bCs/>
        </w:rPr>
      </w:pPr>
    </w:p>
    <w:p w:rsidR="00CA3FA1" w:rsidRDefault="00CA3FA1" w:rsidP="001A2097">
      <w:pPr>
        <w:autoSpaceDE w:val="0"/>
        <w:autoSpaceDN w:val="0"/>
        <w:adjustRightInd w:val="0"/>
      </w:pPr>
      <w:r>
        <w:t>A USO non-participating person pursuant to</w:t>
      </w:r>
      <w:r w:rsidRPr="00CA3FA1">
        <w:rPr>
          <w:bCs/>
        </w:rPr>
        <w:t xml:space="preserve"> </w:t>
      </w:r>
      <w:r>
        <w:rPr>
          <w:bCs/>
        </w:rPr>
        <w:t>subsection 4(4) of the</w:t>
      </w:r>
      <w:r w:rsidRPr="008C4644">
        <w:rPr>
          <w:bCs/>
        </w:rPr>
        <w:t xml:space="preserve"> </w:t>
      </w:r>
      <w:r w:rsidR="00D6541A">
        <w:t xml:space="preserve">Participating Persons Determination </w:t>
      </w:r>
      <w:r>
        <w:t xml:space="preserve">is a carrier </w:t>
      </w:r>
      <w:r w:rsidR="004571C6">
        <w:t>(or a carriage service provider</w:t>
      </w:r>
      <w:r w:rsidR="004571C6" w:rsidRPr="004571C6">
        <w:t xml:space="preserve">, if a determination under paragraph 20A(1)(b) of the </w:t>
      </w:r>
      <w:r w:rsidR="004571C6">
        <w:rPr>
          <w:i/>
          <w:lang w:val="en-GB"/>
        </w:rPr>
        <w:t>Telecommunications (Consumer Protection and Service Standards) Act 1999</w:t>
      </w:r>
      <w:r w:rsidR="004571C6">
        <w:rPr>
          <w:lang w:val="en-GB"/>
        </w:rPr>
        <w:t xml:space="preserve"> </w:t>
      </w:r>
      <w:r w:rsidR="004571C6" w:rsidRPr="004571C6">
        <w:t>is in force</w:t>
      </w:r>
      <w:r w:rsidR="004571C6">
        <w:t xml:space="preserve">) </w:t>
      </w:r>
      <w:r>
        <w:t>that has revenue below one of three</w:t>
      </w:r>
      <w:r w:rsidR="00795A2B">
        <w:t xml:space="preserve"> </w:t>
      </w:r>
      <w:r>
        <w:t>revenue thresholds</w:t>
      </w:r>
      <w:r w:rsidR="00795A2B">
        <w:t xml:space="preserve"> </w:t>
      </w:r>
      <w:r>
        <w:t>(initial sales revenue, gross telecommunications sales revenue or eligible revenue</w:t>
      </w:r>
      <w:r w:rsidR="00795A2B">
        <w:t xml:space="preserve"> below $25 million</w:t>
      </w:r>
      <w:r>
        <w:t xml:space="preserve">) and provides the ACMA with an eligible statutory declaration (within </w:t>
      </w:r>
      <w:r w:rsidR="006549BB">
        <w:t>a specified period</w:t>
      </w:r>
      <w:r>
        <w:t xml:space="preserve"> of the end of the eligible revenue period) declaring that their revenue is below one of the three thresholds. </w:t>
      </w:r>
    </w:p>
    <w:p w:rsidR="004874CA" w:rsidRDefault="004874CA" w:rsidP="001A2097">
      <w:pPr>
        <w:autoSpaceDE w:val="0"/>
        <w:autoSpaceDN w:val="0"/>
        <w:adjustRightInd w:val="0"/>
        <w:rPr>
          <w:b/>
          <w:bCs/>
        </w:rPr>
      </w:pPr>
    </w:p>
    <w:p w:rsidR="001A2097" w:rsidRPr="001A2097" w:rsidRDefault="001A2097" w:rsidP="001A2097">
      <w:pPr>
        <w:autoSpaceDE w:val="0"/>
        <w:autoSpaceDN w:val="0"/>
        <w:adjustRightInd w:val="0"/>
        <w:rPr>
          <w:b/>
          <w:bCs/>
        </w:rPr>
      </w:pPr>
      <w:r>
        <w:rPr>
          <w:b/>
          <w:bCs/>
        </w:rPr>
        <w:t xml:space="preserve">Clause </w:t>
      </w:r>
      <w:r w:rsidRPr="001A2097">
        <w:rPr>
          <w:b/>
          <w:bCs/>
        </w:rPr>
        <w:t>4</w:t>
      </w:r>
      <w:r>
        <w:rPr>
          <w:b/>
          <w:bCs/>
        </w:rPr>
        <w:t xml:space="preserve"> - </w:t>
      </w:r>
      <w:r w:rsidRPr="001A2097">
        <w:rPr>
          <w:b/>
          <w:bCs/>
        </w:rPr>
        <w:t>Direction</w:t>
      </w:r>
    </w:p>
    <w:p w:rsidR="001A2097" w:rsidRPr="00370E1C" w:rsidRDefault="001A2097" w:rsidP="001A2097">
      <w:pPr>
        <w:autoSpaceDE w:val="0"/>
        <w:autoSpaceDN w:val="0"/>
        <w:adjustRightInd w:val="0"/>
        <w:rPr>
          <w:bCs/>
        </w:rPr>
      </w:pPr>
    </w:p>
    <w:p w:rsidR="00047A06" w:rsidRDefault="00370E1C" w:rsidP="001A2097">
      <w:pPr>
        <w:autoSpaceDE w:val="0"/>
        <w:autoSpaceDN w:val="0"/>
        <w:adjustRightInd w:val="0"/>
        <w:rPr>
          <w:bCs/>
        </w:rPr>
      </w:pPr>
      <w:r w:rsidRPr="00370E1C">
        <w:rPr>
          <w:bCs/>
        </w:rPr>
        <w:t xml:space="preserve">Clause 4 directs the </w:t>
      </w:r>
      <w:r w:rsidR="001A2097" w:rsidRPr="00370E1C">
        <w:rPr>
          <w:bCs/>
        </w:rPr>
        <w:t>ACMA</w:t>
      </w:r>
      <w:r w:rsidRPr="00370E1C">
        <w:rPr>
          <w:bCs/>
        </w:rPr>
        <w:t xml:space="preserve"> </w:t>
      </w:r>
      <w:r w:rsidR="001A2097" w:rsidRPr="00370E1C">
        <w:rPr>
          <w:bCs/>
        </w:rPr>
        <w:t xml:space="preserve">to make such determinations as necessary under subsection 14(1) of </w:t>
      </w:r>
      <w:r w:rsidRPr="00370E1C">
        <w:rPr>
          <w:bCs/>
        </w:rPr>
        <w:t>the Carrier Licence</w:t>
      </w:r>
      <w:r w:rsidR="00086D09">
        <w:rPr>
          <w:bCs/>
        </w:rPr>
        <w:t xml:space="preserve"> </w:t>
      </w:r>
      <w:r w:rsidRPr="00370E1C">
        <w:rPr>
          <w:bCs/>
        </w:rPr>
        <w:t xml:space="preserve">Charges Act. </w:t>
      </w:r>
    </w:p>
    <w:p w:rsidR="00047A06" w:rsidRDefault="00047A06" w:rsidP="001A2097">
      <w:pPr>
        <w:autoSpaceDE w:val="0"/>
        <w:autoSpaceDN w:val="0"/>
        <w:adjustRightInd w:val="0"/>
        <w:rPr>
          <w:bCs/>
        </w:rPr>
      </w:pPr>
    </w:p>
    <w:p w:rsidR="001A2097" w:rsidRDefault="00047A06" w:rsidP="001A2097">
      <w:pPr>
        <w:autoSpaceDE w:val="0"/>
        <w:autoSpaceDN w:val="0"/>
        <w:adjustRightInd w:val="0"/>
        <w:rPr>
          <w:bCs/>
        </w:rPr>
      </w:pPr>
      <w:r>
        <w:rPr>
          <w:bCs/>
        </w:rPr>
        <w:t xml:space="preserve">The </w:t>
      </w:r>
      <w:r w:rsidR="00370E1C" w:rsidRPr="00370E1C">
        <w:rPr>
          <w:bCs/>
        </w:rPr>
        <w:t xml:space="preserve">determinations </w:t>
      </w:r>
      <w:r>
        <w:rPr>
          <w:bCs/>
        </w:rPr>
        <w:t xml:space="preserve">that </w:t>
      </w:r>
      <w:r w:rsidR="007264C5">
        <w:rPr>
          <w:bCs/>
        </w:rPr>
        <w:t xml:space="preserve">the </w:t>
      </w:r>
      <w:r>
        <w:rPr>
          <w:bCs/>
        </w:rPr>
        <w:t xml:space="preserve">ACMA is to make </w:t>
      </w:r>
      <w:r w:rsidR="00370E1C" w:rsidRPr="00370E1C">
        <w:rPr>
          <w:bCs/>
        </w:rPr>
        <w:t xml:space="preserve">are to have the </w:t>
      </w:r>
      <w:r w:rsidR="001A2097" w:rsidRPr="00370E1C">
        <w:rPr>
          <w:bCs/>
        </w:rPr>
        <w:t xml:space="preserve">effect of </w:t>
      </w:r>
      <w:r w:rsidR="00D16F5D">
        <w:rPr>
          <w:bCs/>
        </w:rPr>
        <w:t>removing the</w:t>
      </w:r>
      <w:r w:rsidR="00370E1C" w:rsidRPr="00370E1C">
        <w:rPr>
          <w:bCs/>
        </w:rPr>
        <w:t xml:space="preserve"> </w:t>
      </w:r>
      <w:r w:rsidR="001A2097" w:rsidRPr="00370E1C">
        <w:rPr>
          <w:bCs/>
        </w:rPr>
        <w:t>annual carrier licence charge on each carrier licence:</w:t>
      </w:r>
    </w:p>
    <w:p w:rsidR="001A2097" w:rsidRPr="00370E1C" w:rsidRDefault="001A2097" w:rsidP="00370E1C">
      <w:pPr>
        <w:numPr>
          <w:ilvl w:val="0"/>
          <w:numId w:val="14"/>
        </w:numPr>
        <w:autoSpaceDE w:val="0"/>
        <w:autoSpaceDN w:val="0"/>
        <w:adjustRightInd w:val="0"/>
        <w:rPr>
          <w:bCs/>
        </w:rPr>
      </w:pPr>
      <w:r w:rsidRPr="00370E1C">
        <w:rPr>
          <w:bCs/>
        </w:rPr>
        <w:t>in force at the beginning of a relevant financial year; and</w:t>
      </w:r>
    </w:p>
    <w:p w:rsidR="001A2097" w:rsidRDefault="001A2097" w:rsidP="00370E1C">
      <w:pPr>
        <w:numPr>
          <w:ilvl w:val="0"/>
          <w:numId w:val="14"/>
        </w:numPr>
        <w:autoSpaceDE w:val="0"/>
        <w:autoSpaceDN w:val="0"/>
        <w:adjustRightInd w:val="0"/>
        <w:rPr>
          <w:bCs/>
        </w:rPr>
      </w:pPr>
      <w:r w:rsidRPr="00370E1C">
        <w:rPr>
          <w:bCs/>
        </w:rPr>
        <w:t>held by a carrier that was a USO non-participating person for the eligible revenue period immediately preceding that financial year.</w:t>
      </w:r>
    </w:p>
    <w:p w:rsidR="009416D5" w:rsidRDefault="009416D5">
      <w:pPr>
        <w:autoSpaceDE w:val="0"/>
        <w:autoSpaceDN w:val="0"/>
        <w:adjustRightInd w:val="0"/>
        <w:ind w:left="360"/>
        <w:rPr>
          <w:bCs/>
        </w:rPr>
      </w:pPr>
    </w:p>
    <w:p w:rsidR="001A2097" w:rsidRPr="001A2097" w:rsidRDefault="001A2097" w:rsidP="001A2097">
      <w:pPr>
        <w:autoSpaceDE w:val="0"/>
        <w:autoSpaceDN w:val="0"/>
        <w:adjustRightInd w:val="0"/>
        <w:rPr>
          <w:b/>
          <w:bCs/>
        </w:rPr>
      </w:pPr>
    </w:p>
    <w:sectPr w:rsidR="001A2097" w:rsidRPr="001A2097" w:rsidSect="00795A2B">
      <w:headerReference w:type="default" r:id="rId8"/>
      <w:pgSz w:w="11906" w:h="16838" w:code="9"/>
      <w:pgMar w:top="1276"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BB" w:rsidRDefault="003B10BB">
      <w:r>
        <w:separator/>
      </w:r>
    </w:p>
  </w:endnote>
  <w:endnote w:type="continuationSeparator" w:id="0">
    <w:p w:rsidR="003B10BB" w:rsidRDefault="003B1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BB" w:rsidRDefault="003B10BB">
      <w:r>
        <w:separator/>
      </w:r>
    </w:p>
  </w:footnote>
  <w:footnote w:type="continuationSeparator" w:id="0">
    <w:p w:rsidR="003B10BB" w:rsidRDefault="003B1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C6" w:rsidRDefault="004571C6" w:rsidP="00474E26">
    <w:pPr>
      <w:pStyle w:val="Header"/>
      <w:jc w:val="center"/>
    </w:pPr>
    <w:r>
      <w:rPr>
        <w:rStyle w:val="PageNumber"/>
      </w:rPr>
      <w:t>-</w:t>
    </w:r>
    <w:r w:rsidR="004464BC">
      <w:rPr>
        <w:rStyle w:val="PageNumber"/>
      </w:rPr>
      <w:fldChar w:fldCharType="begin"/>
    </w:r>
    <w:r>
      <w:rPr>
        <w:rStyle w:val="PageNumber"/>
      </w:rPr>
      <w:instrText xml:space="preserve"> PAGE </w:instrText>
    </w:r>
    <w:r w:rsidR="004464BC">
      <w:rPr>
        <w:rStyle w:val="PageNumber"/>
      </w:rPr>
      <w:fldChar w:fldCharType="separate"/>
    </w:r>
    <w:r w:rsidR="0019183B">
      <w:rPr>
        <w:rStyle w:val="PageNumber"/>
        <w:noProof/>
      </w:rPr>
      <w:t>3</w:t>
    </w:r>
    <w:r w:rsidR="004464BC">
      <w:rPr>
        <w:rStyle w:val="PageNumber"/>
      </w:rPr>
      <w:fldChar w:fldCharType="end"/>
    </w:r>
    <w:r>
      <w:rPr>
        <w:rStyle w:val="PageNumber"/>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B9E"/>
    <w:multiLevelType w:val="hybridMultilevel"/>
    <w:tmpl w:val="AEF21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86264A"/>
    <w:multiLevelType w:val="hybridMultilevel"/>
    <w:tmpl w:val="57C4654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E1B4262"/>
    <w:multiLevelType w:val="hybridMultilevel"/>
    <w:tmpl w:val="C2B6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586899"/>
    <w:multiLevelType w:val="hybridMultilevel"/>
    <w:tmpl w:val="243A3052"/>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4">
    <w:nsid w:val="1D6443C2"/>
    <w:multiLevelType w:val="hybridMultilevel"/>
    <w:tmpl w:val="35FEC1DA"/>
    <w:lvl w:ilvl="0" w:tplc="80CCAD3E">
      <w:start w:val="1"/>
      <w:numFmt w:val="bullet"/>
      <w:lvlText w:val="–"/>
      <w:lvlJc w:val="left"/>
      <w:pPr>
        <w:tabs>
          <w:tab w:val="num" w:pos="720"/>
        </w:tabs>
        <w:ind w:left="72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1F4D6B"/>
    <w:multiLevelType w:val="hybridMultilevel"/>
    <w:tmpl w:val="B2E81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E713A90"/>
    <w:multiLevelType w:val="hybridMultilevel"/>
    <w:tmpl w:val="E2987CDA"/>
    <w:lvl w:ilvl="0" w:tplc="5F56C486">
      <w:start w:val="1"/>
      <w:numFmt w:val="lowerLetter"/>
      <w:lvlText w:val="(%1)"/>
      <w:lvlJc w:val="left"/>
      <w:pPr>
        <w:ind w:left="927" w:hanging="3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4AC80F84"/>
    <w:multiLevelType w:val="hybridMultilevel"/>
    <w:tmpl w:val="E77E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6E4812"/>
    <w:multiLevelType w:val="hybridMultilevel"/>
    <w:tmpl w:val="440AAF6A"/>
    <w:lvl w:ilvl="0" w:tplc="D872393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0F5E10"/>
    <w:multiLevelType w:val="hybridMultilevel"/>
    <w:tmpl w:val="9A60E3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1CA53C8"/>
    <w:multiLevelType w:val="hybridMultilevel"/>
    <w:tmpl w:val="A8068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ED5CEA"/>
    <w:multiLevelType w:val="hybridMultilevel"/>
    <w:tmpl w:val="8BDCFF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7AF6CEB"/>
    <w:multiLevelType w:val="hybridMultilevel"/>
    <w:tmpl w:val="8604D0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B8E67F0"/>
    <w:multiLevelType w:val="hybridMultilevel"/>
    <w:tmpl w:val="391C5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304E75"/>
    <w:multiLevelType w:val="hybridMultilevel"/>
    <w:tmpl w:val="62CA416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nsid w:val="7B8B5113"/>
    <w:multiLevelType w:val="hybridMultilevel"/>
    <w:tmpl w:val="F4C49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12"/>
  </w:num>
  <w:num w:numId="5">
    <w:abstractNumId w:val="9"/>
  </w:num>
  <w:num w:numId="6">
    <w:abstractNumId w:val="0"/>
  </w:num>
  <w:num w:numId="7">
    <w:abstractNumId w:val="5"/>
  </w:num>
  <w:num w:numId="8">
    <w:abstractNumId w:val="4"/>
  </w:num>
  <w:num w:numId="9">
    <w:abstractNumId w:val="3"/>
  </w:num>
  <w:num w:numId="10">
    <w:abstractNumId w:val="13"/>
  </w:num>
  <w:num w:numId="11">
    <w:abstractNumId w:val="2"/>
  </w:num>
  <w:num w:numId="12">
    <w:abstractNumId w:val="15"/>
  </w:num>
  <w:num w:numId="13">
    <w:abstractNumId w:val="6"/>
  </w:num>
  <w:num w:numId="14">
    <w:abstractNumId w:val="7"/>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removeDateAndTime/>
  <w:stylePaneFormatFilter w:val="3F01"/>
  <w:trackRevisions/>
  <w:doNotTrackMoves/>
  <w:defaultTabStop w:val="720"/>
  <w:characterSpacingControl w:val="doNotCompress"/>
  <w:hdrShapeDefaults>
    <o:shapedefaults v:ext="edit" spidmax="2048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0717"/>
    <w:rsid w:val="0000362B"/>
    <w:rsid w:val="000037B7"/>
    <w:rsid w:val="00011AE7"/>
    <w:rsid w:val="00017164"/>
    <w:rsid w:val="00021854"/>
    <w:rsid w:val="00022131"/>
    <w:rsid w:val="00022BB1"/>
    <w:rsid w:val="00034842"/>
    <w:rsid w:val="00045902"/>
    <w:rsid w:val="00047A06"/>
    <w:rsid w:val="00047CDA"/>
    <w:rsid w:val="000508DD"/>
    <w:rsid w:val="000533ED"/>
    <w:rsid w:val="00053BFA"/>
    <w:rsid w:val="00057B2F"/>
    <w:rsid w:val="000634C2"/>
    <w:rsid w:val="00071284"/>
    <w:rsid w:val="000713CB"/>
    <w:rsid w:val="00075229"/>
    <w:rsid w:val="00086D09"/>
    <w:rsid w:val="00091391"/>
    <w:rsid w:val="00091B25"/>
    <w:rsid w:val="0009610E"/>
    <w:rsid w:val="000B412E"/>
    <w:rsid w:val="000C082A"/>
    <w:rsid w:val="000C428F"/>
    <w:rsid w:val="000C4C34"/>
    <w:rsid w:val="000C4CBB"/>
    <w:rsid w:val="000C5407"/>
    <w:rsid w:val="000D4AD3"/>
    <w:rsid w:val="000D5BA2"/>
    <w:rsid w:val="000D62E6"/>
    <w:rsid w:val="000D77A2"/>
    <w:rsid w:val="000E586C"/>
    <w:rsid w:val="000F40A4"/>
    <w:rsid w:val="001014FB"/>
    <w:rsid w:val="001074DF"/>
    <w:rsid w:val="0011601B"/>
    <w:rsid w:val="00116D5D"/>
    <w:rsid w:val="00121EF8"/>
    <w:rsid w:val="00126202"/>
    <w:rsid w:val="001329B6"/>
    <w:rsid w:val="001360F2"/>
    <w:rsid w:val="001545AB"/>
    <w:rsid w:val="001549B1"/>
    <w:rsid w:val="00160666"/>
    <w:rsid w:val="00161989"/>
    <w:rsid w:val="0016756B"/>
    <w:rsid w:val="001702BC"/>
    <w:rsid w:val="00170C86"/>
    <w:rsid w:val="00175C28"/>
    <w:rsid w:val="00176A97"/>
    <w:rsid w:val="00181283"/>
    <w:rsid w:val="001866FD"/>
    <w:rsid w:val="0019073F"/>
    <w:rsid w:val="001916BF"/>
    <w:rsid w:val="0019183B"/>
    <w:rsid w:val="00194BA2"/>
    <w:rsid w:val="00194CBD"/>
    <w:rsid w:val="001A2097"/>
    <w:rsid w:val="001A262F"/>
    <w:rsid w:val="001B1776"/>
    <w:rsid w:val="001B3C31"/>
    <w:rsid w:val="001B5D1C"/>
    <w:rsid w:val="001C5235"/>
    <w:rsid w:val="001D0E57"/>
    <w:rsid w:val="001D3CD4"/>
    <w:rsid w:val="001D5929"/>
    <w:rsid w:val="001E48F7"/>
    <w:rsid w:val="001F0031"/>
    <w:rsid w:val="001F2F73"/>
    <w:rsid w:val="001F32F3"/>
    <w:rsid w:val="00200E72"/>
    <w:rsid w:val="00205D20"/>
    <w:rsid w:val="00206956"/>
    <w:rsid w:val="0022151B"/>
    <w:rsid w:val="00221A92"/>
    <w:rsid w:val="00232E38"/>
    <w:rsid w:val="00244994"/>
    <w:rsid w:val="00254105"/>
    <w:rsid w:val="002634ED"/>
    <w:rsid w:val="002659D7"/>
    <w:rsid w:val="002711CE"/>
    <w:rsid w:val="00272638"/>
    <w:rsid w:val="0027777A"/>
    <w:rsid w:val="00281877"/>
    <w:rsid w:val="002841AC"/>
    <w:rsid w:val="002868E6"/>
    <w:rsid w:val="00293FA3"/>
    <w:rsid w:val="002A4348"/>
    <w:rsid w:val="002B395D"/>
    <w:rsid w:val="002C3BE9"/>
    <w:rsid w:val="002D2B4E"/>
    <w:rsid w:val="002D4102"/>
    <w:rsid w:val="002D50EF"/>
    <w:rsid w:val="002E1A6F"/>
    <w:rsid w:val="003009D9"/>
    <w:rsid w:val="00302ECA"/>
    <w:rsid w:val="00303760"/>
    <w:rsid w:val="00303D56"/>
    <w:rsid w:val="00304D5F"/>
    <w:rsid w:val="00306A03"/>
    <w:rsid w:val="003103C1"/>
    <w:rsid w:val="003511BA"/>
    <w:rsid w:val="00351514"/>
    <w:rsid w:val="00355C6D"/>
    <w:rsid w:val="00360593"/>
    <w:rsid w:val="003615DC"/>
    <w:rsid w:val="00361D15"/>
    <w:rsid w:val="00363697"/>
    <w:rsid w:val="003664FE"/>
    <w:rsid w:val="00370E1C"/>
    <w:rsid w:val="00372BB9"/>
    <w:rsid w:val="00373768"/>
    <w:rsid w:val="00386D45"/>
    <w:rsid w:val="0038799E"/>
    <w:rsid w:val="003955F9"/>
    <w:rsid w:val="00396FE6"/>
    <w:rsid w:val="00397020"/>
    <w:rsid w:val="003A0389"/>
    <w:rsid w:val="003A35EF"/>
    <w:rsid w:val="003A5607"/>
    <w:rsid w:val="003A7702"/>
    <w:rsid w:val="003B10BB"/>
    <w:rsid w:val="003B6B0C"/>
    <w:rsid w:val="003B6CDF"/>
    <w:rsid w:val="003B74F1"/>
    <w:rsid w:val="003C3D0E"/>
    <w:rsid w:val="003C53E4"/>
    <w:rsid w:val="003E35D2"/>
    <w:rsid w:val="003F195C"/>
    <w:rsid w:val="003F358F"/>
    <w:rsid w:val="0040482D"/>
    <w:rsid w:val="00411095"/>
    <w:rsid w:val="00413FAE"/>
    <w:rsid w:val="0042582A"/>
    <w:rsid w:val="00427024"/>
    <w:rsid w:val="00440D6F"/>
    <w:rsid w:val="004443AE"/>
    <w:rsid w:val="004447C4"/>
    <w:rsid w:val="004464BC"/>
    <w:rsid w:val="00447ED0"/>
    <w:rsid w:val="00452B2A"/>
    <w:rsid w:val="00453481"/>
    <w:rsid w:val="00455D66"/>
    <w:rsid w:val="004571C6"/>
    <w:rsid w:val="00463D84"/>
    <w:rsid w:val="00473003"/>
    <w:rsid w:val="0047372D"/>
    <w:rsid w:val="00474E26"/>
    <w:rsid w:val="004874CA"/>
    <w:rsid w:val="00495564"/>
    <w:rsid w:val="004979FA"/>
    <w:rsid w:val="004A5287"/>
    <w:rsid w:val="004A7FC7"/>
    <w:rsid w:val="004B28C3"/>
    <w:rsid w:val="004B39B4"/>
    <w:rsid w:val="004C0755"/>
    <w:rsid w:val="004C0DB7"/>
    <w:rsid w:val="004C2777"/>
    <w:rsid w:val="004C4383"/>
    <w:rsid w:val="004C5355"/>
    <w:rsid w:val="004D05CD"/>
    <w:rsid w:val="004D42B4"/>
    <w:rsid w:val="004E12E6"/>
    <w:rsid w:val="004E1BD1"/>
    <w:rsid w:val="004E20D0"/>
    <w:rsid w:val="004E3B73"/>
    <w:rsid w:val="004F10D4"/>
    <w:rsid w:val="00503B33"/>
    <w:rsid w:val="00506614"/>
    <w:rsid w:val="00506800"/>
    <w:rsid w:val="00510616"/>
    <w:rsid w:val="00513FB1"/>
    <w:rsid w:val="00517DAC"/>
    <w:rsid w:val="005200CD"/>
    <w:rsid w:val="00545686"/>
    <w:rsid w:val="00545AE7"/>
    <w:rsid w:val="00557D0B"/>
    <w:rsid w:val="00564ABF"/>
    <w:rsid w:val="005715EA"/>
    <w:rsid w:val="00572C89"/>
    <w:rsid w:val="00573953"/>
    <w:rsid w:val="005757FF"/>
    <w:rsid w:val="00583744"/>
    <w:rsid w:val="00592E5A"/>
    <w:rsid w:val="005945F4"/>
    <w:rsid w:val="005A5D51"/>
    <w:rsid w:val="005A7309"/>
    <w:rsid w:val="005B7844"/>
    <w:rsid w:val="005C7730"/>
    <w:rsid w:val="005C7F5C"/>
    <w:rsid w:val="005E04EE"/>
    <w:rsid w:val="005E132A"/>
    <w:rsid w:val="005E3F45"/>
    <w:rsid w:val="005E5B14"/>
    <w:rsid w:val="005E6C28"/>
    <w:rsid w:val="005E73B5"/>
    <w:rsid w:val="005F4745"/>
    <w:rsid w:val="005F7FE4"/>
    <w:rsid w:val="00600A45"/>
    <w:rsid w:val="006049B0"/>
    <w:rsid w:val="00612CD2"/>
    <w:rsid w:val="00613E16"/>
    <w:rsid w:val="00621E6F"/>
    <w:rsid w:val="00623F24"/>
    <w:rsid w:val="006502D1"/>
    <w:rsid w:val="00650456"/>
    <w:rsid w:val="006549BB"/>
    <w:rsid w:val="00656FF9"/>
    <w:rsid w:val="006600AD"/>
    <w:rsid w:val="0066249A"/>
    <w:rsid w:val="00662DF6"/>
    <w:rsid w:val="00664018"/>
    <w:rsid w:val="00670AB6"/>
    <w:rsid w:val="00677A07"/>
    <w:rsid w:val="00682814"/>
    <w:rsid w:val="00683098"/>
    <w:rsid w:val="006965FC"/>
    <w:rsid w:val="00697B5B"/>
    <w:rsid w:val="006A407E"/>
    <w:rsid w:val="006C10CE"/>
    <w:rsid w:val="006C4280"/>
    <w:rsid w:val="006C68D2"/>
    <w:rsid w:val="006D03D4"/>
    <w:rsid w:val="006D1865"/>
    <w:rsid w:val="006D4822"/>
    <w:rsid w:val="006E4A04"/>
    <w:rsid w:val="006E6567"/>
    <w:rsid w:val="00702174"/>
    <w:rsid w:val="00702560"/>
    <w:rsid w:val="00713D1F"/>
    <w:rsid w:val="00720717"/>
    <w:rsid w:val="007264C5"/>
    <w:rsid w:val="00730225"/>
    <w:rsid w:val="00731062"/>
    <w:rsid w:val="007344C8"/>
    <w:rsid w:val="007350DC"/>
    <w:rsid w:val="0073567F"/>
    <w:rsid w:val="0074011B"/>
    <w:rsid w:val="007537C1"/>
    <w:rsid w:val="00753A6E"/>
    <w:rsid w:val="00754E0B"/>
    <w:rsid w:val="00775640"/>
    <w:rsid w:val="00776274"/>
    <w:rsid w:val="0078240F"/>
    <w:rsid w:val="007866CD"/>
    <w:rsid w:val="00791B15"/>
    <w:rsid w:val="00795A2B"/>
    <w:rsid w:val="007A0CE5"/>
    <w:rsid w:val="007A133B"/>
    <w:rsid w:val="007A6C96"/>
    <w:rsid w:val="007B47F4"/>
    <w:rsid w:val="007C0450"/>
    <w:rsid w:val="007C1289"/>
    <w:rsid w:val="007C30D0"/>
    <w:rsid w:val="007C4294"/>
    <w:rsid w:val="007D69BD"/>
    <w:rsid w:val="007E0A27"/>
    <w:rsid w:val="007F1593"/>
    <w:rsid w:val="007F6E44"/>
    <w:rsid w:val="008242B5"/>
    <w:rsid w:val="008309C8"/>
    <w:rsid w:val="00834035"/>
    <w:rsid w:val="00842812"/>
    <w:rsid w:val="00843D6F"/>
    <w:rsid w:val="00845070"/>
    <w:rsid w:val="00850E9A"/>
    <w:rsid w:val="00855B31"/>
    <w:rsid w:val="008777CE"/>
    <w:rsid w:val="00880E4F"/>
    <w:rsid w:val="0088591F"/>
    <w:rsid w:val="008917B0"/>
    <w:rsid w:val="008A2EED"/>
    <w:rsid w:val="008A33A7"/>
    <w:rsid w:val="008A59C7"/>
    <w:rsid w:val="008A6419"/>
    <w:rsid w:val="008B2572"/>
    <w:rsid w:val="008C309F"/>
    <w:rsid w:val="008C371E"/>
    <w:rsid w:val="008C4644"/>
    <w:rsid w:val="008C5B85"/>
    <w:rsid w:val="008C633E"/>
    <w:rsid w:val="008D080C"/>
    <w:rsid w:val="008D4A6E"/>
    <w:rsid w:val="008E35A5"/>
    <w:rsid w:val="008E557A"/>
    <w:rsid w:val="008E7D2E"/>
    <w:rsid w:val="00900AF1"/>
    <w:rsid w:val="00926393"/>
    <w:rsid w:val="009340B8"/>
    <w:rsid w:val="009416D5"/>
    <w:rsid w:val="00943054"/>
    <w:rsid w:val="0094583A"/>
    <w:rsid w:val="00945914"/>
    <w:rsid w:val="009533D2"/>
    <w:rsid w:val="009617E6"/>
    <w:rsid w:val="00966B4B"/>
    <w:rsid w:val="00971FEF"/>
    <w:rsid w:val="00973ACB"/>
    <w:rsid w:val="00973BBB"/>
    <w:rsid w:val="00973FE1"/>
    <w:rsid w:val="00987C62"/>
    <w:rsid w:val="009938B0"/>
    <w:rsid w:val="009977F9"/>
    <w:rsid w:val="009A211C"/>
    <w:rsid w:val="009A59EB"/>
    <w:rsid w:val="009A6056"/>
    <w:rsid w:val="009B1216"/>
    <w:rsid w:val="009B731A"/>
    <w:rsid w:val="009C2C23"/>
    <w:rsid w:val="009E0D62"/>
    <w:rsid w:val="009E1AC9"/>
    <w:rsid w:val="009E4E08"/>
    <w:rsid w:val="009E5481"/>
    <w:rsid w:val="009E7BA2"/>
    <w:rsid w:val="009F19CF"/>
    <w:rsid w:val="009F3D7D"/>
    <w:rsid w:val="00A10C37"/>
    <w:rsid w:val="00A13FA7"/>
    <w:rsid w:val="00A15C24"/>
    <w:rsid w:val="00A2061E"/>
    <w:rsid w:val="00A2589B"/>
    <w:rsid w:val="00A350AA"/>
    <w:rsid w:val="00A352D3"/>
    <w:rsid w:val="00A440F2"/>
    <w:rsid w:val="00A4443C"/>
    <w:rsid w:val="00A4538A"/>
    <w:rsid w:val="00A4657E"/>
    <w:rsid w:val="00A53FF6"/>
    <w:rsid w:val="00A602CE"/>
    <w:rsid w:val="00A619F6"/>
    <w:rsid w:val="00A632CC"/>
    <w:rsid w:val="00A66247"/>
    <w:rsid w:val="00A76045"/>
    <w:rsid w:val="00A80AE8"/>
    <w:rsid w:val="00A844A4"/>
    <w:rsid w:val="00A939D7"/>
    <w:rsid w:val="00AA05B0"/>
    <w:rsid w:val="00AA728B"/>
    <w:rsid w:val="00AA7A23"/>
    <w:rsid w:val="00AB5E32"/>
    <w:rsid w:val="00AB6DA1"/>
    <w:rsid w:val="00AC0688"/>
    <w:rsid w:val="00AC2503"/>
    <w:rsid w:val="00AC6912"/>
    <w:rsid w:val="00AC7DFD"/>
    <w:rsid w:val="00AD2AB2"/>
    <w:rsid w:val="00AD7297"/>
    <w:rsid w:val="00AE1C2B"/>
    <w:rsid w:val="00AE4C42"/>
    <w:rsid w:val="00AE7467"/>
    <w:rsid w:val="00B16017"/>
    <w:rsid w:val="00B22EB5"/>
    <w:rsid w:val="00B3160E"/>
    <w:rsid w:val="00B326D9"/>
    <w:rsid w:val="00B349BC"/>
    <w:rsid w:val="00B360CD"/>
    <w:rsid w:val="00B37ED3"/>
    <w:rsid w:val="00B52D61"/>
    <w:rsid w:val="00B5470E"/>
    <w:rsid w:val="00B5674E"/>
    <w:rsid w:val="00B56C4C"/>
    <w:rsid w:val="00B57F75"/>
    <w:rsid w:val="00B678E2"/>
    <w:rsid w:val="00B75B0E"/>
    <w:rsid w:val="00B82175"/>
    <w:rsid w:val="00B86B46"/>
    <w:rsid w:val="00B86CDD"/>
    <w:rsid w:val="00B93B28"/>
    <w:rsid w:val="00B94D96"/>
    <w:rsid w:val="00B95B27"/>
    <w:rsid w:val="00BA673C"/>
    <w:rsid w:val="00BA7736"/>
    <w:rsid w:val="00BB6661"/>
    <w:rsid w:val="00BC1139"/>
    <w:rsid w:val="00BC1521"/>
    <w:rsid w:val="00BC1E68"/>
    <w:rsid w:val="00BC771C"/>
    <w:rsid w:val="00BD02FB"/>
    <w:rsid w:val="00BD228E"/>
    <w:rsid w:val="00BD24FA"/>
    <w:rsid w:val="00BE2684"/>
    <w:rsid w:val="00BE2883"/>
    <w:rsid w:val="00BE5AF1"/>
    <w:rsid w:val="00BF3F1F"/>
    <w:rsid w:val="00BF5CF3"/>
    <w:rsid w:val="00C1361C"/>
    <w:rsid w:val="00C177ED"/>
    <w:rsid w:val="00C20D6F"/>
    <w:rsid w:val="00C50E2A"/>
    <w:rsid w:val="00C54677"/>
    <w:rsid w:val="00C61255"/>
    <w:rsid w:val="00C76C42"/>
    <w:rsid w:val="00C8593F"/>
    <w:rsid w:val="00C912D5"/>
    <w:rsid w:val="00C97DCD"/>
    <w:rsid w:val="00CA19D4"/>
    <w:rsid w:val="00CA3FA1"/>
    <w:rsid w:val="00CA538E"/>
    <w:rsid w:val="00CA7CFC"/>
    <w:rsid w:val="00CC3890"/>
    <w:rsid w:val="00D038A2"/>
    <w:rsid w:val="00D100C3"/>
    <w:rsid w:val="00D11358"/>
    <w:rsid w:val="00D11AA5"/>
    <w:rsid w:val="00D16F5D"/>
    <w:rsid w:val="00D3353E"/>
    <w:rsid w:val="00D33B27"/>
    <w:rsid w:val="00D409C5"/>
    <w:rsid w:val="00D40B45"/>
    <w:rsid w:val="00D41983"/>
    <w:rsid w:val="00D51172"/>
    <w:rsid w:val="00D54CE9"/>
    <w:rsid w:val="00D564C5"/>
    <w:rsid w:val="00D6541A"/>
    <w:rsid w:val="00D747D9"/>
    <w:rsid w:val="00D82C20"/>
    <w:rsid w:val="00D90A39"/>
    <w:rsid w:val="00D9275B"/>
    <w:rsid w:val="00D96294"/>
    <w:rsid w:val="00DA0421"/>
    <w:rsid w:val="00DB1C98"/>
    <w:rsid w:val="00DB58A9"/>
    <w:rsid w:val="00DC132E"/>
    <w:rsid w:val="00DC5A97"/>
    <w:rsid w:val="00DC675D"/>
    <w:rsid w:val="00DD6D7D"/>
    <w:rsid w:val="00DF7306"/>
    <w:rsid w:val="00E0367B"/>
    <w:rsid w:val="00E06C94"/>
    <w:rsid w:val="00E120D8"/>
    <w:rsid w:val="00E148DD"/>
    <w:rsid w:val="00E16CD0"/>
    <w:rsid w:val="00E24BC0"/>
    <w:rsid w:val="00E25BFF"/>
    <w:rsid w:val="00E35423"/>
    <w:rsid w:val="00E370D6"/>
    <w:rsid w:val="00E45606"/>
    <w:rsid w:val="00E474D0"/>
    <w:rsid w:val="00E5008E"/>
    <w:rsid w:val="00E50545"/>
    <w:rsid w:val="00E506FD"/>
    <w:rsid w:val="00E50B89"/>
    <w:rsid w:val="00E549CE"/>
    <w:rsid w:val="00E55AF2"/>
    <w:rsid w:val="00E60717"/>
    <w:rsid w:val="00E632B7"/>
    <w:rsid w:val="00E661E3"/>
    <w:rsid w:val="00E717A6"/>
    <w:rsid w:val="00E721DD"/>
    <w:rsid w:val="00E7604A"/>
    <w:rsid w:val="00E76DD0"/>
    <w:rsid w:val="00E8274C"/>
    <w:rsid w:val="00E8384A"/>
    <w:rsid w:val="00E85625"/>
    <w:rsid w:val="00E90DD9"/>
    <w:rsid w:val="00E93345"/>
    <w:rsid w:val="00EA0629"/>
    <w:rsid w:val="00EA7845"/>
    <w:rsid w:val="00EA7F31"/>
    <w:rsid w:val="00EB253F"/>
    <w:rsid w:val="00EC45FD"/>
    <w:rsid w:val="00EC4B77"/>
    <w:rsid w:val="00EC724D"/>
    <w:rsid w:val="00ED0DC5"/>
    <w:rsid w:val="00ED1B4B"/>
    <w:rsid w:val="00ED1E36"/>
    <w:rsid w:val="00ED538A"/>
    <w:rsid w:val="00EE1016"/>
    <w:rsid w:val="00EE1FFF"/>
    <w:rsid w:val="00EE2A5C"/>
    <w:rsid w:val="00EE465D"/>
    <w:rsid w:val="00EE5539"/>
    <w:rsid w:val="00EE7552"/>
    <w:rsid w:val="00EF11A3"/>
    <w:rsid w:val="00EF1DC0"/>
    <w:rsid w:val="00EF3200"/>
    <w:rsid w:val="00EF52F3"/>
    <w:rsid w:val="00F01579"/>
    <w:rsid w:val="00F108DB"/>
    <w:rsid w:val="00F11903"/>
    <w:rsid w:val="00F277C1"/>
    <w:rsid w:val="00F30256"/>
    <w:rsid w:val="00F31905"/>
    <w:rsid w:val="00F37B3A"/>
    <w:rsid w:val="00F4036A"/>
    <w:rsid w:val="00F40B19"/>
    <w:rsid w:val="00F41C31"/>
    <w:rsid w:val="00F51E4A"/>
    <w:rsid w:val="00F522C3"/>
    <w:rsid w:val="00F64D4A"/>
    <w:rsid w:val="00F703CE"/>
    <w:rsid w:val="00F716C1"/>
    <w:rsid w:val="00F75108"/>
    <w:rsid w:val="00F80BFE"/>
    <w:rsid w:val="00F94B75"/>
    <w:rsid w:val="00F950FE"/>
    <w:rsid w:val="00F973EE"/>
    <w:rsid w:val="00FA04BB"/>
    <w:rsid w:val="00FA14DA"/>
    <w:rsid w:val="00FA4669"/>
    <w:rsid w:val="00FA4C91"/>
    <w:rsid w:val="00FA593B"/>
    <w:rsid w:val="00FB0347"/>
    <w:rsid w:val="00FB23F0"/>
    <w:rsid w:val="00FB41AD"/>
    <w:rsid w:val="00FB5252"/>
    <w:rsid w:val="00FC0C6B"/>
    <w:rsid w:val="00FD1768"/>
    <w:rsid w:val="00FD27B1"/>
    <w:rsid w:val="00FD6E7A"/>
    <w:rsid w:val="00FE6060"/>
    <w:rsid w:val="00FE654E"/>
    <w:rsid w:val="00FF5B9F"/>
    <w:rsid w:val="00FF6D7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C675D"/>
    <w:rPr>
      <w:sz w:val="16"/>
      <w:szCs w:val="16"/>
    </w:rPr>
  </w:style>
  <w:style w:type="paragraph" w:styleId="CommentText">
    <w:name w:val="annotation text"/>
    <w:basedOn w:val="Normal"/>
    <w:semiHidden/>
    <w:rsid w:val="00DC675D"/>
    <w:rPr>
      <w:sz w:val="20"/>
      <w:szCs w:val="20"/>
    </w:rPr>
  </w:style>
  <w:style w:type="paragraph" w:styleId="CommentSubject">
    <w:name w:val="annotation subject"/>
    <w:basedOn w:val="CommentText"/>
    <w:next w:val="CommentText"/>
    <w:semiHidden/>
    <w:rsid w:val="00DC675D"/>
    <w:rPr>
      <w:b/>
      <w:bCs/>
    </w:rPr>
  </w:style>
  <w:style w:type="paragraph" w:styleId="BalloonText">
    <w:name w:val="Balloon Text"/>
    <w:basedOn w:val="Normal"/>
    <w:semiHidden/>
    <w:rsid w:val="00DC675D"/>
    <w:rPr>
      <w:rFonts w:ascii="Tahoma" w:hAnsi="Tahoma" w:cs="Tahoma"/>
      <w:sz w:val="16"/>
      <w:szCs w:val="16"/>
    </w:rPr>
  </w:style>
  <w:style w:type="paragraph" w:styleId="DocumentMap">
    <w:name w:val="Document Map"/>
    <w:basedOn w:val="Normal"/>
    <w:semiHidden/>
    <w:rsid w:val="00682814"/>
    <w:pPr>
      <w:shd w:val="clear" w:color="auto" w:fill="000080"/>
    </w:pPr>
    <w:rPr>
      <w:rFonts w:ascii="Tahoma" w:hAnsi="Tahoma" w:cs="Tahoma"/>
      <w:sz w:val="20"/>
      <w:szCs w:val="20"/>
    </w:rPr>
  </w:style>
  <w:style w:type="character" w:styleId="Hyperlink">
    <w:name w:val="Hyperlink"/>
    <w:basedOn w:val="DefaultParagraphFont"/>
    <w:rsid w:val="005E5B14"/>
    <w:rPr>
      <w:color w:val="0000FF"/>
      <w:u w:val="single"/>
    </w:rPr>
  </w:style>
  <w:style w:type="paragraph" w:styleId="Header">
    <w:name w:val="header"/>
    <w:basedOn w:val="Normal"/>
    <w:rsid w:val="00D9275B"/>
    <w:pPr>
      <w:tabs>
        <w:tab w:val="center" w:pos="4153"/>
        <w:tab w:val="right" w:pos="8306"/>
      </w:tabs>
    </w:pPr>
  </w:style>
  <w:style w:type="paragraph" w:styleId="Footer">
    <w:name w:val="footer"/>
    <w:basedOn w:val="Normal"/>
    <w:link w:val="FooterChar"/>
    <w:uiPriority w:val="99"/>
    <w:rsid w:val="00D9275B"/>
    <w:pPr>
      <w:tabs>
        <w:tab w:val="center" w:pos="4153"/>
        <w:tab w:val="right" w:pos="8306"/>
      </w:tabs>
    </w:pPr>
  </w:style>
  <w:style w:type="character" w:styleId="PageNumber">
    <w:name w:val="page number"/>
    <w:basedOn w:val="DefaultParagraphFont"/>
    <w:rsid w:val="00474E26"/>
  </w:style>
  <w:style w:type="paragraph" w:styleId="BodyText2">
    <w:name w:val="Body Text 2"/>
    <w:basedOn w:val="Normal"/>
    <w:link w:val="BodyText2Char"/>
    <w:rsid w:val="00506614"/>
    <w:rPr>
      <w:snapToGrid w:val="0"/>
      <w:szCs w:val="20"/>
      <w:lang w:eastAsia="en-US"/>
    </w:rPr>
  </w:style>
  <w:style w:type="character" w:customStyle="1" w:styleId="BodyText2Char">
    <w:name w:val="Body Text 2 Char"/>
    <w:basedOn w:val="DefaultParagraphFont"/>
    <w:link w:val="BodyText2"/>
    <w:rsid w:val="00506614"/>
    <w:rPr>
      <w:snapToGrid w:val="0"/>
      <w:sz w:val="24"/>
      <w:lang w:eastAsia="en-US"/>
    </w:rPr>
  </w:style>
  <w:style w:type="paragraph" w:customStyle="1" w:styleId="ACMABodyText">
    <w:name w:val="ACMA Body Text"/>
    <w:rsid w:val="00FD1768"/>
    <w:pPr>
      <w:suppressAutoHyphens/>
      <w:spacing w:before="80" w:after="120" w:line="280" w:lineRule="atLeast"/>
    </w:pPr>
    <w:rPr>
      <w:snapToGrid w:val="0"/>
      <w:sz w:val="24"/>
      <w:lang w:eastAsia="en-US"/>
    </w:rPr>
  </w:style>
  <w:style w:type="character" w:customStyle="1" w:styleId="FooterChar">
    <w:name w:val="Footer Char"/>
    <w:basedOn w:val="DefaultParagraphFont"/>
    <w:link w:val="Footer"/>
    <w:uiPriority w:val="99"/>
    <w:rsid w:val="007F6E44"/>
    <w:rPr>
      <w:sz w:val="24"/>
      <w:szCs w:val="24"/>
    </w:rPr>
  </w:style>
  <w:style w:type="paragraph" w:styleId="Revision">
    <w:name w:val="Revision"/>
    <w:hidden/>
    <w:uiPriority w:val="99"/>
    <w:semiHidden/>
    <w:rsid w:val="005E3F45"/>
    <w:rPr>
      <w:sz w:val="24"/>
      <w:szCs w:val="24"/>
    </w:rPr>
  </w:style>
</w:styles>
</file>

<file path=word/webSettings.xml><?xml version="1.0" encoding="utf-8"?>
<w:webSettings xmlns:r="http://schemas.openxmlformats.org/officeDocument/2006/relationships" xmlns:w="http://schemas.openxmlformats.org/wordprocessingml/2006/main">
  <w:divs>
    <w:div w:id="44182436">
      <w:bodyDiv w:val="1"/>
      <w:marLeft w:val="0"/>
      <w:marRight w:val="0"/>
      <w:marTop w:val="0"/>
      <w:marBottom w:val="0"/>
      <w:divBdr>
        <w:top w:val="none" w:sz="0" w:space="0" w:color="auto"/>
        <w:left w:val="none" w:sz="0" w:space="0" w:color="auto"/>
        <w:bottom w:val="none" w:sz="0" w:space="0" w:color="auto"/>
        <w:right w:val="none" w:sz="0" w:space="0" w:color="auto"/>
      </w:divBdr>
    </w:div>
    <w:div w:id="1168063164">
      <w:bodyDiv w:val="1"/>
      <w:marLeft w:val="0"/>
      <w:marRight w:val="0"/>
      <w:marTop w:val="0"/>
      <w:marBottom w:val="0"/>
      <w:divBdr>
        <w:top w:val="none" w:sz="0" w:space="0" w:color="auto"/>
        <w:left w:val="none" w:sz="0" w:space="0" w:color="auto"/>
        <w:bottom w:val="none" w:sz="0" w:space="0" w:color="auto"/>
        <w:right w:val="none" w:sz="0" w:space="0" w:color="auto"/>
      </w:divBdr>
    </w:div>
    <w:div w:id="1657369802">
      <w:bodyDiv w:val="1"/>
      <w:marLeft w:val="0"/>
      <w:marRight w:val="0"/>
      <w:marTop w:val="0"/>
      <w:marBottom w:val="0"/>
      <w:divBdr>
        <w:top w:val="none" w:sz="0" w:space="0" w:color="auto"/>
        <w:left w:val="none" w:sz="0" w:space="0" w:color="auto"/>
        <w:bottom w:val="none" w:sz="0" w:space="0" w:color="auto"/>
        <w:right w:val="none" w:sz="0" w:space="0" w:color="auto"/>
      </w:divBdr>
      <w:divsChild>
        <w:div w:id="179392600">
          <w:marLeft w:val="0"/>
          <w:marRight w:val="0"/>
          <w:marTop w:val="0"/>
          <w:marBottom w:val="0"/>
          <w:divBdr>
            <w:top w:val="none" w:sz="0" w:space="0" w:color="auto"/>
            <w:left w:val="none" w:sz="0" w:space="0" w:color="auto"/>
            <w:bottom w:val="none" w:sz="0" w:space="0" w:color="auto"/>
            <w:right w:val="none" w:sz="0" w:space="0" w:color="auto"/>
          </w:divBdr>
          <w:divsChild>
            <w:div w:id="434252800">
              <w:marLeft w:val="0"/>
              <w:marRight w:val="0"/>
              <w:marTop w:val="0"/>
              <w:marBottom w:val="0"/>
              <w:divBdr>
                <w:top w:val="none" w:sz="0" w:space="0" w:color="auto"/>
                <w:left w:val="none" w:sz="0" w:space="0" w:color="auto"/>
                <w:bottom w:val="none" w:sz="0" w:space="0" w:color="auto"/>
                <w:right w:val="none" w:sz="0" w:space="0" w:color="auto"/>
              </w:divBdr>
              <w:divsChild>
                <w:div w:id="488712899">
                  <w:marLeft w:val="0"/>
                  <w:marRight w:val="0"/>
                  <w:marTop w:val="0"/>
                  <w:marBottom w:val="0"/>
                  <w:divBdr>
                    <w:top w:val="none" w:sz="0" w:space="0" w:color="auto"/>
                    <w:left w:val="none" w:sz="0" w:space="0" w:color="auto"/>
                    <w:bottom w:val="none" w:sz="0" w:space="0" w:color="auto"/>
                    <w:right w:val="none" w:sz="0" w:space="0" w:color="auto"/>
                  </w:divBdr>
                  <w:divsChild>
                    <w:div w:id="759447660">
                      <w:marLeft w:val="0"/>
                      <w:marRight w:val="0"/>
                      <w:marTop w:val="0"/>
                      <w:marBottom w:val="0"/>
                      <w:divBdr>
                        <w:top w:val="none" w:sz="0" w:space="0" w:color="auto"/>
                        <w:left w:val="none" w:sz="0" w:space="0" w:color="auto"/>
                        <w:bottom w:val="none" w:sz="0" w:space="0" w:color="auto"/>
                        <w:right w:val="none" w:sz="0" w:space="0" w:color="auto"/>
                      </w:divBdr>
                      <w:divsChild>
                        <w:div w:id="1110667703">
                          <w:marLeft w:val="0"/>
                          <w:marRight w:val="0"/>
                          <w:marTop w:val="0"/>
                          <w:marBottom w:val="0"/>
                          <w:divBdr>
                            <w:top w:val="single" w:sz="6" w:space="0" w:color="828282"/>
                            <w:left w:val="single" w:sz="6" w:space="0" w:color="828282"/>
                            <w:bottom w:val="single" w:sz="6" w:space="0" w:color="828282"/>
                            <w:right w:val="single" w:sz="6" w:space="0" w:color="828282"/>
                          </w:divBdr>
                          <w:divsChild>
                            <w:div w:id="62290841">
                              <w:marLeft w:val="0"/>
                              <w:marRight w:val="0"/>
                              <w:marTop w:val="0"/>
                              <w:marBottom w:val="0"/>
                              <w:divBdr>
                                <w:top w:val="none" w:sz="0" w:space="0" w:color="auto"/>
                                <w:left w:val="none" w:sz="0" w:space="0" w:color="auto"/>
                                <w:bottom w:val="none" w:sz="0" w:space="0" w:color="auto"/>
                                <w:right w:val="none" w:sz="0" w:space="0" w:color="auto"/>
                              </w:divBdr>
                              <w:divsChild>
                                <w:div w:id="1339428451">
                                  <w:marLeft w:val="0"/>
                                  <w:marRight w:val="0"/>
                                  <w:marTop w:val="0"/>
                                  <w:marBottom w:val="0"/>
                                  <w:divBdr>
                                    <w:top w:val="none" w:sz="0" w:space="0" w:color="auto"/>
                                    <w:left w:val="none" w:sz="0" w:space="0" w:color="auto"/>
                                    <w:bottom w:val="none" w:sz="0" w:space="0" w:color="auto"/>
                                    <w:right w:val="none" w:sz="0" w:space="0" w:color="auto"/>
                                  </w:divBdr>
                                  <w:divsChild>
                                    <w:div w:id="1732848615">
                                      <w:marLeft w:val="0"/>
                                      <w:marRight w:val="0"/>
                                      <w:marTop w:val="0"/>
                                      <w:marBottom w:val="0"/>
                                      <w:divBdr>
                                        <w:top w:val="none" w:sz="0" w:space="0" w:color="auto"/>
                                        <w:left w:val="none" w:sz="0" w:space="0" w:color="auto"/>
                                        <w:bottom w:val="none" w:sz="0" w:space="0" w:color="auto"/>
                                        <w:right w:val="none" w:sz="0" w:space="0" w:color="auto"/>
                                      </w:divBdr>
                                      <w:divsChild>
                                        <w:div w:id="647635262">
                                          <w:marLeft w:val="0"/>
                                          <w:marRight w:val="0"/>
                                          <w:marTop w:val="0"/>
                                          <w:marBottom w:val="0"/>
                                          <w:divBdr>
                                            <w:top w:val="none" w:sz="0" w:space="0" w:color="auto"/>
                                            <w:left w:val="none" w:sz="0" w:space="0" w:color="auto"/>
                                            <w:bottom w:val="none" w:sz="0" w:space="0" w:color="auto"/>
                                            <w:right w:val="none" w:sz="0" w:space="0" w:color="auto"/>
                                          </w:divBdr>
                                          <w:divsChild>
                                            <w:div w:id="82655067">
                                              <w:marLeft w:val="0"/>
                                              <w:marRight w:val="0"/>
                                              <w:marTop w:val="0"/>
                                              <w:marBottom w:val="0"/>
                                              <w:divBdr>
                                                <w:top w:val="none" w:sz="0" w:space="0" w:color="auto"/>
                                                <w:left w:val="none" w:sz="0" w:space="0" w:color="auto"/>
                                                <w:bottom w:val="none" w:sz="0" w:space="0" w:color="auto"/>
                                                <w:right w:val="none" w:sz="0" w:space="0" w:color="auto"/>
                                              </w:divBdr>
                                              <w:divsChild>
                                                <w:div w:id="5969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002884">
      <w:bodyDiv w:val="1"/>
      <w:marLeft w:val="0"/>
      <w:marRight w:val="0"/>
      <w:marTop w:val="0"/>
      <w:marBottom w:val="0"/>
      <w:divBdr>
        <w:top w:val="none" w:sz="0" w:space="0" w:color="auto"/>
        <w:left w:val="none" w:sz="0" w:space="0" w:color="auto"/>
        <w:bottom w:val="none" w:sz="0" w:space="0" w:color="auto"/>
        <w:right w:val="none" w:sz="0" w:space="0" w:color="auto"/>
      </w:divBdr>
      <w:divsChild>
        <w:div w:id="85620941">
          <w:marLeft w:val="0"/>
          <w:marRight w:val="0"/>
          <w:marTop w:val="0"/>
          <w:marBottom w:val="0"/>
          <w:divBdr>
            <w:top w:val="none" w:sz="0" w:space="0" w:color="auto"/>
            <w:left w:val="none" w:sz="0" w:space="0" w:color="auto"/>
            <w:bottom w:val="none" w:sz="0" w:space="0" w:color="auto"/>
            <w:right w:val="none" w:sz="0" w:space="0" w:color="auto"/>
          </w:divBdr>
          <w:divsChild>
            <w:div w:id="1083912596">
              <w:marLeft w:val="0"/>
              <w:marRight w:val="0"/>
              <w:marTop w:val="0"/>
              <w:marBottom w:val="0"/>
              <w:divBdr>
                <w:top w:val="none" w:sz="0" w:space="0" w:color="auto"/>
                <w:left w:val="none" w:sz="0" w:space="0" w:color="auto"/>
                <w:bottom w:val="none" w:sz="0" w:space="0" w:color="auto"/>
                <w:right w:val="none" w:sz="0" w:space="0" w:color="auto"/>
              </w:divBdr>
              <w:divsChild>
                <w:div w:id="363406677">
                  <w:marLeft w:val="0"/>
                  <w:marRight w:val="0"/>
                  <w:marTop w:val="0"/>
                  <w:marBottom w:val="0"/>
                  <w:divBdr>
                    <w:top w:val="none" w:sz="0" w:space="0" w:color="auto"/>
                    <w:left w:val="none" w:sz="0" w:space="0" w:color="auto"/>
                    <w:bottom w:val="none" w:sz="0" w:space="0" w:color="auto"/>
                    <w:right w:val="none" w:sz="0" w:space="0" w:color="auto"/>
                  </w:divBdr>
                  <w:divsChild>
                    <w:div w:id="1764766344">
                      <w:marLeft w:val="0"/>
                      <w:marRight w:val="0"/>
                      <w:marTop w:val="0"/>
                      <w:marBottom w:val="0"/>
                      <w:divBdr>
                        <w:top w:val="none" w:sz="0" w:space="0" w:color="auto"/>
                        <w:left w:val="none" w:sz="0" w:space="0" w:color="auto"/>
                        <w:bottom w:val="none" w:sz="0" w:space="0" w:color="auto"/>
                        <w:right w:val="none" w:sz="0" w:space="0" w:color="auto"/>
                      </w:divBdr>
                      <w:divsChild>
                        <w:div w:id="1311592436">
                          <w:marLeft w:val="0"/>
                          <w:marRight w:val="0"/>
                          <w:marTop w:val="0"/>
                          <w:marBottom w:val="0"/>
                          <w:divBdr>
                            <w:top w:val="single" w:sz="6" w:space="0" w:color="828282"/>
                            <w:left w:val="single" w:sz="6" w:space="0" w:color="828282"/>
                            <w:bottom w:val="single" w:sz="6" w:space="0" w:color="828282"/>
                            <w:right w:val="single" w:sz="6" w:space="0" w:color="828282"/>
                          </w:divBdr>
                          <w:divsChild>
                            <w:div w:id="1520658998">
                              <w:marLeft w:val="0"/>
                              <w:marRight w:val="0"/>
                              <w:marTop w:val="0"/>
                              <w:marBottom w:val="0"/>
                              <w:divBdr>
                                <w:top w:val="none" w:sz="0" w:space="0" w:color="auto"/>
                                <w:left w:val="none" w:sz="0" w:space="0" w:color="auto"/>
                                <w:bottom w:val="none" w:sz="0" w:space="0" w:color="auto"/>
                                <w:right w:val="none" w:sz="0" w:space="0" w:color="auto"/>
                              </w:divBdr>
                              <w:divsChild>
                                <w:div w:id="821967672">
                                  <w:marLeft w:val="0"/>
                                  <w:marRight w:val="0"/>
                                  <w:marTop w:val="0"/>
                                  <w:marBottom w:val="0"/>
                                  <w:divBdr>
                                    <w:top w:val="none" w:sz="0" w:space="0" w:color="auto"/>
                                    <w:left w:val="none" w:sz="0" w:space="0" w:color="auto"/>
                                    <w:bottom w:val="none" w:sz="0" w:space="0" w:color="auto"/>
                                    <w:right w:val="none" w:sz="0" w:space="0" w:color="auto"/>
                                  </w:divBdr>
                                  <w:divsChild>
                                    <w:div w:id="666246641">
                                      <w:marLeft w:val="0"/>
                                      <w:marRight w:val="0"/>
                                      <w:marTop w:val="0"/>
                                      <w:marBottom w:val="0"/>
                                      <w:divBdr>
                                        <w:top w:val="none" w:sz="0" w:space="0" w:color="auto"/>
                                        <w:left w:val="none" w:sz="0" w:space="0" w:color="auto"/>
                                        <w:bottom w:val="none" w:sz="0" w:space="0" w:color="auto"/>
                                        <w:right w:val="none" w:sz="0" w:space="0" w:color="auto"/>
                                      </w:divBdr>
                                      <w:divsChild>
                                        <w:div w:id="240064968">
                                          <w:marLeft w:val="0"/>
                                          <w:marRight w:val="0"/>
                                          <w:marTop w:val="0"/>
                                          <w:marBottom w:val="0"/>
                                          <w:divBdr>
                                            <w:top w:val="none" w:sz="0" w:space="0" w:color="auto"/>
                                            <w:left w:val="none" w:sz="0" w:space="0" w:color="auto"/>
                                            <w:bottom w:val="none" w:sz="0" w:space="0" w:color="auto"/>
                                            <w:right w:val="none" w:sz="0" w:space="0" w:color="auto"/>
                                          </w:divBdr>
                                          <w:divsChild>
                                            <w:div w:id="1332683912">
                                              <w:marLeft w:val="0"/>
                                              <w:marRight w:val="0"/>
                                              <w:marTop w:val="0"/>
                                              <w:marBottom w:val="0"/>
                                              <w:divBdr>
                                                <w:top w:val="none" w:sz="0" w:space="0" w:color="auto"/>
                                                <w:left w:val="none" w:sz="0" w:space="0" w:color="auto"/>
                                                <w:bottom w:val="none" w:sz="0" w:space="0" w:color="auto"/>
                                                <w:right w:val="none" w:sz="0" w:space="0" w:color="auto"/>
                                              </w:divBdr>
                                              <w:divsChild>
                                                <w:div w:id="12012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7723D-C040-45E3-AC7F-0F3EA8B6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2010-01-13T02:18:00Z</cp:lastPrinted>
  <dcterms:created xsi:type="dcterms:W3CDTF">2011-07-05T01:14:00Z</dcterms:created>
  <dcterms:modified xsi:type="dcterms:W3CDTF">2011-07-05T01:14:00Z</dcterms:modified>
</cp:coreProperties>
</file>