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6F1" w:rsidRDefault="00BF019A" w:rsidP="00D056F1">
      <w:r>
        <w:rPr>
          <w:noProof/>
          <w:lang w:val="en-AU" w:eastAsia="en-AU" w:bidi="ar-SA"/>
        </w:rPr>
        <w:drawing>
          <wp:inline distT="0" distB="0" distL="0" distR="0">
            <wp:extent cx="3964940" cy="691515"/>
            <wp:effectExtent l="1905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964940" cy="691515"/>
                    </a:xfrm>
                    <a:prstGeom prst="rect">
                      <a:avLst/>
                    </a:prstGeom>
                    <a:noFill/>
                    <a:ln w="9525">
                      <a:noFill/>
                      <a:miter lim="800000"/>
                      <a:headEnd/>
                      <a:tailEnd/>
                    </a:ln>
                  </pic:spPr>
                </pic:pic>
              </a:graphicData>
            </a:graphic>
          </wp:inline>
        </w:drawing>
      </w:r>
    </w:p>
    <w:p w:rsidR="002144F9" w:rsidRPr="003F5318" w:rsidRDefault="002144F9" w:rsidP="002144F9"/>
    <w:p w:rsidR="002144F9" w:rsidRDefault="002144F9" w:rsidP="002144F9">
      <w:pPr>
        <w:rPr>
          <w:b/>
          <w:sz w:val="28"/>
          <w:szCs w:val="28"/>
        </w:rPr>
      </w:pPr>
    </w:p>
    <w:p w:rsidR="00074C78" w:rsidRDefault="00074C78" w:rsidP="002144F9">
      <w:pPr>
        <w:rPr>
          <w:b/>
          <w:sz w:val="28"/>
          <w:szCs w:val="28"/>
        </w:rPr>
      </w:pPr>
    </w:p>
    <w:p w:rsidR="00074C78" w:rsidRPr="00121487" w:rsidRDefault="00074C78" w:rsidP="002144F9"/>
    <w:p w:rsidR="00D056F1" w:rsidRPr="005F400E" w:rsidRDefault="00D056F1" w:rsidP="00DB2973">
      <w:pPr>
        <w:pStyle w:val="FSTitle"/>
      </w:pPr>
      <w:r w:rsidRPr="005F400E">
        <w:t>APPLICATIO</w:t>
      </w:r>
      <w:bookmarkStart w:id="0" w:name="_GoBack"/>
      <w:bookmarkEnd w:id="0"/>
      <w:r w:rsidRPr="005F400E">
        <w:t>N A</w:t>
      </w:r>
      <w:r w:rsidR="00D87D97">
        <w:t>1030</w:t>
      </w:r>
    </w:p>
    <w:p w:rsidR="00D056F1" w:rsidRPr="005F400E" w:rsidRDefault="00D87D97" w:rsidP="00DB2973">
      <w:pPr>
        <w:pStyle w:val="FSTitle"/>
      </w:pPr>
      <w:r>
        <w:t>CALCIUM LIGN</w:t>
      </w:r>
      <w:r w:rsidR="00AA3980">
        <w:t>O</w:t>
      </w:r>
      <w:r>
        <w:t>SULPHONATE (40-65) AS A FOOD ADDITIVE</w:t>
      </w:r>
    </w:p>
    <w:p w:rsidR="002A0194" w:rsidRPr="005F400E" w:rsidRDefault="00074C78" w:rsidP="00DB2973">
      <w:pPr>
        <w:pStyle w:val="FSTitle"/>
      </w:pPr>
      <w:r>
        <w:t>EXPLANATORY STATEMENT</w:t>
      </w:r>
    </w:p>
    <w:p w:rsidR="002A0194" w:rsidRPr="00DC6570" w:rsidRDefault="002A0194" w:rsidP="00D056F1">
      <w:pPr>
        <w:pBdr>
          <w:bottom w:val="single" w:sz="12" w:space="1" w:color="auto"/>
        </w:pBdr>
        <w:rPr>
          <w:rFonts w:ascii="Tahoma" w:hAnsi="Tahoma" w:cs="Tahoma"/>
          <w:b/>
          <w:bCs/>
        </w:rPr>
      </w:pPr>
    </w:p>
    <w:p w:rsidR="00D056F1" w:rsidRDefault="00D056F1" w:rsidP="002A0194"/>
    <w:p w:rsidR="002A0194" w:rsidRPr="00D60568" w:rsidRDefault="002A0194" w:rsidP="002A0194">
      <w:pPr>
        <w:rPr>
          <w:rFonts w:ascii="Tahoma" w:hAnsi="Tahoma" w:cs="Tahoma"/>
          <w:b/>
          <w:bCs/>
          <w:sz w:val="28"/>
          <w:u w:val="single"/>
        </w:rPr>
      </w:pPr>
      <w:bookmarkStart w:id="1" w:name="_Toc11735626"/>
      <w:bookmarkStart w:id="2" w:name="_Toc29883108"/>
      <w:bookmarkStart w:id="3" w:name="_Toc41906795"/>
      <w:bookmarkStart w:id="4" w:name="_Toc41907543"/>
      <w:bookmarkStart w:id="5" w:name="_Toc120090537"/>
      <w:bookmarkStart w:id="6" w:name="_Toc120358570"/>
      <w:bookmarkStart w:id="7" w:name="_Toc120358612"/>
      <w:r w:rsidRPr="00D60568">
        <w:rPr>
          <w:rFonts w:ascii="Tahoma" w:hAnsi="Tahoma" w:cs="Tahoma"/>
          <w:b/>
          <w:bCs/>
          <w:sz w:val="28"/>
          <w:u w:val="single"/>
        </w:rPr>
        <w:t>Executive Summary</w:t>
      </w:r>
      <w:bookmarkEnd w:id="1"/>
      <w:bookmarkEnd w:id="2"/>
      <w:bookmarkEnd w:id="3"/>
      <w:bookmarkEnd w:id="4"/>
      <w:bookmarkEnd w:id="5"/>
      <w:bookmarkEnd w:id="6"/>
      <w:bookmarkEnd w:id="7"/>
    </w:p>
    <w:p w:rsidR="009C77CB" w:rsidRPr="009C77CB" w:rsidRDefault="009C77CB" w:rsidP="005F400E">
      <w:pPr>
        <w:rPr>
          <w:rFonts w:cs="Arial"/>
        </w:rPr>
      </w:pPr>
      <w:bookmarkStart w:id="8" w:name="_Toc120090538"/>
      <w:bookmarkStart w:id="9" w:name="_Toc120358571"/>
      <w:bookmarkStart w:id="10" w:name="_Toc120358613"/>
    </w:p>
    <w:p w:rsidR="005F400E" w:rsidRPr="00DC6570" w:rsidRDefault="005F400E" w:rsidP="005F400E">
      <w:pPr>
        <w:rPr>
          <w:rFonts w:cs="Arial"/>
          <w:b/>
          <w:bCs/>
        </w:rPr>
      </w:pPr>
      <w:r w:rsidRPr="00DC6570">
        <w:rPr>
          <w:rFonts w:cs="Arial"/>
          <w:b/>
          <w:bCs/>
        </w:rPr>
        <w:t>Purpose</w:t>
      </w:r>
      <w:bookmarkEnd w:id="8"/>
      <w:bookmarkEnd w:id="9"/>
      <w:bookmarkEnd w:id="10"/>
    </w:p>
    <w:p w:rsidR="005F400E" w:rsidRDefault="005F400E" w:rsidP="005F400E">
      <w:pPr>
        <w:rPr>
          <w:rFonts w:cs="Arial"/>
        </w:rPr>
      </w:pPr>
    </w:p>
    <w:p w:rsidR="009C77CB" w:rsidRDefault="009C77CB" w:rsidP="009C77CB">
      <w:pPr>
        <w:rPr>
          <w:rFonts w:cs="Arial"/>
        </w:rPr>
      </w:pPr>
      <w:r>
        <w:rPr>
          <w:rFonts w:cs="Arial"/>
        </w:rPr>
        <w:t xml:space="preserve">The purpose of the Application is to seek permission to use calcium lignosulphonate (40-65) </w:t>
      </w:r>
      <w:r w:rsidR="004A462E">
        <w:rPr>
          <w:rFonts w:cs="Arial"/>
        </w:rPr>
        <w:t xml:space="preserve">as a food additive </w:t>
      </w:r>
      <w:r w:rsidR="00A900DB">
        <w:rPr>
          <w:rFonts w:cs="Arial"/>
        </w:rPr>
        <w:t xml:space="preserve">in order </w:t>
      </w:r>
      <w:r>
        <w:rPr>
          <w:rFonts w:cs="Arial"/>
        </w:rPr>
        <w:t>to incorporate fat-soluble vitamins (A, D, E and K) and carotenoids (e.g. β-carotene, carotenal, β-apo-8’, lutein, lycopene, etc) in</w:t>
      </w:r>
      <w:r w:rsidR="00A900DB">
        <w:rPr>
          <w:rFonts w:cs="Arial"/>
        </w:rPr>
        <w:t>to</w:t>
      </w:r>
      <w:r>
        <w:rPr>
          <w:rFonts w:cs="Arial"/>
        </w:rPr>
        <w:t xml:space="preserve"> water-based foods </w:t>
      </w:r>
      <w:r w:rsidRPr="00775342">
        <w:rPr>
          <w:rFonts w:cs="Arial"/>
        </w:rPr>
        <w:t xml:space="preserve">(foods, including </w:t>
      </w:r>
      <w:r w:rsidR="008864B6" w:rsidRPr="00775342">
        <w:rPr>
          <w:rFonts w:cs="Arial"/>
        </w:rPr>
        <w:t>drinks</w:t>
      </w:r>
      <w:r w:rsidR="00AE53B3">
        <w:rPr>
          <w:rFonts w:cs="Arial"/>
        </w:rPr>
        <w:t>,</w:t>
      </w:r>
      <w:r w:rsidR="008864B6" w:rsidRPr="00775342">
        <w:rPr>
          <w:rFonts w:cs="Arial"/>
        </w:rPr>
        <w:t xml:space="preserve"> that</w:t>
      </w:r>
      <w:r w:rsidRPr="00775342">
        <w:rPr>
          <w:rFonts w:cs="Arial"/>
        </w:rPr>
        <w:t xml:space="preserve"> contain wate</w:t>
      </w:r>
      <w:r w:rsidR="008864B6">
        <w:rPr>
          <w:rFonts w:cs="Arial"/>
        </w:rPr>
        <w:t>r as an ingredient or component</w:t>
      </w:r>
      <w:r w:rsidRPr="00775342">
        <w:rPr>
          <w:rFonts w:cs="Arial"/>
        </w:rPr>
        <w:t>).</w:t>
      </w:r>
      <w:r>
        <w:rPr>
          <w:rFonts w:cs="Arial"/>
        </w:rPr>
        <w:t xml:space="preserve"> </w:t>
      </w:r>
      <w:r w:rsidR="00C50E69">
        <w:rPr>
          <w:rFonts w:cs="Arial"/>
        </w:rPr>
        <w:t>C</w:t>
      </w:r>
      <w:r w:rsidRPr="00BF05EE">
        <w:rPr>
          <w:rFonts w:cs="Arial"/>
        </w:rPr>
        <w:t xml:space="preserve">alcium lignosulphonate (40-65) </w:t>
      </w:r>
      <w:r>
        <w:rPr>
          <w:rFonts w:cs="Arial"/>
        </w:rPr>
        <w:t>assist</w:t>
      </w:r>
      <w:r w:rsidR="0065215F">
        <w:rPr>
          <w:rFonts w:cs="Arial"/>
        </w:rPr>
        <w:t>s</w:t>
      </w:r>
      <w:r>
        <w:rPr>
          <w:rFonts w:cs="Arial"/>
        </w:rPr>
        <w:t xml:space="preserve"> in</w:t>
      </w:r>
      <w:r w:rsidRPr="00410AD4">
        <w:rPr>
          <w:rFonts w:cs="Arial"/>
        </w:rPr>
        <w:t xml:space="preserve"> ensur</w:t>
      </w:r>
      <w:r>
        <w:rPr>
          <w:rFonts w:cs="Arial"/>
        </w:rPr>
        <w:t>ing</w:t>
      </w:r>
      <w:r w:rsidRPr="00410AD4">
        <w:rPr>
          <w:rFonts w:cs="Arial"/>
        </w:rPr>
        <w:t xml:space="preserve"> uniform dispersal and distribution of water insoluble vitamins and carotenoids into water</w:t>
      </w:r>
      <w:r>
        <w:rPr>
          <w:rFonts w:cs="Arial"/>
        </w:rPr>
        <w:t>-</w:t>
      </w:r>
      <w:r w:rsidRPr="00410AD4">
        <w:rPr>
          <w:rFonts w:cs="Arial"/>
        </w:rPr>
        <w:t>based foods.</w:t>
      </w:r>
      <w:r w:rsidR="008864B6" w:rsidRPr="008864B6">
        <w:rPr>
          <w:rFonts w:cs="Arial"/>
        </w:rPr>
        <w:t xml:space="preserve"> </w:t>
      </w:r>
      <w:r w:rsidR="008864B6">
        <w:rPr>
          <w:rFonts w:cs="Arial"/>
        </w:rPr>
        <w:t>The suffix (40-65) is used to distinguish that the product has a more defined range of weight-average molecular weights to other calcium lignosulphonates.</w:t>
      </w:r>
    </w:p>
    <w:p w:rsidR="009C77CB" w:rsidRDefault="009C77CB" w:rsidP="005F400E">
      <w:pPr>
        <w:rPr>
          <w:rFonts w:cs="Arial"/>
        </w:rPr>
      </w:pPr>
    </w:p>
    <w:p w:rsidR="008864B6" w:rsidRPr="008864B6" w:rsidRDefault="008864B6" w:rsidP="005F400E">
      <w:pPr>
        <w:rPr>
          <w:rFonts w:cs="Arial"/>
          <w:b/>
        </w:rPr>
      </w:pPr>
      <w:r>
        <w:rPr>
          <w:rFonts w:cs="Arial"/>
          <w:b/>
        </w:rPr>
        <w:t>Background</w:t>
      </w:r>
    </w:p>
    <w:p w:rsidR="008864B6" w:rsidRDefault="008864B6" w:rsidP="005F400E">
      <w:pPr>
        <w:rPr>
          <w:rFonts w:cs="Arial"/>
        </w:rPr>
      </w:pPr>
    </w:p>
    <w:p w:rsidR="009C77CB" w:rsidRDefault="009C77CB" w:rsidP="005F400E">
      <w:pPr>
        <w:rPr>
          <w:rFonts w:cs="Arial"/>
        </w:rPr>
      </w:pPr>
      <w:r>
        <w:rPr>
          <w:rFonts w:cs="Arial"/>
        </w:rPr>
        <w:t xml:space="preserve">On 26 June 2009, FSANZ received an Application from DSM Nutritional Products Australia Pty Ltd to amend the </w:t>
      </w:r>
      <w:r w:rsidRPr="00D91344">
        <w:rPr>
          <w:rFonts w:cs="Arial"/>
          <w:i/>
        </w:rPr>
        <w:t>Australia New Zealand Food Standards Code</w:t>
      </w:r>
      <w:r>
        <w:rPr>
          <w:rFonts w:cs="Arial"/>
        </w:rPr>
        <w:t xml:space="preserve"> (the Code) to permit the use of calcium lignosulphonate (40-65) </w:t>
      </w:r>
      <w:r w:rsidR="00C31BBD">
        <w:rPr>
          <w:rFonts w:cs="Arial"/>
        </w:rPr>
        <w:t>to incorporate fat-soluble vitamins and carotenoids into water-based foods.</w:t>
      </w:r>
    </w:p>
    <w:p w:rsidR="009C77CB" w:rsidRDefault="009C77CB" w:rsidP="005F400E">
      <w:pPr>
        <w:rPr>
          <w:rFonts w:cs="Arial"/>
        </w:rPr>
      </w:pPr>
    </w:p>
    <w:p w:rsidR="009C77CB" w:rsidRDefault="009C77CB" w:rsidP="009C77CB">
      <w:pPr>
        <w:rPr>
          <w:rFonts w:cs="Arial"/>
        </w:rPr>
      </w:pPr>
      <w:r>
        <w:rPr>
          <w:rFonts w:cs="Arial"/>
        </w:rPr>
        <w:t>The Applicant propose</w:t>
      </w:r>
      <w:r w:rsidR="00B660E8">
        <w:rPr>
          <w:rFonts w:cs="Arial"/>
        </w:rPr>
        <w:t>d</w:t>
      </w:r>
      <w:r>
        <w:rPr>
          <w:rFonts w:cs="Arial"/>
        </w:rPr>
        <w:t xml:space="preserve"> </w:t>
      </w:r>
      <w:r w:rsidRPr="007F2B95">
        <w:rPr>
          <w:rFonts w:cs="Arial"/>
        </w:rPr>
        <w:t xml:space="preserve">calcium lignosulphonate (40-65) </w:t>
      </w:r>
      <w:r>
        <w:rPr>
          <w:rFonts w:cs="Arial"/>
        </w:rPr>
        <w:t>as an alternative substance to commonly used substances, such as gelatines, gum arabic (also called gum acacia), soy protein hydrol</w:t>
      </w:r>
      <w:r w:rsidR="008F17C8">
        <w:rPr>
          <w:rFonts w:cs="Arial"/>
        </w:rPr>
        <w:t>y</w:t>
      </w:r>
      <w:r>
        <w:rPr>
          <w:rFonts w:cs="Arial"/>
        </w:rPr>
        <w:t>sate or starches. For some food manufacturers</w:t>
      </w:r>
      <w:r w:rsidR="00FA3F1D">
        <w:rPr>
          <w:rFonts w:cs="Arial"/>
        </w:rPr>
        <w:t>,</w:t>
      </w:r>
      <w:r>
        <w:rPr>
          <w:rFonts w:cs="Arial"/>
        </w:rPr>
        <w:t xml:space="preserve"> the use of these materials can cause difficulties. In particular</w:t>
      </w:r>
      <w:r w:rsidR="00C50E69">
        <w:rPr>
          <w:rFonts w:cs="Arial"/>
        </w:rPr>
        <w:t>,</w:t>
      </w:r>
      <w:r>
        <w:rPr>
          <w:rFonts w:cs="Arial"/>
        </w:rPr>
        <w:t xml:space="preserve"> gelatines potentially have allergen labelling requirements, and may have kosher/halal </w:t>
      </w:r>
      <w:r w:rsidR="00C31BBD">
        <w:rPr>
          <w:rFonts w:cs="Arial"/>
        </w:rPr>
        <w:t>limitations</w:t>
      </w:r>
      <w:r>
        <w:rPr>
          <w:rFonts w:cs="Arial"/>
        </w:rPr>
        <w:t>. The use of some hydrol</w:t>
      </w:r>
      <w:r w:rsidR="008F17C8">
        <w:rPr>
          <w:rFonts w:cs="Arial"/>
        </w:rPr>
        <w:t>y</w:t>
      </w:r>
      <w:r>
        <w:rPr>
          <w:rFonts w:cs="Arial"/>
        </w:rPr>
        <w:t xml:space="preserve">sate or starches derived from soy may give rise to concerns due to </w:t>
      </w:r>
      <w:r w:rsidR="00C50E69">
        <w:rPr>
          <w:rFonts w:cs="Arial"/>
        </w:rPr>
        <w:t xml:space="preserve">ensuring </w:t>
      </w:r>
      <w:r>
        <w:rPr>
          <w:rFonts w:cs="Arial"/>
        </w:rPr>
        <w:t xml:space="preserve">supply from </w:t>
      </w:r>
      <w:r w:rsidR="00C50E69">
        <w:rPr>
          <w:rFonts w:cs="Arial"/>
        </w:rPr>
        <w:t>non-</w:t>
      </w:r>
      <w:r>
        <w:rPr>
          <w:rFonts w:cs="Arial"/>
        </w:rPr>
        <w:t>genetically modified sources</w:t>
      </w:r>
      <w:r w:rsidR="00C50E69">
        <w:rPr>
          <w:rFonts w:cs="Arial"/>
        </w:rPr>
        <w:t>, as well as allergen labelling requirements</w:t>
      </w:r>
      <w:r>
        <w:rPr>
          <w:rFonts w:cs="Arial"/>
        </w:rPr>
        <w:t xml:space="preserve">. The Applicant claims that </w:t>
      </w:r>
      <w:r w:rsidRPr="00BF6430">
        <w:rPr>
          <w:rFonts w:cs="Arial"/>
        </w:rPr>
        <w:t xml:space="preserve">calcium </w:t>
      </w:r>
      <w:r>
        <w:rPr>
          <w:rFonts w:cs="Arial"/>
        </w:rPr>
        <w:t>lignosulphonate</w:t>
      </w:r>
      <w:r w:rsidRPr="00BF6430">
        <w:rPr>
          <w:rFonts w:cs="Arial"/>
        </w:rPr>
        <w:t xml:space="preserve"> (40-65) </w:t>
      </w:r>
      <w:r>
        <w:rPr>
          <w:rFonts w:cs="Arial"/>
        </w:rPr>
        <w:t xml:space="preserve">does not have these drawbacks. </w:t>
      </w:r>
    </w:p>
    <w:p w:rsidR="009C77CB" w:rsidRDefault="009C77CB" w:rsidP="009C77CB">
      <w:pPr>
        <w:rPr>
          <w:rFonts w:cs="Arial"/>
        </w:rPr>
      </w:pPr>
    </w:p>
    <w:p w:rsidR="009C77CB" w:rsidRDefault="009C77CB" w:rsidP="009C77CB">
      <w:pPr>
        <w:rPr>
          <w:rFonts w:cs="Arial"/>
        </w:rPr>
      </w:pPr>
      <w:r>
        <w:rPr>
          <w:rFonts w:cs="Arial"/>
        </w:rPr>
        <w:t>The Applicant requested FSANZ to assess and permit calcium lignosulphonate (40-65) as a processing aid (with a function as a carrier). However</w:t>
      </w:r>
      <w:r w:rsidR="00C50E69">
        <w:rPr>
          <w:rFonts w:cs="Arial"/>
        </w:rPr>
        <w:t>,</w:t>
      </w:r>
      <w:r>
        <w:rPr>
          <w:rFonts w:cs="Arial"/>
        </w:rPr>
        <w:t xml:space="preserve"> FSANZ considers the substance functions as a food additive (as an emulsifier and stabiliser) for the purpose proposed in the Application. Therefore, a change to Standard 1.3.1 – Food Additives </w:t>
      </w:r>
      <w:r w:rsidR="000C51C7">
        <w:rPr>
          <w:rFonts w:cs="Arial"/>
        </w:rPr>
        <w:t>is</w:t>
      </w:r>
      <w:r>
        <w:rPr>
          <w:rFonts w:cs="Arial"/>
        </w:rPr>
        <w:t xml:space="preserve"> required</w:t>
      </w:r>
      <w:r w:rsidR="003B2669">
        <w:rPr>
          <w:rFonts w:cs="Arial"/>
        </w:rPr>
        <w:t xml:space="preserve">; rather than </w:t>
      </w:r>
      <w:proofErr w:type="gramStart"/>
      <w:r w:rsidR="003B2669">
        <w:rPr>
          <w:rFonts w:cs="Arial"/>
        </w:rPr>
        <w:t>Standard</w:t>
      </w:r>
      <w:proofErr w:type="gramEnd"/>
      <w:r w:rsidR="003B2669">
        <w:rPr>
          <w:rFonts w:cs="Arial"/>
        </w:rPr>
        <w:t xml:space="preserve"> 1.3.</w:t>
      </w:r>
      <w:r w:rsidR="00F5223D">
        <w:rPr>
          <w:rFonts w:cs="Arial"/>
        </w:rPr>
        <w:t xml:space="preserve">3 </w:t>
      </w:r>
      <w:r w:rsidR="003B2669">
        <w:rPr>
          <w:rFonts w:cs="Arial"/>
        </w:rPr>
        <w:t>– Processing Aids</w:t>
      </w:r>
      <w:r>
        <w:rPr>
          <w:rFonts w:cs="Arial"/>
        </w:rPr>
        <w:t xml:space="preserve">. </w:t>
      </w:r>
    </w:p>
    <w:p w:rsidR="009C77CB" w:rsidRDefault="009C77CB" w:rsidP="009C77CB">
      <w:pPr>
        <w:rPr>
          <w:rFonts w:cs="Arial"/>
        </w:rPr>
      </w:pPr>
    </w:p>
    <w:p w:rsidR="0068631F" w:rsidRDefault="0068631F" w:rsidP="009C77CB">
      <w:pPr>
        <w:rPr>
          <w:rFonts w:cs="Arial"/>
        </w:rPr>
      </w:pPr>
      <w:r>
        <w:rPr>
          <w:rFonts w:cs="Arial"/>
        </w:rPr>
        <w:br w:type="page"/>
      </w:r>
    </w:p>
    <w:p w:rsidR="009C77CB" w:rsidRDefault="004A462E" w:rsidP="009C77CB">
      <w:pPr>
        <w:rPr>
          <w:rFonts w:cs="Arial"/>
        </w:rPr>
      </w:pPr>
      <w:r>
        <w:rPr>
          <w:rFonts w:cs="Arial"/>
        </w:rPr>
        <w:lastRenderedPageBreak/>
        <w:t>A pre-market assessment is required p</w:t>
      </w:r>
      <w:r w:rsidR="009C77CB">
        <w:rPr>
          <w:rFonts w:cs="Arial"/>
        </w:rPr>
        <w:t xml:space="preserve">rior to any approval being granted to a </w:t>
      </w:r>
      <w:r>
        <w:rPr>
          <w:rFonts w:cs="Arial"/>
        </w:rPr>
        <w:t xml:space="preserve">new </w:t>
      </w:r>
      <w:r w:rsidR="009C77CB">
        <w:rPr>
          <w:rFonts w:cs="Arial"/>
        </w:rPr>
        <w:t xml:space="preserve">substance </w:t>
      </w:r>
      <w:r>
        <w:rPr>
          <w:rFonts w:cs="Arial"/>
        </w:rPr>
        <w:t xml:space="preserve">for use </w:t>
      </w:r>
      <w:r w:rsidR="009C77CB">
        <w:rPr>
          <w:rFonts w:cs="Arial"/>
        </w:rPr>
        <w:t>as a food additive</w:t>
      </w:r>
      <w:r w:rsidR="00C31BBD">
        <w:rPr>
          <w:rFonts w:cs="Arial"/>
        </w:rPr>
        <w:t>.</w:t>
      </w:r>
      <w:r w:rsidR="009C77CB">
        <w:rPr>
          <w:rFonts w:cs="Arial"/>
        </w:rPr>
        <w:t xml:space="preserve"> </w:t>
      </w:r>
    </w:p>
    <w:p w:rsidR="009C77CB" w:rsidRDefault="009C77CB" w:rsidP="009C77CB">
      <w:pPr>
        <w:rPr>
          <w:rFonts w:cs="Arial"/>
        </w:rPr>
      </w:pPr>
    </w:p>
    <w:p w:rsidR="009C77CB" w:rsidRPr="00DC6570" w:rsidRDefault="009C77CB" w:rsidP="009C77CB">
      <w:pPr>
        <w:rPr>
          <w:rFonts w:cs="Arial"/>
        </w:rPr>
      </w:pPr>
      <w:r w:rsidRPr="00DC6570">
        <w:rPr>
          <w:rFonts w:cs="Arial"/>
        </w:rPr>
        <w:t xml:space="preserve">The </w:t>
      </w:r>
      <w:r>
        <w:rPr>
          <w:rFonts w:cs="Arial"/>
        </w:rPr>
        <w:t>Application</w:t>
      </w:r>
      <w:r w:rsidRPr="00DC6570">
        <w:rPr>
          <w:rFonts w:cs="Arial"/>
        </w:rPr>
        <w:t xml:space="preserve"> </w:t>
      </w:r>
      <w:r w:rsidR="0068631F">
        <w:rPr>
          <w:rFonts w:cs="Arial"/>
        </w:rPr>
        <w:t>was</w:t>
      </w:r>
      <w:r w:rsidRPr="00DC6570">
        <w:rPr>
          <w:rFonts w:cs="Arial"/>
        </w:rPr>
        <w:t xml:space="preserve"> assessed under </w:t>
      </w:r>
      <w:r w:rsidRPr="00820959">
        <w:rPr>
          <w:rFonts w:cs="Arial"/>
        </w:rPr>
        <w:t>the General</w:t>
      </w:r>
      <w:r w:rsidRPr="00DC6570">
        <w:rPr>
          <w:rFonts w:cs="Arial"/>
          <w:color w:val="FF0000"/>
        </w:rPr>
        <w:t xml:space="preserve"> </w:t>
      </w:r>
      <w:r w:rsidRPr="00DC6570">
        <w:rPr>
          <w:rFonts w:cs="Arial"/>
        </w:rPr>
        <w:t>Procedure.</w:t>
      </w:r>
    </w:p>
    <w:p w:rsidR="009C77CB" w:rsidRDefault="009C77CB" w:rsidP="005F400E">
      <w:pPr>
        <w:rPr>
          <w:rFonts w:cs="Arial"/>
        </w:rPr>
      </w:pPr>
    </w:p>
    <w:p w:rsidR="000C51C7" w:rsidRPr="00AE244A" w:rsidRDefault="000C51C7" w:rsidP="00804DB4">
      <w:pPr>
        <w:keepNext/>
        <w:keepLines/>
        <w:widowControl/>
        <w:autoSpaceDE w:val="0"/>
        <w:autoSpaceDN w:val="0"/>
        <w:adjustRightInd w:val="0"/>
        <w:rPr>
          <w:rFonts w:cs="Arial"/>
          <w:b/>
        </w:rPr>
      </w:pPr>
      <w:r>
        <w:rPr>
          <w:rFonts w:cs="Arial"/>
          <w:b/>
        </w:rPr>
        <w:t>Risk Assessment</w:t>
      </w:r>
    </w:p>
    <w:p w:rsidR="000C51C7" w:rsidRDefault="000C51C7" w:rsidP="00804DB4">
      <w:pPr>
        <w:keepNext/>
        <w:keepLines/>
        <w:widowControl/>
        <w:autoSpaceDE w:val="0"/>
        <w:autoSpaceDN w:val="0"/>
        <w:adjustRightInd w:val="0"/>
        <w:rPr>
          <w:rFonts w:cs="Arial"/>
        </w:rPr>
      </w:pPr>
    </w:p>
    <w:p w:rsidR="000C51C7" w:rsidRDefault="000C51C7" w:rsidP="00804DB4">
      <w:pPr>
        <w:keepNext/>
        <w:keepLines/>
        <w:widowControl/>
        <w:autoSpaceDE w:val="0"/>
        <w:autoSpaceDN w:val="0"/>
        <w:adjustRightInd w:val="0"/>
        <w:rPr>
          <w:rFonts w:cs="Arial"/>
        </w:rPr>
      </w:pPr>
      <w:r>
        <w:rPr>
          <w:rFonts w:cs="Arial"/>
        </w:rPr>
        <w:t xml:space="preserve">A risk assessment </w:t>
      </w:r>
      <w:r w:rsidR="0068631F">
        <w:rPr>
          <w:rFonts w:cs="Arial"/>
        </w:rPr>
        <w:t>was</w:t>
      </w:r>
      <w:r>
        <w:rPr>
          <w:rFonts w:cs="Arial"/>
        </w:rPr>
        <w:t xml:space="preserve"> performed as part of the assessment of the Application. This risk assessment </w:t>
      </w:r>
      <w:r w:rsidR="004A462E">
        <w:rPr>
          <w:rFonts w:cs="Arial"/>
        </w:rPr>
        <w:t xml:space="preserve">considered </w:t>
      </w:r>
      <w:r>
        <w:rPr>
          <w:rFonts w:cs="Arial"/>
        </w:rPr>
        <w:t xml:space="preserve">the technological aspects and properties of the substance </w:t>
      </w:r>
      <w:r w:rsidR="004A462E">
        <w:rPr>
          <w:rFonts w:cs="Arial"/>
        </w:rPr>
        <w:t>in performing its</w:t>
      </w:r>
      <w:r>
        <w:rPr>
          <w:rFonts w:cs="Arial"/>
        </w:rPr>
        <w:t xml:space="preserve"> role </w:t>
      </w:r>
      <w:r w:rsidR="004A462E">
        <w:rPr>
          <w:rFonts w:cs="Arial"/>
        </w:rPr>
        <w:t xml:space="preserve">in foods. </w:t>
      </w:r>
      <w:r>
        <w:rPr>
          <w:rFonts w:cs="Arial"/>
        </w:rPr>
        <w:t>The risk assessment also investigated any risks to public health and safety, including nutritional risk.</w:t>
      </w:r>
    </w:p>
    <w:p w:rsidR="000C51C7" w:rsidRDefault="000C51C7" w:rsidP="000C51C7">
      <w:pPr>
        <w:rPr>
          <w:rFonts w:cs="Arial"/>
        </w:rPr>
      </w:pPr>
    </w:p>
    <w:p w:rsidR="000C51C7" w:rsidRPr="00BE5A71" w:rsidRDefault="000C51C7" w:rsidP="000C51C7">
      <w:pPr>
        <w:keepNext/>
        <w:keepLines/>
        <w:widowControl/>
        <w:rPr>
          <w:rFonts w:cs="Arial"/>
          <w:lang w:val="en-AU"/>
        </w:rPr>
      </w:pPr>
      <w:r w:rsidRPr="00BE5A71">
        <w:rPr>
          <w:rFonts w:cs="Arial"/>
        </w:rPr>
        <w:t>The evidence presented in support of the Application provides adequate assurance that calcium lignosulphonate (40-65) is technologically justified</w:t>
      </w:r>
      <w:r w:rsidR="004A462E">
        <w:rPr>
          <w:rFonts w:cs="Arial"/>
        </w:rPr>
        <w:t xml:space="preserve"> for use</w:t>
      </w:r>
      <w:r w:rsidR="004A462E" w:rsidRPr="00BE5A71">
        <w:rPr>
          <w:rFonts w:cs="Arial"/>
        </w:rPr>
        <w:t xml:space="preserve"> as</w:t>
      </w:r>
      <w:r w:rsidRPr="00BE5A71">
        <w:rPr>
          <w:rFonts w:cs="Arial"/>
        </w:rPr>
        <w:t xml:space="preserve"> an emulsifier and stabiliser </w:t>
      </w:r>
      <w:r w:rsidR="004A462E">
        <w:rPr>
          <w:rFonts w:cs="Arial"/>
        </w:rPr>
        <w:t xml:space="preserve">in order </w:t>
      </w:r>
      <w:r w:rsidR="00C50E69">
        <w:rPr>
          <w:rFonts w:cs="Arial"/>
        </w:rPr>
        <w:t>to incorporate</w:t>
      </w:r>
      <w:r w:rsidRPr="00BE5A71">
        <w:rPr>
          <w:rFonts w:cs="Arial"/>
        </w:rPr>
        <w:t xml:space="preserve"> fat-soluble active ingredients </w:t>
      </w:r>
      <w:r w:rsidR="004A462E">
        <w:rPr>
          <w:rFonts w:cs="Arial"/>
        </w:rPr>
        <w:t>in</w:t>
      </w:r>
      <w:r w:rsidRPr="00BE5A71">
        <w:rPr>
          <w:rFonts w:cs="Arial"/>
        </w:rPr>
        <w:t>to aqueous foods.</w:t>
      </w:r>
    </w:p>
    <w:p w:rsidR="000C51C7" w:rsidRPr="00BE5A71" w:rsidRDefault="000C51C7" w:rsidP="000C51C7">
      <w:pPr>
        <w:keepNext/>
        <w:keepLines/>
        <w:widowControl/>
        <w:autoSpaceDE w:val="0"/>
        <w:autoSpaceDN w:val="0"/>
        <w:adjustRightInd w:val="0"/>
        <w:rPr>
          <w:rFonts w:cs="Arial"/>
        </w:rPr>
      </w:pPr>
    </w:p>
    <w:p w:rsidR="000C51C7" w:rsidRDefault="004A462E" w:rsidP="000C51C7">
      <w:pPr>
        <w:rPr>
          <w:rFonts w:cs="Arial"/>
          <w:szCs w:val="22"/>
        </w:rPr>
      </w:pPr>
      <w:r>
        <w:rPr>
          <w:rFonts w:cs="Arial"/>
          <w:iCs/>
          <w:szCs w:val="22"/>
        </w:rPr>
        <w:t>T</w:t>
      </w:r>
      <w:r w:rsidRPr="00BE5A71">
        <w:rPr>
          <w:rFonts w:cs="Arial"/>
          <w:iCs/>
          <w:szCs w:val="22"/>
        </w:rPr>
        <w:t>he available toxico</w:t>
      </w:r>
      <w:r>
        <w:rPr>
          <w:rFonts w:cs="Arial"/>
          <w:iCs/>
          <w:szCs w:val="22"/>
        </w:rPr>
        <w:t>logical</w:t>
      </w:r>
      <w:r w:rsidRPr="00BE5A71">
        <w:rPr>
          <w:rFonts w:cs="Arial"/>
          <w:iCs/>
          <w:szCs w:val="22"/>
        </w:rPr>
        <w:t xml:space="preserve"> data</w:t>
      </w:r>
      <w:r>
        <w:rPr>
          <w:rFonts w:cs="Arial"/>
          <w:szCs w:val="22"/>
          <w:lang w:val="en-AU"/>
        </w:rPr>
        <w:t xml:space="preserve"> indicates that s</w:t>
      </w:r>
      <w:r w:rsidR="000C51C7">
        <w:rPr>
          <w:rFonts w:cs="Arial"/>
          <w:szCs w:val="22"/>
          <w:lang w:val="en-AU"/>
        </w:rPr>
        <w:t>etting a</w:t>
      </w:r>
      <w:r w:rsidR="000C51C7" w:rsidRPr="00BE5A71">
        <w:rPr>
          <w:rFonts w:cs="Arial"/>
          <w:szCs w:val="22"/>
          <w:lang w:val="en-AU"/>
        </w:rPr>
        <w:t>n</w:t>
      </w:r>
      <w:r w:rsidR="000C51C7" w:rsidRPr="00BE5A71">
        <w:rPr>
          <w:rFonts w:cs="Arial"/>
          <w:iCs/>
          <w:szCs w:val="22"/>
        </w:rPr>
        <w:t xml:space="preserve"> acceptable daily intake (ADI) is necessary</w:t>
      </w:r>
      <w:r>
        <w:rPr>
          <w:rFonts w:cs="Arial"/>
          <w:iCs/>
          <w:szCs w:val="22"/>
        </w:rPr>
        <w:t xml:space="preserve">. </w:t>
      </w:r>
      <w:r w:rsidR="000C51C7" w:rsidRPr="00BE5A71">
        <w:rPr>
          <w:rFonts w:cs="Arial"/>
          <w:iCs/>
          <w:szCs w:val="22"/>
        </w:rPr>
        <w:t>An ADI of 0-</w:t>
      </w:r>
      <w:r w:rsidR="000C51C7" w:rsidRPr="00BE5A71">
        <w:rPr>
          <w:rFonts w:cs="Arial"/>
          <w:szCs w:val="22"/>
        </w:rPr>
        <w:t>20 mg/kg b</w:t>
      </w:r>
      <w:r w:rsidR="000C51C7">
        <w:rPr>
          <w:rFonts w:cs="Arial"/>
          <w:szCs w:val="22"/>
        </w:rPr>
        <w:t>ody</w:t>
      </w:r>
      <w:r w:rsidR="000C51C7" w:rsidRPr="00BE5A71">
        <w:rPr>
          <w:rFonts w:cs="Arial"/>
          <w:szCs w:val="22"/>
        </w:rPr>
        <w:t>w</w:t>
      </w:r>
      <w:r w:rsidR="000C51C7">
        <w:rPr>
          <w:rFonts w:cs="Arial"/>
          <w:szCs w:val="22"/>
        </w:rPr>
        <w:t>eight (</w:t>
      </w:r>
      <w:proofErr w:type="gramStart"/>
      <w:r w:rsidR="000C51C7">
        <w:rPr>
          <w:rFonts w:cs="Arial"/>
          <w:szCs w:val="22"/>
        </w:rPr>
        <w:t>bw</w:t>
      </w:r>
      <w:proofErr w:type="gramEnd"/>
      <w:r w:rsidR="000C51C7">
        <w:rPr>
          <w:rFonts w:cs="Arial"/>
          <w:szCs w:val="22"/>
        </w:rPr>
        <w:t>)</w:t>
      </w:r>
      <w:r w:rsidR="000C51C7" w:rsidRPr="00BE5A71" w:rsidDel="00856178">
        <w:rPr>
          <w:rFonts w:cs="Arial"/>
          <w:szCs w:val="22"/>
          <w:lang w:val="en-AU"/>
        </w:rPr>
        <w:t xml:space="preserve"> </w:t>
      </w:r>
      <w:r>
        <w:rPr>
          <w:rFonts w:cs="Arial"/>
          <w:szCs w:val="22"/>
          <w:lang w:val="en-AU"/>
        </w:rPr>
        <w:t xml:space="preserve">per day </w:t>
      </w:r>
      <w:r w:rsidR="000C51C7" w:rsidRPr="00BE5A71">
        <w:rPr>
          <w:rFonts w:cs="Arial"/>
          <w:szCs w:val="22"/>
          <w:lang w:val="en-AU"/>
        </w:rPr>
        <w:t xml:space="preserve">(rounded value) for </w:t>
      </w:r>
      <w:r w:rsidR="000C51C7" w:rsidRPr="00BE5A71">
        <w:rPr>
          <w:rFonts w:cs="Arial"/>
          <w:szCs w:val="22"/>
        </w:rPr>
        <w:t xml:space="preserve">calcium lignosulphonate </w:t>
      </w:r>
      <w:r w:rsidR="000C51C7" w:rsidRPr="00BE5A71">
        <w:rPr>
          <w:rFonts w:cs="Arial"/>
          <w:iCs/>
          <w:szCs w:val="22"/>
        </w:rPr>
        <w:t xml:space="preserve">(40-65) </w:t>
      </w:r>
      <w:r w:rsidR="000C51C7" w:rsidRPr="00BE5A71">
        <w:rPr>
          <w:rFonts w:cs="Arial"/>
          <w:szCs w:val="22"/>
          <w:lang w:val="en-AU"/>
        </w:rPr>
        <w:t>has been established based on a 13-week dietary study in rats</w:t>
      </w:r>
      <w:r>
        <w:rPr>
          <w:rFonts w:cs="Arial"/>
          <w:szCs w:val="22"/>
          <w:lang w:val="en-AU"/>
        </w:rPr>
        <w:t xml:space="preserve">. This study </w:t>
      </w:r>
      <w:r w:rsidR="000C51C7" w:rsidRPr="00BE5A71">
        <w:rPr>
          <w:rFonts w:cs="Arial"/>
          <w:szCs w:val="22"/>
          <w:lang w:val="en-AU"/>
        </w:rPr>
        <w:t xml:space="preserve">obtained a NOAEL </w:t>
      </w:r>
      <w:r w:rsidR="00C50E69">
        <w:rPr>
          <w:rFonts w:cs="Arial"/>
          <w:szCs w:val="22"/>
          <w:lang w:val="en-AU"/>
        </w:rPr>
        <w:t>(</w:t>
      </w:r>
      <w:r>
        <w:rPr>
          <w:rFonts w:cs="Arial"/>
          <w:szCs w:val="22"/>
          <w:lang w:val="en-AU"/>
        </w:rPr>
        <w:t>n</w:t>
      </w:r>
      <w:r w:rsidR="00C50E69">
        <w:rPr>
          <w:rFonts w:cs="Arial"/>
          <w:szCs w:val="22"/>
          <w:lang w:val="en-AU"/>
        </w:rPr>
        <w:t xml:space="preserve">o observable adverse effect limit) </w:t>
      </w:r>
      <w:r w:rsidR="000C51C7" w:rsidRPr="00BE5A71">
        <w:rPr>
          <w:rFonts w:cs="Arial"/>
          <w:szCs w:val="22"/>
          <w:lang w:val="en-AU"/>
        </w:rPr>
        <w:t xml:space="preserve">of </w:t>
      </w:r>
      <w:r w:rsidR="000C51C7" w:rsidRPr="00BE5A71">
        <w:rPr>
          <w:rFonts w:cs="Arial"/>
          <w:szCs w:val="22"/>
        </w:rPr>
        <w:t>1978 mg/kg bw/day for males and 2040 mg/kg bw/day for females</w:t>
      </w:r>
      <w:r w:rsidR="000C51C7" w:rsidRPr="00BE5A71">
        <w:rPr>
          <w:rFonts w:cs="Arial"/>
          <w:szCs w:val="22"/>
          <w:lang w:val="en-AU"/>
        </w:rPr>
        <w:t xml:space="preserve">. This ADI includes 10-fold safety factors for both intra- and inter-species variability giving an overall 100-fold safety factor. An additional safety factor for the absence of a chronic toxicity study of </w:t>
      </w:r>
      <w:r w:rsidR="000C51C7" w:rsidRPr="00BE5A71">
        <w:rPr>
          <w:rFonts w:cs="Arial"/>
          <w:szCs w:val="22"/>
        </w:rPr>
        <w:t xml:space="preserve">calcium lignosulphonate </w:t>
      </w:r>
      <w:r w:rsidR="000C51C7" w:rsidRPr="00BE5A71">
        <w:rPr>
          <w:rFonts w:cs="Arial"/>
          <w:iCs/>
          <w:szCs w:val="22"/>
        </w:rPr>
        <w:t xml:space="preserve">(40-65) </w:t>
      </w:r>
      <w:r w:rsidR="000C51C7" w:rsidRPr="00BE5A71">
        <w:rPr>
          <w:rFonts w:cs="Arial"/>
          <w:szCs w:val="22"/>
          <w:lang w:val="en-AU"/>
        </w:rPr>
        <w:t xml:space="preserve">was not considered to be necessary because of the poor absorption of calcium lignosulphonate </w:t>
      </w:r>
      <w:r w:rsidR="000C51C7" w:rsidRPr="00BE5A71">
        <w:rPr>
          <w:rFonts w:cs="Arial"/>
          <w:iCs/>
          <w:szCs w:val="22"/>
        </w:rPr>
        <w:t xml:space="preserve">(40-65) </w:t>
      </w:r>
      <w:r w:rsidR="000C51C7" w:rsidRPr="00BE5A71">
        <w:rPr>
          <w:rFonts w:cs="Arial"/>
          <w:szCs w:val="22"/>
          <w:lang w:val="en-AU"/>
        </w:rPr>
        <w:t>and the absence of any adverse effects in a 13-week study</w:t>
      </w:r>
      <w:r w:rsidR="000C51C7" w:rsidRPr="00BE5A71">
        <w:rPr>
          <w:rFonts w:cs="Arial"/>
          <w:szCs w:val="22"/>
        </w:rPr>
        <w:t xml:space="preserve">. </w:t>
      </w:r>
    </w:p>
    <w:p w:rsidR="000C51C7" w:rsidRDefault="000C51C7" w:rsidP="000C51C7">
      <w:pPr>
        <w:rPr>
          <w:rFonts w:cs="Arial"/>
          <w:szCs w:val="22"/>
        </w:rPr>
      </w:pPr>
    </w:p>
    <w:p w:rsidR="000C51C7" w:rsidRPr="00BE5A71" w:rsidRDefault="006016C6" w:rsidP="00832B65">
      <w:pPr>
        <w:autoSpaceDE w:val="0"/>
        <w:autoSpaceDN w:val="0"/>
        <w:adjustRightInd w:val="0"/>
        <w:rPr>
          <w:rFonts w:cs="Arial"/>
          <w:lang w:val="en-AU"/>
        </w:rPr>
      </w:pPr>
      <w:r>
        <w:rPr>
          <w:rFonts w:cs="Arial"/>
          <w:lang w:val="en-AU"/>
        </w:rPr>
        <w:t>U</w:t>
      </w:r>
      <w:r w:rsidRPr="00BE5A71">
        <w:rPr>
          <w:rFonts w:cs="Arial"/>
          <w:lang w:val="en-AU"/>
        </w:rPr>
        <w:t>sing the proposed food groups and concentration data provided by the Applicant</w:t>
      </w:r>
      <w:r>
        <w:rPr>
          <w:rFonts w:cs="Arial"/>
          <w:lang w:val="en-AU"/>
        </w:rPr>
        <w:t xml:space="preserve"> </w:t>
      </w:r>
      <w:r w:rsidRPr="00BE5A71">
        <w:rPr>
          <w:rFonts w:cs="Arial"/>
          <w:lang w:val="en-AU"/>
        </w:rPr>
        <w:t>and the best available consumption data for the Australian and New Zealand populations</w:t>
      </w:r>
      <w:r>
        <w:rPr>
          <w:rFonts w:cs="Arial"/>
          <w:lang w:val="en-AU"/>
        </w:rPr>
        <w:t>, p</w:t>
      </w:r>
      <w:r w:rsidR="000C51C7" w:rsidRPr="00BE5A71">
        <w:rPr>
          <w:rFonts w:cs="Arial"/>
          <w:lang w:val="en-AU"/>
        </w:rPr>
        <w:t xml:space="preserve">redicted dietary exposures to calcium lignosulphonate (40-65) were </w:t>
      </w:r>
      <w:r w:rsidR="000C51C7">
        <w:rPr>
          <w:rFonts w:cs="Arial"/>
          <w:lang w:val="en-AU"/>
        </w:rPr>
        <w:t xml:space="preserve">assessed as </w:t>
      </w:r>
      <w:r w:rsidR="000C51C7" w:rsidRPr="00BE5A71">
        <w:rPr>
          <w:rFonts w:cs="Arial"/>
          <w:lang w:val="en-AU"/>
        </w:rPr>
        <w:t>low</w:t>
      </w:r>
      <w:r>
        <w:rPr>
          <w:rFonts w:cs="Arial"/>
          <w:lang w:val="en-AU"/>
        </w:rPr>
        <w:t xml:space="preserve">. </w:t>
      </w:r>
      <w:r w:rsidR="000C51C7" w:rsidRPr="00BE5A71">
        <w:rPr>
          <w:rFonts w:cs="Arial"/>
        </w:rPr>
        <w:t xml:space="preserve">Predicted mean dietary exposures were less than 20% of the reference health standard </w:t>
      </w:r>
      <w:r w:rsidR="000C51C7">
        <w:rPr>
          <w:rFonts w:cs="Arial"/>
        </w:rPr>
        <w:t xml:space="preserve">(ADI) </w:t>
      </w:r>
      <w:r w:rsidR="000C51C7" w:rsidRPr="00BE5A71">
        <w:rPr>
          <w:rFonts w:cs="Arial"/>
        </w:rPr>
        <w:t xml:space="preserve">of </w:t>
      </w:r>
      <w:r w:rsidR="00F5223D">
        <w:rPr>
          <w:rFonts w:cs="Arial"/>
        </w:rPr>
        <w:br/>
      </w:r>
      <w:r w:rsidR="000C51C7" w:rsidRPr="00BE5A71">
        <w:rPr>
          <w:rFonts w:cs="Arial"/>
        </w:rPr>
        <w:t>20 mg/kg bw/day for all population groups assessed, while 90</w:t>
      </w:r>
      <w:r w:rsidR="000C51C7" w:rsidRPr="00BE5A71">
        <w:rPr>
          <w:rFonts w:cs="Arial"/>
          <w:vertAlign w:val="superscript"/>
        </w:rPr>
        <w:t>th</w:t>
      </w:r>
      <w:r w:rsidR="000C51C7" w:rsidRPr="00BE5A71">
        <w:rPr>
          <w:rFonts w:cs="Arial"/>
        </w:rPr>
        <w:t xml:space="preserve"> percentile exposures were less than 30% of the reference health standard for all population groups assessed. These estimates were based on very conservative assumptions so as not to underestimate the potential exposure.</w:t>
      </w:r>
    </w:p>
    <w:p w:rsidR="000C51C7" w:rsidRPr="00BE5A71" w:rsidRDefault="000C51C7" w:rsidP="000C51C7">
      <w:pPr>
        <w:rPr>
          <w:rFonts w:cs="Arial"/>
          <w:lang w:val="en-AU"/>
        </w:rPr>
      </w:pPr>
      <w:r w:rsidRPr="00BE5A71">
        <w:rPr>
          <w:rFonts w:cs="Arial"/>
          <w:lang w:val="en-AU"/>
        </w:rPr>
        <w:t xml:space="preserve"> </w:t>
      </w:r>
    </w:p>
    <w:p w:rsidR="000C51C7" w:rsidRPr="00BE5A71" w:rsidRDefault="000C51C7" w:rsidP="000C51C7">
      <w:pPr>
        <w:rPr>
          <w:rFonts w:cs="Arial"/>
          <w:lang w:val="en-AU"/>
        </w:rPr>
      </w:pPr>
      <w:r w:rsidRPr="00BE5A71">
        <w:rPr>
          <w:rFonts w:cs="Arial"/>
          <w:lang w:val="en-AU"/>
        </w:rPr>
        <w:t xml:space="preserve">Given the conservative nature of this dietary exposure assessment, and the low exposures that have been obtained, FSANZ does not expect that intakes will exceed the ADI for calcium lignosulphonate (40-65).  </w:t>
      </w:r>
    </w:p>
    <w:p w:rsidR="000C51C7" w:rsidRPr="00BE5A71" w:rsidRDefault="000C51C7" w:rsidP="000C51C7">
      <w:pPr>
        <w:autoSpaceDE w:val="0"/>
        <w:autoSpaceDN w:val="0"/>
        <w:adjustRightInd w:val="0"/>
        <w:rPr>
          <w:rFonts w:cs="Arial"/>
        </w:rPr>
      </w:pPr>
    </w:p>
    <w:p w:rsidR="000C51C7" w:rsidRPr="00BE5A71" w:rsidRDefault="000C51C7" w:rsidP="000C51C7">
      <w:pPr>
        <w:rPr>
          <w:rFonts w:cs="Arial"/>
        </w:rPr>
      </w:pPr>
      <w:r w:rsidRPr="00BE5A71">
        <w:rPr>
          <w:rFonts w:cs="Arial"/>
        </w:rPr>
        <w:t xml:space="preserve">Data from a suitable animal model show that the use of calcium lignosulphonate (40-65) </w:t>
      </w:r>
      <w:r w:rsidR="00351AF4">
        <w:rPr>
          <w:rFonts w:cs="Arial"/>
        </w:rPr>
        <w:t xml:space="preserve">to incorporate </w:t>
      </w:r>
      <w:r w:rsidRPr="00BE5A71">
        <w:rPr>
          <w:rFonts w:cs="Arial"/>
        </w:rPr>
        <w:t>fat-soluble nutrients is likely to result in the same gastrointestinal absorption of these nutrients as occurs with the use of</w:t>
      </w:r>
      <w:r>
        <w:rPr>
          <w:rFonts w:cs="Arial"/>
        </w:rPr>
        <w:t xml:space="preserve"> another common </w:t>
      </w:r>
      <w:r w:rsidR="00351AF4">
        <w:rPr>
          <w:rFonts w:cs="Arial"/>
        </w:rPr>
        <w:t>substance</w:t>
      </w:r>
      <w:r w:rsidR="00871C7F">
        <w:rPr>
          <w:rFonts w:cs="Arial"/>
        </w:rPr>
        <w:t xml:space="preserve"> (gelatine)</w:t>
      </w:r>
      <w:r>
        <w:rPr>
          <w:rFonts w:cs="Arial"/>
        </w:rPr>
        <w:t xml:space="preserve">. </w:t>
      </w:r>
      <w:r w:rsidRPr="00BE5A71">
        <w:rPr>
          <w:rFonts w:cs="Arial"/>
        </w:rPr>
        <w:t>There is also indirect evidence suggesting that calcium lignosulphonate (40-65) presents fat-soluble nutrients to the gastrointestinal system in an arrangement that allows for normal digestion and absorption of these nutrients.</w:t>
      </w:r>
    </w:p>
    <w:p w:rsidR="000C51C7" w:rsidRPr="00BE5A71" w:rsidRDefault="000C51C7" w:rsidP="000C51C7">
      <w:pPr>
        <w:rPr>
          <w:rFonts w:cs="Arial"/>
        </w:rPr>
      </w:pPr>
    </w:p>
    <w:p w:rsidR="000C51C7" w:rsidRPr="00BE5A71" w:rsidRDefault="000C51C7" w:rsidP="000C51C7">
      <w:pPr>
        <w:rPr>
          <w:rFonts w:cs="Arial"/>
        </w:rPr>
      </w:pPr>
      <w:r w:rsidRPr="00BE5A71">
        <w:rPr>
          <w:rFonts w:cs="Arial"/>
        </w:rPr>
        <w:t>The use of calcium lignosulphonate (40-65) could result in the capture of fat-soluble nutrients from other dietary sources into a calcium ligno</w:t>
      </w:r>
      <w:r>
        <w:rPr>
          <w:rFonts w:cs="Arial"/>
        </w:rPr>
        <w:t>sulphonate (40-65) oil mixture.</w:t>
      </w:r>
      <w:r w:rsidRPr="00BE5A71">
        <w:rPr>
          <w:rFonts w:cs="Arial"/>
        </w:rPr>
        <w:t xml:space="preserve"> However, this scenario is unlikely to result in any interference with the normal digestion and absorption of these nutrients.</w:t>
      </w:r>
    </w:p>
    <w:p w:rsidR="000C51C7" w:rsidRPr="00BE5A71" w:rsidRDefault="000C51C7" w:rsidP="000C51C7">
      <w:pPr>
        <w:rPr>
          <w:rFonts w:cs="Arial"/>
        </w:rPr>
      </w:pPr>
    </w:p>
    <w:p w:rsidR="0068631F" w:rsidRDefault="000C51C7" w:rsidP="0068631F">
      <w:r>
        <w:t xml:space="preserve">To summarise, FSANZ concludes that </w:t>
      </w:r>
      <w:r w:rsidR="00A53A9E">
        <w:t xml:space="preserve">use of </w:t>
      </w:r>
      <w:r w:rsidRPr="00B9554F">
        <w:t xml:space="preserve">calcium lignosulphonate (40-65) </w:t>
      </w:r>
      <w:r>
        <w:t xml:space="preserve">as a food additive to assist the incorporation of oil soluble </w:t>
      </w:r>
      <w:r w:rsidR="00C50E69">
        <w:t xml:space="preserve">and dispersible </w:t>
      </w:r>
      <w:r>
        <w:t>vitamins and carotenoids to aqueous foods</w:t>
      </w:r>
      <w:r w:rsidR="00E61851" w:rsidRPr="00E61851">
        <w:t xml:space="preserve"> </w:t>
      </w:r>
      <w:r w:rsidR="00A53A9E">
        <w:t xml:space="preserve">is technologically justified </w:t>
      </w:r>
      <w:r w:rsidR="00E61851">
        <w:t xml:space="preserve">and </w:t>
      </w:r>
      <w:r w:rsidR="00A53A9E">
        <w:t xml:space="preserve">is </w:t>
      </w:r>
      <w:r w:rsidR="00E61851">
        <w:t>consistent with the purp</w:t>
      </w:r>
      <w:r w:rsidR="00351AF4">
        <w:t xml:space="preserve">ose proposed by the Applicant. </w:t>
      </w:r>
      <w:r w:rsidR="0068631F">
        <w:br w:type="page"/>
      </w:r>
    </w:p>
    <w:p w:rsidR="000C51C7" w:rsidRDefault="000C51C7" w:rsidP="0068631F">
      <w:r>
        <w:lastRenderedPageBreak/>
        <w:t>There are no public health and safety concerns with approving the substance as a food additive.</w:t>
      </w:r>
    </w:p>
    <w:p w:rsidR="000C51C7" w:rsidRPr="00DC6570" w:rsidRDefault="000C51C7" w:rsidP="000C51C7">
      <w:pPr>
        <w:autoSpaceDE w:val="0"/>
        <w:autoSpaceDN w:val="0"/>
        <w:adjustRightInd w:val="0"/>
        <w:rPr>
          <w:rFonts w:cs="Arial"/>
        </w:rPr>
      </w:pPr>
    </w:p>
    <w:p w:rsidR="000C51C7" w:rsidRPr="00203F5F" w:rsidRDefault="000C51C7" w:rsidP="000C51C7">
      <w:pPr>
        <w:keepNext/>
        <w:keepLines/>
        <w:widowControl/>
        <w:autoSpaceDE w:val="0"/>
        <w:autoSpaceDN w:val="0"/>
        <w:adjustRightInd w:val="0"/>
        <w:rPr>
          <w:rFonts w:cs="Arial"/>
          <w:b/>
        </w:rPr>
      </w:pPr>
      <w:r>
        <w:rPr>
          <w:rFonts w:cs="Arial"/>
          <w:b/>
        </w:rPr>
        <w:t>Risk Management</w:t>
      </w:r>
    </w:p>
    <w:p w:rsidR="000C51C7" w:rsidRDefault="000C51C7" w:rsidP="000C51C7">
      <w:pPr>
        <w:keepNext/>
        <w:keepLines/>
        <w:widowControl/>
        <w:autoSpaceDE w:val="0"/>
        <w:autoSpaceDN w:val="0"/>
        <w:adjustRightInd w:val="0"/>
        <w:rPr>
          <w:rFonts w:cs="Arial"/>
        </w:rPr>
      </w:pPr>
    </w:p>
    <w:p w:rsidR="000C51C7" w:rsidRDefault="000C51C7" w:rsidP="000C51C7">
      <w:pPr>
        <w:keepNext/>
        <w:keepLines/>
        <w:widowControl/>
        <w:autoSpaceDE w:val="0"/>
        <w:autoSpaceDN w:val="0"/>
        <w:adjustRightInd w:val="0"/>
        <w:rPr>
          <w:rFonts w:cs="Arial"/>
        </w:rPr>
      </w:pPr>
      <w:r>
        <w:rPr>
          <w:rFonts w:cs="Arial"/>
        </w:rPr>
        <w:t xml:space="preserve">When the proposed purpose of the Application is considered, the risk assessment concludes that </w:t>
      </w:r>
      <w:r w:rsidRPr="00203F5F">
        <w:rPr>
          <w:rFonts w:cs="Arial"/>
        </w:rPr>
        <w:t xml:space="preserve">calcium lignosulphonate (40-65) </w:t>
      </w:r>
      <w:r>
        <w:rPr>
          <w:rFonts w:cs="Arial"/>
        </w:rPr>
        <w:t>acts as a food additive</w:t>
      </w:r>
      <w:r w:rsidR="008F588C">
        <w:rPr>
          <w:rStyle w:val="FootnoteReference"/>
          <w:rFonts w:cs="Arial"/>
        </w:rPr>
        <w:footnoteReference w:id="1"/>
      </w:r>
      <w:r>
        <w:rPr>
          <w:rFonts w:cs="Arial"/>
        </w:rPr>
        <w:t xml:space="preserve"> and not as a processing aid</w:t>
      </w:r>
      <w:r w:rsidR="008F588C">
        <w:rPr>
          <w:rStyle w:val="FootnoteReference"/>
          <w:rFonts w:cs="Arial"/>
        </w:rPr>
        <w:footnoteReference w:id="2"/>
      </w:r>
      <w:r>
        <w:rPr>
          <w:rFonts w:cs="Arial"/>
        </w:rPr>
        <w:t xml:space="preserve">. </w:t>
      </w:r>
      <w:r w:rsidRPr="00775342">
        <w:rPr>
          <w:rFonts w:cs="Arial"/>
        </w:rPr>
        <w:t xml:space="preserve">The reason for this conclusion is that calcium lignosulphonate (40-65) performs a technological function in the final food, not just during the processing of the food (further explained in </w:t>
      </w:r>
      <w:r w:rsidR="00B516C8">
        <w:rPr>
          <w:rFonts w:cs="Arial"/>
        </w:rPr>
        <w:t>S</w:t>
      </w:r>
      <w:r w:rsidRPr="00775342">
        <w:rPr>
          <w:rFonts w:cs="Arial"/>
        </w:rPr>
        <w:t>ection 2.2). The</w:t>
      </w:r>
      <w:r>
        <w:rPr>
          <w:rFonts w:cs="Arial"/>
        </w:rPr>
        <w:t xml:space="preserve"> risk assessment further concluded that </w:t>
      </w:r>
      <w:r w:rsidR="00E61851">
        <w:rPr>
          <w:rFonts w:cs="Arial"/>
        </w:rPr>
        <w:t>when used</w:t>
      </w:r>
      <w:r>
        <w:rPr>
          <w:rFonts w:cs="Arial"/>
        </w:rPr>
        <w:t xml:space="preserve"> as proposed by the Applicant</w:t>
      </w:r>
      <w:r w:rsidR="00E61851">
        <w:rPr>
          <w:rFonts w:cs="Arial"/>
        </w:rPr>
        <w:t xml:space="preserve">, dietary modelling produced exposures </w:t>
      </w:r>
      <w:r>
        <w:rPr>
          <w:rFonts w:cs="Arial"/>
        </w:rPr>
        <w:t xml:space="preserve">for the highest consumers of the substance </w:t>
      </w:r>
      <w:r w:rsidR="00E61851">
        <w:rPr>
          <w:rFonts w:cs="Arial"/>
        </w:rPr>
        <w:t xml:space="preserve">that were </w:t>
      </w:r>
      <w:r w:rsidR="00D562A6">
        <w:rPr>
          <w:rFonts w:cs="Arial"/>
        </w:rPr>
        <w:t xml:space="preserve">less than </w:t>
      </w:r>
      <w:r>
        <w:rPr>
          <w:rFonts w:cs="Arial"/>
        </w:rPr>
        <w:t xml:space="preserve">30% </w:t>
      </w:r>
      <w:r w:rsidR="00D562A6">
        <w:rPr>
          <w:rFonts w:cs="Arial"/>
        </w:rPr>
        <w:t xml:space="preserve">of </w:t>
      </w:r>
      <w:r>
        <w:rPr>
          <w:rFonts w:cs="Arial"/>
        </w:rPr>
        <w:t xml:space="preserve">the determined reference health standard (i.e. the ADI). FSANZ therefore determined that it is appropriate to permit </w:t>
      </w:r>
      <w:r w:rsidRPr="003A6F7E">
        <w:rPr>
          <w:rFonts w:cs="Arial"/>
        </w:rPr>
        <w:t xml:space="preserve">calcium lignosulphonate (40-65) </w:t>
      </w:r>
      <w:r>
        <w:rPr>
          <w:rFonts w:cs="Arial"/>
        </w:rPr>
        <w:t xml:space="preserve">as a generally permitted food additive that can be used under conditions of Good Manufacturing Practice (GMP) in </w:t>
      </w:r>
      <w:r w:rsidR="001D0D2E">
        <w:rPr>
          <w:rFonts w:cs="Arial"/>
        </w:rPr>
        <w:t>certain</w:t>
      </w:r>
      <w:r>
        <w:rPr>
          <w:rFonts w:cs="Arial"/>
        </w:rPr>
        <w:t xml:space="preserve"> processed foods. </w:t>
      </w:r>
      <w:r w:rsidR="00FA3F1D">
        <w:rPr>
          <w:rFonts w:cs="Arial"/>
        </w:rPr>
        <w:t>Accordingly</w:t>
      </w:r>
      <w:r>
        <w:rPr>
          <w:rFonts w:cs="Arial"/>
        </w:rPr>
        <w:t xml:space="preserve">, </w:t>
      </w:r>
      <w:r w:rsidR="00E61851">
        <w:rPr>
          <w:rFonts w:cs="Arial"/>
        </w:rPr>
        <w:t xml:space="preserve">it is appropriate </w:t>
      </w:r>
      <w:r>
        <w:rPr>
          <w:rFonts w:cs="Arial"/>
        </w:rPr>
        <w:t xml:space="preserve">the substance is added to Schedule 2 of Standard 1.3.1. The permission </w:t>
      </w:r>
      <w:r w:rsidR="008C786C">
        <w:rPr>
          <w:rFonts w:cs="Arial"/>
        </w:rPr>
        <w:t>is</w:t>
      </w:r>
      <w:r>
        <w:rPr>
          <w:rFonts w:cs="Arial"/>
        </w:rPr>
        <w:t xml:space="preserve"> comparable to those permitted for alternative food additives used for the same purpose. This permission also requires consequential changes to Schedule 2 of Standard 1.2.4 – Labelling of Ingredients.</w:t>
      </w:r>
    </w:p>
    <w:p w:rsidR="000C51C7" w:rsidRDefault="000C51C7" w:rsidP="000C51C7">
      <w:pPr>
        <w:autoSpaceDE w:val="0"/>
        <w:autoSpaceDN w:val="0"/>
        <w:adjustRightInd w:val="0"/>
        <w:rPr>
          <w:rFonts w:cs="Arial"/>
        </w:rPr>
      </w:pPr>
    </w:p>
    <w:p w:rsidR="000C51C7" w:rsidRDefault="000C51C7" w:rsidP="000C51C7">
      <w:pPr>
        <w:autoSpaceDE w:val="0"/>
        <w:autoSpaceDN w:val="0"/>
        <w:adjustRightInd w:val="0"/>
        <w:rPr>
          <w:rFonts w:cs="Arial"/>
        </w:rPr>
      </w:pPr>
      <w:r>
        <w:rPr>
          <w:rFonts w:cs="Arial"/>
        </w:rPr>
        <w:t xml:space="preserve">Food additives are required to be labelled when they are added to processed foods, which will be the case for </w:t>
      </w:r>
      <w:r w:rsidRPr="00EE5E7B">
        <w:rPr>
          <w:rFonts w:cs="Arial"/>
        </w:rPr>
        <w:t>calcium lignosulph</w:t>
      </w:r>
      <w:r>
        <w:rPr>
          <w:rFonts w:cs="Arial"/>
        </w:rPr>
        <w:t>onate (40-65). In contrast</w:t>
      </w:r>
      <w:r w:rsidR="00E61851">
        <w:rPr>
          <w:rFonts w:cs="Arial"/>
        </w:rPr>
        <w:t>,</w:t>
      </w:r>
      <w:r>
        <w:rPr>
          <w:rFonts w:cs="Arial"/>
        </w:rPr>
        <w:t xml:space="preserve"> processing aids are exempted from labelling. </w:t>
      </w:r>
      <w:r w:rsidRPr="00775342">
        <w:rPr>
          <w:rFonts w:cs="Arial"/>
        </w:rPr>
        <w:t xml:space="preserve">Therefore, there are labelling implications from FSANZ’s </w:t>
      </w:r>
      <w:r w:rsidR="008C786C">
        <w:rPr>
          <w:rFonts w:cs="Arial"/>
        </w:rPr>
        <w:t>decision</w:t>
      </w:r>
      <w:r w:rsidRPr="00775342">
        <w:rPr>
          <w:rFonts w:cs="Arial"/>
        </w:rPr>
        <w:t xml:space="preserve"> to permit the substance as a food additive and not </w:t>
      </w:r>
      <w:r w:rsidR="00FA3F1D">
        <w:rPr>
          <w:rFonts w:cs="Arial"/>
        </w:rPr>
        <w:t xml:space="preserve">as </w:t>
      </w:r>
      <w:r w:rsidRPr="00775342">
        <w:rPr>
          <w:rFonts w:cs="Arial"/>
        </w:rPr>
        <w:t>a processing aid.</w:t>
      </w:r>
    </w:p>
    <w:p w:rsidR="000C51C7" w:rsidRDefault="000C51C7" w:rsidP="000C51C7">
      <w:pPr>
        <w:autoSpaceDE w:val="0"/>
        <w:autoSpaceDN w:val="0"/>
        <w:adjustRightInd w:val="0"/>
        <w:rPr>
          <w:rFonts w:cs="Arial"/>
        </w:rPr>
      </w:pPr>
    </w:p>
    <w:p w:rsidR="000C51C7" w:rsidRPr="00D60568" w:rsidRDefault="000C51C7" w:rsidP="000C51C7">
      <w:pPr>
        <w:rPr>
          <w:rFonts w:cs="Arial"/>
          <w:b/>
        </w:rPr>
      </w:pPr>
      <w:r w:rsidRPr="00D60568">
        <w:rPr>
          <w:rFonts w:cs="Arial"/>
          <w:b/>
        </w:rPr>
        <w:t xml:space="preserve">Assessing the </w:t>
      </w:r>
      <w:r>
        <w:rPr>
          <w:rFonts w:cs="Arial"/>
          <w:b/>
        </w:rPr>
        <w:t>Application</w:t>
      </w:r>
    </w:p>
    <w:p w:rsidR="000C51C7" w:rsidRPr="00DC6570" w:rsidRDefault="000C51C7" w:rsidP="000C51C7">
      <w:pPr>
        <w:rPr>
          <w:rFonts w:cs="Arial"/>
        </w:rPr>
      </w:pPr>
    </w:p>
    <w:p w:rsidR="000C51C7" w:rsidRPr="00DC6570" w:rsidRDefault="000C51C7" w:rsidP="000C51C7">
      <w:pPr>
        <w:rPr>
          <w:rFonts w:cs="Arial"/>
        </w:rPr>
      </w:pPr>
      <w:r>
        <w:rPr>
          <w:rFonts w:cs="Arial"/>
        </w:rPr>
        <w:t>In assessing the Application</w:t>
      </w:r>
      <w:r w:rsidRPr="00DC6570">
        <w:rPr>
          <w:rFonts w:cs="Arial"/>
        </w:rPr>
        <w:t xml:space="preserve"> </w:t>
      </w:r>
      <w:r w:rsidRPr="00820959">
        <w:rPr>
          <w:rFonts w:cs="Arial"/>
        </w:rPr>
        <w:t>and the subsequent development of a food regulatory measure,</w:t>
      </w:r>
      <w:r w:rsidRPr="00DC6570">
        <w:rPr>
          <w:rFonts w:cs="Arial"/>
        </w:rPr>
        <w:t xml:space="preserve"> FSANZ has had regard to the following matters as prescribed in section </w:t>
      </w:r>
      <w:r w:rsidRPr="00820959">
        <w:rPr>
          <w:rFonts w:cs="Arial"/>
        </w:rPr>
        <w:t xml:space="preserve">29 </w:t>
      </w:r>
      <w:r w:rsidRPr="00DC6570">
        <w:rPr>
          <w:rFonts w:cs="Arial"/>
        </w:rPr>
        <w:t xml:space="preserve">of the </w:t>
      </w:r>
      <w:r w:rsidRPr="00DC6570">
        <w:rPr>
          <w:rFonts w:cs="Arial"/>
          <w:i/>
        </w:rPr>
        <w:t>Food Standards Australia New Zealand Act 1991</w:t>
      </w:r>
      <w:r w:rsidRPr="00DC6570">
        <w:rPr>
          <w:rFonts w:cs="Arial"/>
        </w:rPr>
        <w:t xml:space="preserve"> (FSANZ Act):</w:t>
      </w:r>
    </w:p>
    <w:p w:rsidR="000C51C7" w:rsidRPr="00DC6570" w:rsidRDefault="000C51C7" w:rsidP="000C51C7">
      <w:pPr>
        <w:rPr>
          <w:rFonts w:cs="Arial"/>
        </w:rPr>
      </w:pPr>
    </w:p>
    <w:p w:rsidR="000C51C7" w:rsidRPr="00DC6570" w:rsidRDefault="000C51C7" w:rsidP="000C51C7">
      <w:pPr>
        <w:pStyle w:val="FSBullet"/>
      </w:pPr>
      <w:r w:rsidRPr="00DC6570">
        <w:t xml:space="preserve">Whether costs that would arise from a food regulatory measure developed or varied as a result of the </w:t>
      </w:r>
      <w:r>
        <w:t>Application</w:t>
      </w:r>
      <w:r w:rsidRPr="00DC6570">
        <w:t xml:space="preserve"> outweigh the direct and indirect benefits to the commun</w:t>
      </w:r>
      <w:r w:rsidRPr="00D60568">
        <w:t>ity, Government or industry that would arise from the development or variation of the food regulatory measure</w:t>
      </w:r>
      <w:r>
        <w:t xml:space="preserve"> to permit calcium lignosulphonate (40-65) as a </w:t>
      </w:r>
      <w:r w:rsidR="008C786C">
        <w:t>food additive</w:t>
      </w:r>
      <w:r>
        <w:t xml:space="preserve"> to add </w:t>
      </w:r>
      <w:r w:rsidR="00504CD7">
        <w:t>fat</w:t>
      </w:r>
      <w:r>
        <w:t>-soluble vitamins and carotenoids to water</w:t>
      </w:r>
      <w:r w:rsidR="001F039F">
        <w:t>-</w:t>
      </w:r>
      <w:r>
        <w:t>based food.</w:t>
      </w:r>
      <w:r w:rsidRPr="00DC6570">
        <w:t xml:space="preserve"> </w:t>
      </w:r>
    </w:p>
    <w:p w:rsidR="000C51C7" w:rsidRPr="00DC6570" w:rsidRDefault="000C51C7" w:rsidP="000C51C7">
      <w:pPr>
        <w:rPr>
          <w:rFonts w:cs="Arial"/>
        </w:rPr>
      </w:pPr>
    </w:p>
    <w:p w:rsidR="000C51C7" w:rsidRPr="00DC6570" w:rsidRDefault="000C51C7" w:rsidP="000C51C7">
      <w:pPr>
        <w:pStyle w:val="FSBullet"/>
      </w:pPr>
      <w:r>
        <w:t xml:space="preserve">Whether other </w:t>
      </w:r>
      <w:r w:rsidRPr="00DC6570">
        <w:t xml:space="preserve">measures </w:t>
      </w:r>
      <w:r>
        <w:t xml:space="preserve">(available to the Authority or not) </w:t>
      </w:r>
      <w:r w:rsidRPr="00DC6570">
        <w:t xml:space="preserve">would be more cost-effective than a variation to Standard </w:t>
      </w:r>
      <w:r>
        <w:t xml:space="preserve">1.3.1 </w:t>
      </w:r>
      <w:r w:rsidRPr="00DC6570">
        <w:t>that could achieve the same end.</w:t>
      </w:r>
    </w:p>
    <w:p w:rsidR="000C51C7" w:rsidRPr="00DC6570" w:rsidRDefault="000C51C7" w:rsidP="000C51C7">
      <w:pPr>
        <w:rPr>
          <w:rFonts w:cs="Arial"/>
        </w:rPr>
      </w:pPr>
    </w:p>
    <w:p w:rsidR="000C51C7" w:rsidRPr="00DC6570" w:rsidRDefault="000C51C7" w:rsidP="000C51C7">
      <w:pPr>
        <w:pStyle w:val="FSBullet"/>
      </w:pPr>
      <w:r>
        <w:t>Any</w:t>
      </w:r>
      <w:r w:rsidRPr="00DC6570">
        <w:t xml:space="preserve"> relevant N</w:t>
      </w:r>
      <w:r w:rsidRPr="00D60568">
        <w:t>ew Zealand standards</w:t>
      </w:r>
      <w:r>
        <w:t>.</w:t>
      </w:r>
    </w:p>
    <w:p w:rsidR="000C51C7" w:rsidRPr="00DC6570" w:rsidRDefault="000C51C7" w:rsidP="000C51C7">
      <w:pPr>
        <w:rPr>
          <w:rFonts w:cs="Arial"/>
        </w:rPr>
      </w:pPr>
    </w:p>
    <w:p w:rsidR="000C51C7" w:rsidRPr="00DC6570" w:rsidRDefault="000C51C7" w:rsidP="000C51C7">
      <w:pPr>
        <w:pStyle w:val="FSBullet"/>
      </w:pPr>
      <w:r>
        <w:t>Any other</w:t>
      </w:r>
      <w:r w:rsidRPr="00DC6570">
        <w:t xml:space="preserve"> relevant matters</w:t>
      </w:r>
      <w:r>
        <w:t>.</w:t>
      </w:r>
    </w:p>
    <w:p w:rsidR="000C51C7" w:rsidRPr="00DC6570" w:rsidRDefault="000C51C7" w:rsidP="000C51C7">
      <w:pPr>
        <w:rPr>
          <w:rFonts w:cs="Arial"/>
        </w:rPr>
      </w:pPr>
    </w:p>
    <w:p w:rsidR="002A0194" w:rsidRPr="00D60568" w:rsidRDefault="002A0194" w:rsidP="003213F9">
      <w:pPr>
        <w:pStyle w:val="FSDecisionHeading"/>
      </w:pPr>
      <w:bookmarkStart w:id="11" w:name="_Toc120090540"/>
      <w:bookmarkStart w:id="12" w:name="_Toc120358572"/>
      <w:bookmarkStart w:id="13" w:name="_Toc120358614"/>
      <w:r w:rsidRPr="00D60568">
        <w:t>Decision</w:t>
      </w:r>
      <w:bookmarkEnd w:id="11"/>
      <w:bookmarkEnd w:id="12"/>
      <w:bookmarkEnd w:id="13"/>
    </w:p>
    <w:p w:rsidR="002A0194" w:rsidRPr="00DC6570" w:rsidRDefault="002A0194" w:rsidP="002A0194">
      <w:pPr>
        <w:pStyle w:val="FSDecisiontext"/>
        <w:rPr>
          <w:rFonts w:cs="Arial"/>
        </w:rPr>
      </w:pPr>
    </w:p>
    <w:p w:rsidR="008C786C" w:rsidRPr="00DC6570" w:rsidRDefault="008C786C" w:rsidP="00ED36E4">
      <w:pPr>
        <w:pStyle w:val="FSDecisiontext"/>
      </w:pPr>
      <w:proofErr w:type="gramStart"/>
      <w:r>
        <w:t xml:space="preserve">To </w:t>
      </w:r>
      <w:r w:rsidR="00B660E8">
        <w:t>approve</w:t>
      </w:r>
      <w:r>
        <w:t xml:space="preserve"> draft variations to Standards 1.2.4 and 1.3.1 to allow the use of calcium </w:t>
      </w:r>
      <w:r>
        <w:rPr>
          <w:rFonts w:hint="eastAsia"/>
        </w:rPr>
        <w:t>lignosulphonate</w:t>
      </w:r>
      <w:r>
        <w:t xml:space="preserve"> (40-65) as a GMP food additive.</w:t>
      </w:r>
      <w:proofErr w:type="gramEnd"/>
    </w:p>
    <w:p w:rsidR="0068631F" w:rsidRDefault="0068631F" w:rsidP="002A0194">
      <w:pPr>
        <w:rPr>
          <w:rFonts w:cs="Arial"/>
        </w:rPr>
      </w:pPr>
      <w:r>
        <w:rPr>
          <w:rFonts w:cs="Arial"/>
        </w:rPr>
        <w:br w:type="page"/>
      </w:r>
    </w:p>
    <w:p w:rsidR="002A0194" w:rsidRPr="00D60568" w:rsidRDefault="002A0194" w:rsidP="008C786C">
      <w:pPr>
        <w:keepNext/>
        <w:keepLines/>
        <w:widowControl/>
        <w:rPr>
          <w:rFonts w:cs="Arial"/>
          <w:b/>
          <w:bCs/>
        </w:rPr>
      </w:pPr>
      <w:bookmarkStart w:id="14" w:name="_Toc120090541"/>
      <w:bookmarkStart w:id="15" w:name="_Toc120358573"/>
      <w:bookmarkStart w:id="16" w:name="_Toc120358615"/>
      <w:r w:rsidRPr="00D60568">
        <w:rPr>
          <w:rFonts w:cs="Arial"/>
          <w:b/>
          <w:bCs/>
        </w:rPr>
        <w:lastRenderedPageBreak/>
        <w:t>Reasons for Decision</w:t>
      </w:r>
      <w:bookmarkEnd w:id="14"/>
      <w:bookmarkEnd w:id="15"/>
      <w:bookmarkEnd w:id="16"/>
    </w:p>
    <w:p w:rsidR="008C786C" w:rsidRPr="00AE244A" w:rsidRDefault="008C786C" w:rsidP="008C786C">
      <w:pPr>
        <w:keepNext/>
        <w:keepLines/>
        <w:widowControl/>
        <w:rPr>
          <w:rFonts w:cs="Arial"/>
        </w:rPr>
      </w:pPr>
      <w:bookmarkStart w:id="17" w:name="_Toc120090542"/>
      <w:bookmarkStart w:id="18" w:name="_Toc120358574"/>
      <w:bookmarkStart w:id="19" w:name="_Toc120358616"/>
    </w:p>
    <w:p w:rsidR="008C786C" w:rsidRPr="00AE244A" w:rsidRDefault="008C786C" w:rsidP="0068631F">
      <w:pPr>
        <w:pStyle w:val="FSBullet"/>
      </w:pPr>
      <w:r w:rsidRPr="00AE244A">
        <w:t xml:space="preserve">The </w:t>
      </w:r>
      <w:r>
        <w:t>R</w:t>
      </w:r>
      <w:r w:rsidRPr="00AE244A">
        <w:t xml:space="preserve">isk </w:t>
      </w:r>
      <w:r>
        <w:t>A</w:t>
      </w:r>
      <w:r w:rsidRPr="00AE244A">
        <w:t xml:space="preserve">ssessment </w:t>
      </w:r>
      <w:r>
        <w:t>R</w:t>
      </w:r>
      <w:r w:rsidRPr="00AE244A">
        <w:t xml:space="preserve">eport concludes that for the purpose proposed by the </w:t>
      </w:r>
      <w:r>
        <w:t>Applicant,</w:t>
      </w:r>
      <w:r w:rsidRPr="00AE244A">
        <w:t xml:space="preserve"> the substance has a technological function as a food additive and not as a processing aid as requested by the </w:t>
      </w:r>
      <w:r>
        <w:t>Applicant</w:t>
      </w:r>
      <w:r w:rsidRPr="00AE244A">
        <w:t>.</w:t>
      </w:r>
    </w:p>
    <w:p w:rsidR="008C786C" w:rsidRDefault="008C786C" w:rsidP="008C786C">
      <w:pPr>
        <w:widowControl/>
      </w:pPr>
    </w:p>
    <w:p w:rsidR="008C786C" w:rsidRPr="00AE244A" w:rsidRDefault="008C786C" w:rsidP="0068631F">
      <w:pPr>
        <w:pStyle w:val="FSBullet"/>
      </w:pPr>
      <w:r w:rsidRPr="00AE244A">
        <w:t xml:space="preserve">The </w:t>
      </w:r>
      <w:r>
        <w:t>risk</w:t>
      </w:r>
      <w:r w:rsidRPr="00AE244A">
        <w:t xml:space="preserve"> assessment concluded that </w:t>
      </w:r>
      <w:r w:rsidR="00B31F9F">
        <w:t>w</w:t>
      </w:r>
      <w:r w:rsidR="00E61851">
        <w:t xml:space="preserve">hile </w:t>
      </w:r>
      <w:r w:rsidRPr="00AE244A">
        <w:t xml:space="preserve">there is a need to establish an ADI </w:t>
      </w:r>
      <w:r>
        <w:t>for the substance</w:t>
      </w:r>
      <w:r w:rsidR="00FA3F1D">
        <w:t>,</w:t>
      </w:r>
      <w:r>
        <w:t xml:space="preserve"> </w:t>
      </w:r>
      <w:r w:rsidRPr="00AE244A">
        <w:t xml:space="preserve">the </w:t>
      </w:r>
      <w:r>
        <w:t>d</w:t>
      </w:r>
      <w:r w:rsidRPr="00AE244A">
        <w:t xml:space="preserve">ietary </w:t>
      </w:r>
      <w:r>
        <w:t>e</w:t>
      </w:r>
      <w:r w:rsidRPr="00AE244A">
        <w:t xml:space="preserve">xposure </w:t>
      </w:r>
      <w:r>
        <w:t>a</w:t>
      </w:r>
      <w:r w:rsidRPr="00AE244A">
        <w:t>ssessment concluded that it is safe to be added to water</w:t>
      </w:r>
      <w:r w:rsidR="006B4106">
        <w:t>-</w:t>
      </w:r>
      <w:r w:rsidRPr="00AE244A">
        <w:t>based foods in accordance with GMP</w:t>
      </w:r>
      <w:r>
        <w:t>. This is because</w:t>
      </w:r>
      <w:r w:rsidRPr="00AE244A">
        <w:t xml:space="preserve"> there would not be any risk of exceeding th</w:t>
      </w:r>
      <w:r w:rsidR="00FA3F1D">
        <w:t>e</w:t>
      </w:r>
      <w:r w:rsidRPr="00AE244A">
        <w:t xml:space="preserve"> reference health standard for the Australia and New Zealand populations.</w:t>
      </w:r>
    </w:p>
    <w:p w:rsidR="008C786C" w:rsidRPr="00AE244A" w:rsidRDefault="008C786C" w:rsidP="008C786C">
      <w:pPr>
        <w:pStyle w:val="FSBullet"/>
        <w:numPr>
          <w:ilvl w:val="0"/>
          <w:numId w:val="0"/>
        </w:numPr>
        <w:ind w:left="567"/>
      </w:pPr>
    </w:p>
    <w:p w:rsidR="008C786C" w:rsidRPr="00AE244A" w:rsidRDefault="008C786C" w:rsidP="008C786C">
      <w:pPr>
        <w:pStyle w:val="FSBullet"/>
      </w:pPr>
      <w:r w:rsidRPr="00AE244A">
        <w:t xml:space="preserve">The </w:t>
      </w:r>
      <w:r>
        <w:t>risk assessment</w:t>
      </w:r>
      <w:r w:rsidRPr="00AE244A">
        <w:t xml:space="preserve"> concludes that there are no detrimental nutritional </w:t>
      </w:r>
      <w:r>
        <w:t>outcomes from</w:t>
      </w:r>
      <w:r w:rsidRPr="00AE244A">
        <w:t xml:space="preserve"> adding the substance to food.</w:t>
      </w:r>
    </w:p>
    <w:p w:rsidR="008C786C" w:rsidRPr="00AE244A" w:rsidRDefault="008C786C" w:rsidP="008C786C">
      <w:pPr>
        <w:rPr>
          <w:rFonts w:cs="Arial"/>
        </w:rPr>
      </w:pPr>
    </w:p>
    <w:p w:rsidR="008C786C" w:rsidRDefault="008C786C" w:rsidP="0068631F">
      <w:pPr>
        <w:pStyle w:val="FSBullet"/>
      </w:pPr>
      <w:r w:rsidRPr="00AE244A">
        <w:t>Permitting use of the substance would not impose significant</w:t>
      </w:r>
      <w:r w:rsidRPr="00B731D0">
        <w:t xml:space="preserve"> costs for government agencies, consumers or manufacturers.</w:t>
      </w:r>
    </w:p>
    <w:p w:rsidR="008C786C" w:rsidRPr="008826A6" w:rsidRDefault="008C786C" w:rsidP="008C786C">
      <w:pPr>
        <w:pStyle w:val="FSBullet"/>
        <w:numPr>
          <w:ilvl w:val="0"/>
          <w:numId w:val="0"/>
        </w:numPr>
        <w:ind w:left="567"/>
      </w:pPr>
    </w:p>
    <w:p w:rsidR="008C786C" w:rsidRDefault="008C786C" w:rsidP="008C786C">
      <w:pPr>
        <w:pStyle w:val="FSBullet"/>
      </w:pPr>
      <w:r w:rsidRPr="00B731D0">
        <w:t>The draft variation</w:t>
      </w:r>
      <w:r>
        <w:t>s</w:t>
      </w:r>
      <w:r w:rsidRPr="00B731D0">
        <w:t xml:space="preserve"> to the Code </w:t>
      </w:r>
      <w:r>
        <w:t>are</w:t>
      </w:r>
      <w:r w:rsidRPr="00B731D0">
        <w:t xml:space="preserve"> consistent with the section 18 objectives of the FSANZ Act. </w:t>
      </w:r>
    </w:p>
    <w:p w:rsidR="008C786C" w:rsidRPr="008826A6" w:rsidRDefault="008C786C" w:rsidP="008C786C">
      <w:pPr>
        <w:pStyle w:val="FSBullet"/>
        <w:numPr>
          <w:ilvl w:val="0"/>
          <w:numId w:val="0"/>
        </w:numPr>
        <w:ind w:left="567"/>
      </w:pPr>
    </w:p>
    <w:p w:rsidR="008C786C" w:rsidRDefault="008C786C" w:rsidP="008C786C">
      <w:pPr>
        <w:pStyle w:val="FSBullet"/>
      </w:pPr>
      <w:r w:rsidRPr="00B731D0">
        <w:t>There are no relevant New Zealand standards.</w:t>
      </w:r>
    </w:p>
    <w:p w:rsidR="008C786C" w:rsidRPr="008C786C" w:rsidRDefault="008C786C" w:rsidP="008C786C"/>
    <w:p w:rsidR="002A0194" w:rsidRPr="00D60568" w:rsidRDefault="002A0194" w:rsidP="002A0194">
      <w:pPr>
        <w:rPr>
          <w:rFonts w:cs="Arial"/>
          <w:b/>
          <w:bCs/>
        </w:rPr>
      </w:pPr>
      <w:r w:rsidRPr="00D60568">
        <w:rPr>
          <w:rFonts w:cs="Arial"/>
          <w:b/>
          <w:bCs/>
        </w:rPr>
        <w:t>Consultation</w:t>
      </w:r>
      <w:bookmarkEnd w:id="17"/>
      <w:bookmarkEnd w:id="18"/>
      <w:bookmarkEnd w:id="19"/>
    </w:p>
    <w:p w:rsidR="002A0194" w:rsidRDefault="002A0194" w:rsidP="002A0194">
      <w:pPr>
        <w:rPr>
          <w:rFonts w:cs="Arial"/>
        </w:rPr>
      </w:pPr>
    </w:p>
    <w:p w:rsidR="00665EE7" w:rsidRDefault="00665EE7" w:rsidP="00665EE7">
      <w:pPr>
        <w:rPr>
          <w:rFonts w:cs="Arial"/>
        </w:rPr>
      </w:pPr>
      <w:r>
        <w:rPr>
          <w:rFonts w:cs="Arial"/>
        </w:rPr>
        <w:t xml:space="preserve">As this Application was assessed </w:t>
      </w:r>
      <w:r w:rsidR="0068631F">
        <w:rPr>
          <w:rFonts w:cs="Arial"/>
        </w:rPr>
        <w:t>under the General P</w:t>
      </w:r>
      <w:r>
        <w:rPr>
          <w:rFonts w:cs="Arial"/>
        </w:rPr>
        <w:t xml:space="preserve">rocedure, there was one round of public comment following the preparation of the Assessment Report. The Assessment Report was available for public comment between 15 December 2010 and 9 February 2011. </w:t>
      </w:r>
      <w:r w:rsidR="00644CAB">
        <w:rPr>
          <w:rFonts w:cs="Arial"/>
        </w:rPr>
        <w:t>Five</w:t>
      </w:r>
      <w:r>
        <w:rPr>
          <w:rFonts w:cs="Arial"/>
        </w:rPr>
        <w:t xml:space="preserve"> comments were received, which have been summarised in </w:t>
      </w:r>
      <w:r w:rsidRPr="00665EE7">
        <w:rPr>
          <w:rFonts w:cs="Arial"/>
          <w:b/>
        </w:rPr>
        <w:t>Attachment 2</w:t>
      </w:r>
      <w:r>
        <w:rPr>
          <w:rFonts w:cs="Arial"/>
        </w:rPr>
        <w:t>, while issues raised have been addressed and used to finalise this Approval Report.</w:t>
      </w:r>
    </w:p>
    <w:p w:rsidR="00665EE7" w:rsidRPr="00DC6570" w:rsidRDefault="00665EE7" w:rsidP="002A0194">
      <w:pPr>
        <w:rPr>
          <w:rFonts w:cs="Arial"/>
        </w:rPr>
      </w:pPr>
    </w:p>
    <w:p w:rsidR="003C4969" w:rsidRPr="00DC6570" w:rsidRDefault="003C4969">
      <w:pPr>
        <w:rPr>
          <w:rFonts w:cs="Arial"/>
        </w:rPr>
      </w:pPr>
    </w:p>
    <w:p w:rsidR="003C4969" w:rsidRPr="00DC6570" w:rsidRDefault="00ED172A">
      <w:pPr>
        <w:rPr>
          <w:rFonts w:cs="Arial"/>
        </w:rPr>
      </w:pPr>
      <w:r w:rsidRPr="00DC6570">
        <w:rPr>
          <w:rFonts w:cs="Arial"/>
          <w:color w:val="FF0000"/>
        </w:rPr>
        <w:t>.</w:t>
      </w:r>
    </w:p>
    <w:p w:rsidR="003C4969" w:rsidRPr="00DC6570" w:rsidRDefault="003C4969">
      <w:pPr>
        <w:pStyle w:val="DivisionHeading"/>
        <w:rPr>
          <w:rFonts w:cs="Arial"/>
        </w:rPr>
        <w:sectPr w:rsidR="003C4969" w:rsidRPr="00DC6570" w:rsidSect="001C27A3">
          <w:headerReference w:type="default" r:id="rId10"/>
          <w:footerReference w:type="even" r:id="rId11"/>
          <w:footerReference w:type="default" r:id="rId12"/>
          <w:headerReference w:type="first" r:id="rId13"/>
          <w:pgSz w:w="11906" w:h="16838"/>
          <w:pgMar w:top="1440" w:right="1440" w:bottom="1440" w:left="1440" w:header="709" w:footer="709" w:gutter="0"/>
          <w:pgNumType w:fmt="lowerRoman"/>
          <w:cols w:space="708"/>
          <w:docGrid w:linePitch="360"/>
        </w:sectPr>
      </w:pPr>
      <w:bookmarkStart w:id="20" w:name="_Toc11735627"/>
    </w:p>
    <w:p w:rsidR="003C4969" w:rsidRPr="00DC6570" w:rsidRDefault="003C4969">
      <w:pPr>
        <w:pStyle w:val="DivisionHeading"/>
        <w:rPr>
          <w:rFonts w:cs="Arial"/>
        </w:rPr>
      </w:pPr>
      <w:r w:rsidRPr="00DC6570">
        <w:rPr>
          <w:rFonts w:cs="Arial"/>
        </w:rPr>
        <w:lastRenderedPageBreak/>
        <w:t>CONTENTS</w:t>
      </w:r>
    </w:p>
    <w:p w:rsidR="003C4969" w:rsidRPr="00DC6570" w:rsidRDefault="003C4969">
      <w:pPr>
        <w:rPr>
          <w:rFonts w:cs="Arial"/>
        </w:rPr>
      </w:pPr>
    </w:p>
    <w:p w:rsidR="00E30F59" w:rsidRDefault="00964375">
      <w:pPr>
        <w:pStyle w:val="TOC1"/>
        <w:tabs>
          <w:tab w:val="right" w:leader="dot" w:pos="9016"/>
        </w:tabs>
        <w:rPr>
          <w:rFonts w:asciiTheme="minorHAnsi" w:eastAsiaTheme="minorEastAsia" w:hAnsiTheme="minorHAnsi" w:cstheme="minorBidi"/>
          <w:b w:val="0"/>
          <w:bCs w:val="0"/>
          <w:caps w:val="0"/>
          <w:noProof/>
          <w:szCs w:val="22"/>
          <w:lang w:eastAsia="en-GB" w:bidi="ar-SA"/>
        </w:rPr>
      </w:pPr>
      <w:r w:rsidRPr="00DC6570">
        <w:rPr>
          <w:rFonts w:cs="Arial"/>
        </w:rPr>
        <w:fldChar w:fldCharType="begin"/>
      </w:r>
      <w:r w:rsidR="003C4969" w:rsidRPr="00DC6570">
        <w:rPr>
          <w:rFonts w:cs="Arial"/>
        </w:rPr>
        <w:instrText xml:space="preserve"> TOC \o "1-3" \h \z </w:instrText>
      </w:r>
      <w:r w:rsidRPr="00DC6570">
        <w:rPr>
          <w:rFonts w:cs="Arial"/>
        </w:rPr>
        <w:fldChar w:fldCharType="separate"/>
      </w:r>
      <w:hyperlink w:anchor="_Toc288490748" w:history="1">
        <w:r w:rsidR="00E30F59" w:rsidRPr="00DD563B">
          <w:rPr>
            <w:rStyle w:val="Hyperlink"/>
            <w:noProof/>
          </w:rPr>
          <w:t>Introduction</w:t>
        </w:r>
        <w:r w:rsidR="00E30F59">
          <w:rPr>
            <w:noProof/>
            <w:webHidden/>
          </w:rPr>
          <w:tab/>
        </w:r>
        <w:r>
          <w:rPr>
            <w:noProof/>
            <w:webHidden/>
          </w:rPr>
          <w:fldChar w:fldCharType="begin"/>
        </w:r>
        <w:r w:rsidR="00E30F59">
          <w:rPr>
            <w:noProof/>
            <w:webHidden/>
          </w:rPr>
          <w:instrText xml:space="preserve"> PAGEREF _Toc288490748 \h </w:instrText>
        </w:r>
        <w:r>
          <w:rPr>
            <w:noProof/>
            <w:webHidden/>
          </w:rPr>
        </w:r>
        <w:r>
          <w:rPr>
            <w:noProof/>
            <w:webHidden/>
          </w:rPr>
          <w:fldChar w:fldCharType="separate"/>
        </w:r>
        <w:r w:rsidR="003D6859">
          <w:rPr>
            <w:noProof/>
            <w:webHidden/>
          </w:rPr>
          <w:t>2</w:t>
        </w:r>
        <w:r>
          <w:rPr>
            <w:noProof/>
            <w:webHidden/>
          </w:rPr>
          <w:fldChar w:fldCharType="end"/>
        </w:r>
      </w:hyperlink>
    </w:p>
    <w:p w:rsidR="00E30F59" w:rsidRDefault="00074C78">
      <w:pPr>
        <w:pStyle w:val="TOC2"/>
        <w:tabs>
          <w:tab w:val="left" w:pos="720"/>
          <w:tab w:val="right" w:leader="dot" w:pos="9016"/>
        </w:tabs>
        <w:rPr>
          <w:rFonts w:asciiTheme="minorHAnsi" w:eastAsiaTheme="minorEastAsia" w:hAnsiTheme="minorHAnsi" w:cstheme="minorBidi"/>
          <w:smallCaps w:val="0"/>
          <w:noProof/>
          <w:szCs w:val="22"/>
          <w:lang w:eastAsia="en-GB" w:bidi="ar-SA"/>
        </w:rPr>
      </w:pPr>
      <w:hyperlink w:anchor="_Toc288490749" w:history="1">
        <w:r w:rsidR="00E30F59" w:rsidRPr="00DD563B">
          <w:rPr>
            <w:rStyle w:val="Hyperlink"/>
            <w:rFonts w:cs="Arial"/>
            <w:noProof/>
          </w:rPr>
          <w:t>1.</w:t>
        </w:r>
        <w:r w:rsidR="00E30F59">
          <w:rPr>
            <w:rFonts w:asciiTheme="minorHAnsi" w:eastAsiaTheme="minorEastAsia" w:hAnsiTheme="minorHAnsi" w:cstheme="minorBidi"/>
            <w:smallCaps w:val="0"/>
            <w:noProof/>
            <w:szCs w:val="22"/>
            <w:lang w:eastAsia="en-GB" w:bidi="ar-SA"/>
          </w:rPr>
          <w:tab/>
        </w:r>
        <w:r w:rsidR="00E30F59" w:rsidRPr="00DD563B">
          <w:rPr>
            <w:rStyle w:val="Hyperlink"/>
            <w:rFonts w:cs="Arial"/>
            <w:noProof/>
          </w:rPr>
          <w:t>The Issue / Problem</w:t>
        </w:r>
        <w:r w:rsidR="00E30F59">
          <w:rPr>
            <w:noProof/>
            <w:webHidden/>
          </w:rPr>
          <w:tab/>
        </w:r>
        <w:r w:rsidR="00964375">
          <w:rPr>
            <w:noProof/>
            <w:webHidden/>
          </w:rPr>
          <w:fldChar w:fldCharType="begin"/>
        </w:r>
        <w:r w:rsidR="00E30F59">
          <w:rPr>
            <w:noProof/>
            <w:webHidden/>
          </w:rPr>
          <w:instrText xml:space="preserve"> PAGEREF _Toc288490749 \h </w:instrText>
        </w:r>
        <w:r w:rsidR="00964375">
          <w:rPr>
            <w:noProof/>
            <w:webHidden/>
          </w:rPr>
        </w:r>
        <w:r w:rsidR="00964375">
          <w:rPr>
            <w:noProof/>
            <w:webHidden/>
          </w:rPr>
          <w:fldChar w:fldCharType="separate"/>
        </w:r>
        <w:r w:rsidR="003D6859">
          <w:rPr>
            <w:noProof/>
            <w:webHidden/>
          </w:rPr>
          <w:t>2</w:t>
        </w:r>
        <w:r w:rsidR="00964375">
          <w:rPr>
            <w:noProof/>
            <w:webHidden/>
          </w:rPr>
          <w:fldChar w:fldCharType="end"/>
        </w:r>
      </w:hyperlink>
    </w:p>
    <w:p w:rsidR="00E30F59" w:rsidRDefault="00074C78">
      <w:pPr>
        <w:pStyle w:val="TOC2"/>
        <w:tabs>
          <w:tab w:val="left" w:pos="720"/>
          <w:tab w:val="right" w:leader="dot" w:pos="9016"/>
        </w:tabs>
        <w:rPr>
          <w:rFonts w:asciiTheme="minorHAnsi" w:eastAsiaTheme="minorEastAsia" w:hAnsiTheme="minorHAnsi" w:cstheme="minorBidi"/>
          <w:smallCaps w:val="0"/>
          <w:noProof/>
          <w:szCs w:val="22"/>
          <w:lang w:eastAsia="en-GB" w:bidi="ar-SA"/>
        </w:rPr>
      </w:pPr>
      <w:hyperlink w:anchor="_Toc288490750" w:history="1">
        <w:r w:rsidR="00E30F59" w:rsidRPr="00DD563B">
          <w:rPr>
            <w:rStyle w:val="Hyperlink"/>
            <w:rFonts w:cs="Arial"/>
            <w:noProof/>
          </w:rPr>
          <w:t>2.</w:t>
        </w:r>
        <w:r w:rsidR="00E30F59">
          <w:rPr>
            <w:rFonts w:asciiTheme="minorHAnsi" w:eastAsiaTheme="minorEastAsia" w:hAnsiTheme="minorHAnsi" w:cstheme="minorBidi"/>
            <w:smallCaps w:val="0"/>
            <w:noProof/>
            <w:szCs w:val="22"/>
            <w:lang w:eastAsia="en-GB" w:bidi="ar-SA"/>
          </w:rPr>
          <w:tab/>
        </w:r>
        <w:r w:rsidR="00E30F59" w:rsidRPr="00DD563B">
          <w:rPr>
            <w:rStyle w:val="Hyperlink"/>
            <w:rFonts w:cs="Arial"/>
            <w:noProof/>
          </w:rPr>
          <w:t>Background</w:t>
        </w:r>
        <w:r w:rsidR="00E30F59">
          <w:rPr>
            <w:noProof/>
            <w:webHidden/>
          </w:rPr>
          <w:tab/>
        </w:r>
        <w:r w:rsidR="00964375">
          <w:rPr>
            <w:noProof/>
            <w:webHidden/>
          </w:rPr>
          <w:fldChar w:fldCharType="begin"/>
        </w:r>
        <w:r w:rsidR="00E30F59">
          <w:rPr>
            <w:noProof/>
            <w:webHidden/>
          </w:rPr>
          <w:instrText xml:space="preserve"> PAGEREF _Toc288490750 \h </w:instrText>
        </w:r>
        <w:r w:rsidR="00964375">
          <w:rPr>
            <w:noProof/>
            <w:webHidden/>
          </w:rPr>
        </w:r>
        <w:r w:rsidR="00964375">
          <w:rPr>
            <w:noProof/>
            <w:webHidden/>
          </w:rPr>
          <w:fldChar w:fldCharType="separate"/>
        </w:r>
        <w:r w:rsidR="003D6859">
          <w:rPr>
            <w:noProof/>
            <w:webHidden/>
          </w:rPr>
          <w:t>3</w:t>
        </w:r>
        <w:r w:rsidR="00964375">
          <w:rPr>
            <w:noProof/>
            <w:webHidden/>
          </w:rPr>
          <w:fldChar w:fldCharType="end"/>
        </w:r>
      </w:hyperlink>
    </w:p>
    <w:p w:rsidR="00E30F59" w:rsidRDefault="00074C78">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288490751" w:history="1">
        <w:r w:rsidR="00E30F59" w:rsidRPr="00DD563B">
          <w:rPr>
            <w:rStyle w:val="Hyperlink"/>
            <w:noProof/>
          </w:rPr>
          <w:t>2.1</w:t>
        </w:r>
        <w:r w:rsidR="00E30F59">
          <w:rPr>
            <w:rFonts w:asciiTheme="minorHAnsi" w:eastAsiaTheme="minorEastAsia" w:hAnsiTheme="minorHAnsi" w:cstheme="minorBidi"/>
            <w:i w:val="0"/>
            <w:iCs w:val="0"/>
            <w:noProof/>
            <w:szCs w:val="22"/>
            <w:lang w:eastAsia="en-GB" w:bidi="ar-SA"/>
          </w:rPr>
          <w:tab/>
        </w:r>
        <w:r w:rsidR="00E30F59" w:rsidRPr="00DD563B">
          <w:rPr>
            <w:rStyle w:val="Hyperlink"/>
            <w:noProof/>
          </w:rPr>
          <w:t xml:space="preserve">Technological background of how </w:t>
        </w:r>
        <w:r w:rsidR="00E30F59" w:rsidRPr="00DD563B">
          <w:rPr>
            <w:rStyle w:val="Hyperlink"/>
            <w:rFonts w:cs="Arial"/>
            <w:noProof/>
          </w:rPr>
          <w:t xml:space="preserve">calcium lignosulphonate (40-65) </w:t>
        </w:r>
        <w:r w:rsidR="00E30F59" w:rsidRPr="00DD563B">
          <w:rPr>
            <w:rStyle w:val="Hyperlink"/>
            <w:noProof/>
          </w:rPr>
          <w:t>functions</w:t>
        </w:r>
        <w:r w:rsidR="00E30F59">
          <w:rPr>
            <w:noProof/>
            <w:webHidden/>
          </w:rPr>
          <w:tab/>
        </w:r>
        <w:r w:rsidR="00964375">
          <w:rPr>
            <w:noProof/>
            <w:webHidden/>
          </w:rPr>
          <w:fldChar w:fldCharType="begin"/>
        </w:r>
        <w:r w:rsidR="00E30F59">
          <w:rPr>
            <w:noProof/>
            <w:webHidden/>
          </w:rPr>
          <w:instrText xml:space="preserve"> PAGEREF _Toc288490751 \h </w:instrText>
        </w:r>
        <w:r w:rsidR="00964375">
          <w:rPr>
            <w:noProof/>
            <w:webHidden/>
          </w:rPr>
        </w:r>
        <w:r w:rsidR="00964375">
          <w:rPr>
            <w:noProof/>
            <w:webHidden/>
          </w:rPr>
          <w:fldChar w:fldCharType="separate"/>
        </w:r>
        <w:r w:rsidR="003D6859">
          <w:rPr>
            <w:noProof/>
            <w:webHidden/>
          </w:rPr>
          <w:t>3</w:t>
        </w:r>
        <w:r w:rsidR="00964375">
          <w:rPr>
            <w:noProof/>
            <w:webHidden/>
          </w:rPr>
          <w:fldChar w:fldCharType="end"/>
        </w:r>
      </w:hyperlink>
    </w:p>
    <w:p w:rsidR="00E30F59" w:rsidRDefault="00074C78">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288490752" w:history="1">
        <w:r w:rsidR="00E30F59" w:rsidRPr="00DD563B">
          <w:rPr>
            <w:rStyle w:val="Hyperlink"/>
            <w:noProof/>
          </w:rPr>
          <w:t>2.2</w:t>
        </w:r>
        <w:r w:rsidR="00E30F59">
          <w:rPr>
            <w:rFonts w:asciiTheme="minorHAnsi" w:eastAsiaTheme="minorEastAsia" w:hAnsiTheme="minorHAnsi" w:cstheme="minorBidi"/>
            <w:i w:val="0"/>
            <w:iCs w:val="0"/>
            <w:noProof/>
            <w:szCs w:val="22"/>
            <w:lang w:eastAsia="en-GB" w:bidi="ar-SA"/>
          </w:rPr>
          <w:tab/>
        </w:r>
        <w:r w:rsidR="00E30F59" w:rsidRPr="00DD563B">
          <w:rPr>
            <w:rStyle w:val="Hyperlink"/>
            <w:noProof/>
          </w:rPr>
          <w:t xml:space="preserve">Does </w:t>
        </w:r>
        <w:r w:rsidR="00E30F59" w:rsidRPr="00DD563B">
          <w:rPr>
            <w:rStyle w:val="Hyperlink"/>
            <w:rFonts w:cs="Arial"/>
            <w:noProof/>
          </w:rPr>
          <w:t xml:space="preserve">calcium lignosulphonate (40-65) </w:t>
        </w:r>
        <w:r w:rsidR="00E30F59" w:rsidRPr="00DD563B">
          <w:rPr>
            <w:rStyle w:val="Hyperlink"/>
            <w:noProof/>
          </w:rPr>
          <w:t>function as a processing aid or food additive?</w:t>
        </w:r>
        <w:r w:rsidR="00E30F59">
          <w:rPr>
            <w:noProof/>
            <w:webHidden/>
          </w:rPr>
          <w:tab/>
        </w:r>
        <w:r w:rsidR="00964375">
          <w:rPr>
            <w:noProof/>
            <w:webHidden/>
          </w:rPr>
          <w:fldChar w:fldCharType="begin"/>
        </w:r>
        <w:r w:rsidR="00E30F59">
          <w:rPr>
            <w:noProof/>
            <w:webHidden/>
          </w:rPr>
          <w:instrText xml:space="preserve"> PAGEREF _Toc288490752 \h </w:instrText>
        </w:r>
        <w:r w:rsidR="00964375">
          <w:rPr>
            <w:noProof/>
            <w:webHidden/>
          </w:rPr>
        </w:r>
        <w:r w:rsidR="00964375">
          <w:rPr>
            <w:noProof/>
            <w:webHidden/>
          </w:rPr>
          <w:fldChar w:fldCharType="separate"/>
        </w:r>
        <w:r w:rsidR="003D6859">
          <w:rPr>
            <w:noProof/>
            <w:webHidden/>
          </w:rPr>
          <w:t>3</w:t>
        </w:r>
        <w:r w:rsidR="00964375">
          <w:rPr>
            <w:noProof/>
            <w:webHidden/>
          </w:rPr>
          <w:fldChar w:fldCharType="end"/>
        </w:r>
      </w:hyperlink>
    </w:p>
    <w:p w:rsidR="00E30F59" w:rsidRDefault="00074C78">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288490753" w:history="1">
        <w:r w:rsidR="00E30F59" w:rsidRPr="00DD563B">
          <w:rPr>
            <w:rStyle w:val="Hyperlink"/>
            <w:noProof/>
          </w:rPr>
          <w:t>2.3</w:t>
        </w:r>
        <w:r w:rsidR="00E30F59">
          <w:rPr>
            <w:rFonts w:asciiTheme="minorHAnsi" w:eastAsiaTheme="minorEastAsia" w:hAnsiTheme="minorHAnsi" w:cstheme="minorBidi"/>
            <w:i w:val="0"/>
            <w:iCs w:val="0"/>
            <w:noProof/>
            <w:szCs w:val="22"/>
            <w:lang w:eastAsia="en-GB" w:bidi="ar-SA"/>
          </w:rPr>
          <w:tab/>
        </w:r>
        <w:r w:rsidR="00E30F59" w:rsidRPr="00DD563B">
          <w:rPr>
            <w:rStyle w:val="Hyperlink"/>
            <w:noProof/>
          </w:rPr>
          <w:t>International permissions</w:t>
        </w:r>
        <w:r w:rsidR="00E30F59">
          <w:rPr>
            <w:noProof/>
            <w:webHidden/>
          </w:rPr>
          <w:tab/>
        </w:r>
        <w:r w:rsidR="00964375">
          <w:rPr>
            <w:noProof/>
            <w:webHidden/>
          </w:rPr>
          <w:fldChar w:fldCharType="begin"/>
        </w:r>
        <w:r w:rsidR="00E30F59">
          <w:rPr>
            <w:noProof/>
            <w:webHidden/>
          </w:rPr>
          <w:instrText xml:space="preserve"> PAGEREF _Toc288490753 \h </w:instrText>
        </w:r>
        <w:r w:rsidR="00964375">
          <w:rPr>
            <w:noProof/>
            <w:webHidden/>
          </w:rPr>
        </w:r>
        <w:r w:rsidR="00964375">
          <w:rPr>
            <w:noProof/>
            <w:webHidden/>
          </w:rPr>
          <w:fldChar w:fldCharType="separate"/>
        </w:r>
        <w:r w:rsidR="003D6859">
          <w:rPr>
            <w:noProof/>
            <w:webHidden/>
          </w:rPr>
          <w:t>4</w:t>
        </w:r>
        <w:r w:rsidR="00964375">
          <w:rPr>
            <w:noProof/>
            <w:webHidden/>
          </w:rPr>
          <w:fldChar w:fldCharType="end"/>
        </w:r>
      </w:hyperlink>
    </w:p>
    <w:p w:rsidR="00E30F59" w:rsidRDefault="00074C78">
      <w:pPr>
        <w:pStyle w:val="TOC2"/>
        <w:tabs>
          <w:tab w:val="left" w:pos="720"/>
          <w:tab w:val="right" w:leader="dot" w:pos="9016"/>
        </w:tabs>
        <w:rPr>
          <w:rFonts w:asciiTheme="minorHAnsi" w:eastAsiaTheme="minorEastAsia" w:hAnsiTheme="minorHAnsi" w:cstheme="minorBidi"/>
          <w:smallCaps w:val="0"/>
          <w:noProof/>
          <w:szCs w:val="22"/>
          <w:lang w:eastAsia="en-GB" w:bidi="ar-SA"/>
        </w:rPr>
      </w:pPr>
      <w:hyperlink w:anchor="_Toc288490754" w:history="1">
        <w:r w:rsidR="00E30F59" w:rsidRPr="00DD563B">
          <w:rPr>
            <w:rStyle w:val="Hyperlink"/>
            <w:noProof/>
          </w:rPr>
          <w:t>3.</w:t>
        </w:r>
        <w:r w:rsidR="00E30F59">
          <w:rPr>
            <w:rFonts w:asciiTheme="minorHAnsi" w:eastAsiaTheme="minorEastAsia" w:hAnsiTheme="minorHAnsi" w:cstheme="minorBidi"/>
            <w:smallCaps w:val="0"/>
            <w:noProof/>
            <w:szCs w:val="22"/>
            <w:lang w:eastAsia="en-GB" w:bidi="ar-SA"/>
          </w:rPr>
          <w:tab/>
        </w:r>
        <w:r w:rsidR="00E30F59" w:rsidRPr="00DD563B">
          <w:rPr>
            <w:rStyle w:val="Hyperlink"/>
            <w:noProof/>
          </w:rPr>
          <w:t>Current Standard</w:t>
        </w:r>
        <w:r w:rsidR="00E30F59">
          <w:rPr>
            <w:noProof/>
            <w:webHidden/>
          </w:rPr>
          <w:tab/>
        </w:r>
        <w:r w:rsidR="00964375">
          <w:rPr>
            <w:noProof/>
            <w:webHidden/>
          </w:rPr>
          <w:fldChar w:fldCharType="begin"/>
        </w:r>
        <w:r w:rsidR="00E30F59">
          <w:rPr>
            <w:noProof/>
            <w:webHidden/>
          </w:rPr>
          <w:instrText xml:space="preserve"> PAGEREF _Toc288490754 \h </w:instrText>
        </w:r>
        <w:r w:rsidR="00964375">
          <w:rPr>
            <w:noProof/>
            <w:webHidden/>
          </w:rPr>
        </w:r>
        <w:r w:rsidR="00964375">
          <w:rPr>
            <w:noProof/>
            <w:webHidden/>
          </w:rPr>
          <w:fldChar w:fldCharType="separate"/>
        </w:r>
        <w:r w:rsidR="003D6859">
          <w:rPr>
            <w:noProof/>
            <w:webHidden/>
          </w:rPr>
          <w:t>5</w:t>
        </w:r>
        <w:r w:rsidR="00964375">
          <w:rPr>
            <w:noProof/>
            <w:webHidden/>
          </w:rPr>
          <w:fldChar w:fldCharType="end"/>
        </w:r>
      </w:hyperlink>
    </w:p>
    <w:p w:rsidR="00E30F59" w:rsidRDefault="00074C78">
      <w:pPr>
        <w:pStyle w:val="TOC2"/>
        <w:tabs>
          <w:tab w:val="left" w:pos="720"/>
          <w:tab w:val="right" w:leader="dot" w:pos="9016"/>
        </w:tabs>
        <w:rPr>
          <w:rFonts w:asciiTheme="minorHAnsi" w:eastAsiaTheme="minorEastAsia" w:hAnsiTheme="minorHAnsi" w:cstheme="minorBidi"/>
          <w:smallCaps w:val="0"/>
          <w:noProof/>
          <w:szCs w:val="22"/>
          <w:lang w:eastAsia="en-GB" w:bidi="ar-SA"/>
        </w:rPr>
      </w:pPr>
      <w:hyperlink w:anchor="_Toc288490755" w:history="1">
        <w:r w:rsidR="00E30F59" w:rsidRPr="00DD563B">
          <w:rPr>
            <w:rStyle w:val="Hyperlink"/>
            <w:rFonts w:cs="Arial"/>
            <w:noProof/>
          </w:rPr>
          <w:t>4.</w:t>
        </w:r>
        <w:r w:rsidR="00E30F59">
          <w:rPr>
            <w:rFonts w:asciiTheme="minorHAnsi" w:eastAsiaTheme="minorEastAsia" w:hAnsiTheme="minorHAnsi" w:cstheme="minorBidi"/>
            <w:smallCaps w:val="0"/>
            <w:noProof/>
            <w:szCs w:val="22"/>
            <w:lang w:eastAsia="en-GB" w:bidi="ar-SA"/>
          </w:rPr>
          <w:tab/>
        </w:r>
        <w:r w:rsidR="00E30F59" w:rsidRPr="00DD563B">
          <w:rPr>
            <w:rStyle w:val="Hyperlink"/>
            <w:rFonts w:cs="Arial"/>
            <w:noProof/>
          </w:rPr>
          <w:t>Objectives</w:t>
        </w:r>
        <w:r w:rsidR="00E30F59">
          <w:rPr>
            <w:noProof/>
            <w:webHidden/>
          </w:rPr>
          <w:tab/>
        </w:r>
        <w:r w:rsidR="00964375">
          <w:rPr>
            <w:noProof/>
            <w:webHidden/>
          </w:rPr>
          <w:fldChar w:fldCharType="begin"/>
        </w:r>
        <w:r w:rsidR="00E30F59">
          <w:rPr>
            <w:noProof/>
            <w:webHidden/>
          </w:rPr>
          <w:instrText xml:space="preserve"> PAGEREF _Toc288490755 \h </w:instrText>
        </w:r>
        <w:r w:rsidR="00964375">
          <w:rPr>
            <w:noProof/>
            <w:webHidden/>
          </w:rPr>
        </w:r>
        <w:r w:rsidR="00964375">
          <w:rPr>
            <w:noProof/>
            <w:webHidden/>
          </w:rPr>
          <w:fldChar w:fldCharType="separate"/>
        </w:r>
        <w:r w:rsidR="003D6859">
          <w:rPr>
            <w:noProof/>
            <w:webHidden/>
          </w:rPr>
          <w:t>5</w:t>
        </w:r>
        <w:r w:rsidR="00964375">
          <w:rPr>
            <w:noProof/>
            <w:webHidden/>
          </w:rPr>
          <w:fldChar w:fldCharType="end"/>
        </w:r>
      </w:hyperlink>
    </w:p>
    <w:p w:rsidR="00E30F59" w:rsidRDefault="00074C78">
      <w:pPr>
        <w:pStyle w:val="TOC2"/>
        <w:tabs>
          <w:tab w:val="left" w:pos="720"/>
          <w:tab w:val="right" w:leader="dot" w:pos="9016"/>
        </w:tabs>
        <w:rPr>
          <w:rFonts w:asciiTheme="minorHAnsi" w:eastAsiaTheme="minorEastAsia" w:hAnsiTheme="minorHAnsi" w:cstheme="minorBidi"/>
          <w:smallCaps w:val="0"/>
          <w:noProof/>
          <w:szCs w:val="22"/>
          <w:lang w:eastAsia="en-GB" w:bidi="ar-SA"/>
        </w:rPr>
      </w:pPr>
      <w:hyperlink w:anchor="_Toc288490756" w:history="1">
        <w:r w:rsidR="00E30F59" w:rsidRPr="00DD563B">
          <w:rPr>
            <w:rStyle w:val="Hyperlink"/>
            <w:rFonts w:cs="Arial"/>
            <w:noProof/>
          </w:rPr>
          <w:t>5.</w:t>
        </w:r>
        <w:r w:rsidR="00E30F59">
          <w:rPr>
            <w:rFonts w:asciiTheme="minorHAnsi" w:eastAsiaTheme="minorEastAsia" w:hAnsiTheme="minorHAnsi" w:cstheme="minorBidi"/>
            <w:smallCaps w:val="0"/>
            <w:noProof/>
            <w:szCs w:val="22"/>
            <w:lang w:eastAsia="en-GB" w:bidi="ar-SA"/>
          </w:rPr>
          <w:tab/>
        </w:r>
        <w:r w:rsidR="00E30F59" w:rsidRPr="00DD563B">
          <w:rPr>
            <w:rStyle w:val="Hyperlink"/>
            <w:rFonts w:cs="Arial"/>
            <w:noProof/>
          </w:rPr>
          <w:t>Questions to be answered</w:t>
        </w:r>
        <w:r w:rsidR="00E30F59">
          <w:rPr>
            <w:noProof/>
            <w:webHidden/>
          </w:rPr>
          <w:tab/>
        </w:r>
        <w:r w:rsidR="00964375">
          <w:rPr>
            <w:noProof/>
            <w:webHidden/>
          </w:rPr>
          <w:fldChar w:fldCharType="begin"/>
        </w:r>
        <w:r w:rsidR="00E30F59">
          <w:rPr>
            <w:noProof/>
            <w:webHidden/>
          </w:rPr>
          <w:instrText xml:space="preserve"> PAGEREF _Toc288490756 \h </w:instrText>
        </w:r>
        <w:r w:rsidR="00964375">
          <w:rPr>
            <w:noProof/>
            <w:webHidden/>
          </w:rPr>
        </w:r>
        <w:r w:rsidR="00964375">
          <w:rPr>
            <w:noProof/>
            <w:webHidden/>
          </w:rPr>
          <w:fldChar w:fldCharType="separate"/>
        </w:r>
        <w:r w:rsidR="003D6859">
          <w:rPr>
            <w:noProof/>
            <w:webHidden/>
          </w:rPr>
          <w:t>6</w:t>
        </w:r>
        <w:r w:rsidR="00964375">
          <w:rPr>
            <w:noProof/>
            <w:webHidden/>
          </w:rPr>
          <w:fldChar w:fldCharType="end"/>
        </w:r>
      </w:hyperlink>
    </w:p>
    <w:p w:rsidR="00E30F59" w:rsidRDefault="00074C78">
      <w:pPr>
        <w:pStyle w:val="TOC1"/>
        <w:tabs>
          <w:tab w:val="right" w:leader="dot" w:pos="9016"/>
        </w:tabs>
        <w:rPr>
          <w:rFonts w:asciiTheme="minorHAnsi" w:eastAsiaTheme="minorEastAsia" w:hAnsiTheme="minorHAnsi" w:cstheme="minorBidi"/>
          <w:b w:val="0"/>
          <w:bCs w:val="0"/>
          <w:caps w:val="0"/>
          <w:noProof/>
          <w:szCs w:val="22"/>
          <w:lang w:eastAsia="en-GB" w:bidi="ar-SA"/>
        </w:rPr>
      </w:pPr>
      <w:hyperlink w:anchor="_Toc288490757" w:history="1">
        <w:r w:rsidR="00E30F59" w:rsidRPr="00DD563B">
          <w:rPr>
            <w:rStyle w:val="Hyperlink"/>
            <w:noProof/>
          </w:rPr>
          <w:t>RISK ASSESSMENT</w:t>
        </w:r>
        <w:r w:rsidR="00E30F59">
          <w:rPr>
            <w:noProof/>
            <w:webHidden/>
          </w:rPr>
          <w:tab/>
        </w:r>
        <w:r w:rsidR="00964375">
          <w:rPr>
            <w:noProof/>
            <w:webHidden/>
          </w:rPr>
          <w:fldChar w:fldCharType="begin"/>
        </w:r>
        <w:r w:rsidR="00E30F59">
          <w:rPr>
            <w:noProof/>
            <w:webHidden/>
          </w:rPr>
          <w:instrText xml:space="preserve"> PAGEREF _Toc288490757 \h </w:instrText>
        </w:r>
        <w:r w:rsidR="00964375">
          <w:rPr>
            <w:noProof/>
            <w:webHidden/>
          </w:rPr>
        </w:r>
        <w:r w:rsidR="00964375">
          <w:rPr>
            <w:noProof/>
            <w:webHidden/>
          </w:rPr>
          <w:fldChar w:fldCharType="separate"/>
        </w:r>
        <w:r w:rsidR="003D6859">
          <w:rPr>
            <w:noProof/>
            <w:webHidden/>
          </w:rPr>
          <w:t>7</w:t>
        </w:r>
        <w:r w:rsidR="00964375">
          <w:rPr>
            <w:noProof/>
            <w:webHidden/>
          </w:rPr>
          <w:fldChar w:fldCharType="end"/>
        </w:r>
      </w:hyperlink>
    </w:p>
    <w:p w:rsidR="00E30F59" w:rsidRDefault="00074C78">
      <w:pPr>
        <w:pStyle w:val="TOC2"/>
        <w:tabs>
          <w:tab w:val="left" w:pos="720"/>
          <w:tab w:val="right" w:leader="dot" w:pos="9016"/>
        </w:tabs>
        <w:rPr>
          <w:rFonts w:asciiTheme="minorHAnsi" w:eastAsiaTheme="minorEastAsia" w:hAnsiTheme="minorHAnsi" w:cstheme="minorBidi"/>
          <w:smallCaps w:val="0"/>
          <w:noProof/>
          <w:szCs w:val="22"/>
          <w:lang w:eastAsia="en-GB" w:bidi="ar-SA"/>
        </w:rPr>
      </w:pPr>
      <w:hyperlink w:anchor="_Toc288490758" w:history="1">
        <w:r w:rsidR="00E30F59" w:rsidRPr="00DD563B">
          <w:rPr>
            <w:rStyle w:val="Hyperlink"/>
            <w:noProof/>
          </w:rPr>
          <w:t>6.</w:t>
        </w:r>
        <w:r w:rsidR="00E30F59">
          <w:rPr>
            <w:rFonts w:asciiTheme="minorHAnsi" w:eastAsiaTheme="minorEastAsia" w:hAnsiTheme="minorHAnsi" w:cstheme="minorBidi"/>
            <w:smallCaps w:val="0"/>
            <w:noProof/>
            <w:szCs w:val="22"/>
            <w:lang w:eastAsia="en-GB" w:bidi="ar-SA"/>
          </w:rPr>
          <w:tab/>
        </w:r>
        <w:r w:rsidR="00E30F59" w:rsidRPr="00DD563B">
          <w:rPr>
            <w:rStyle w:val="Hyperlink"/>
            <w:noProof/>
          </w:rPr>
          <w:t>Risk Assessment Summary</w:t>
        </w:r>
        <w:r w:rsidR="00E30F59">
          <w:rPr>
            <w:noProof/>
            <w:webHidden/>
          </w:rPr>
          <w:tab/>
        </w:r>
        <w:r w:rsidR="00964375">
          <w:rPr>
            <w:noProof/>
            <w:webHidden/>
          </w:rPr>
          <w:fldChar w:fldCharType="begin"/>
        </w:r>
        <w:r w:rsidR="00E30F59">
          <w:rPr>
            <w:noProof/>
            <w:webHidden/>
          </w:rPr>
          <w:instrText xml:space="preserve"> PAGEREF _Toc288490758 \h </w:instrText>
        </w:r>
        <w:r w:rsidR="00964375">
          <w:rPr>
            <w:noProof/>
            <w:webHidden/>
          </w:rPr>
        </w:r>
        <w:r w:rsidR="00964375">
          <w:rPr>
            <w:noProof/>
            <w:webHidden/>
          </w:rPr>
          <w:fldChar w:fldCharType="separate"/>
        </w:r>
        <w:r w:rsidR="003D6859">
          <w:rPr>
            <w:noProof/>
            <w:webHidden/>
          </w:rPr>
          <w:t>7</w:t>
        </w:r>
        <w:r w:rsidR="00964375">
          <w:rPr>
            <w:noProof/>
            <w:webHidden/>
          </w:rPr>
          <w:fldChar w:fldCharType="end"/>
        </w:r>
      </w:hyperlink>
    </w:p>
    <w:p w:rsidR="00E30F59" w:rsidRDefault="00074C78">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288490759" w:history="1">
        <w:r w:rsidR="00E30F59" w:rsidRPr="00DD563B">
          <w:rPr>
            <w:rStyle w:val="Hyperlink"/>
            <w:noProof/>
          </w:rPr>
          <w:t>6.1</w:t>
        </w:r>
        <w:r w:rsidR="00E30F59">
          <w:rPr>
            <w:rFonts w:asciiTheme="minorHAnsi" w:eastAsiaTheme="minorEastAsia" w:hAnsiTheme="minorHAnsi" w:cstheme="minorBidi"/>
            <w:i w:val="0"/>
            <w:iCs w:val="0"/>
            <w:noProof/>
            <w:szCs w:val="22"/>
            <w:lang w:eastAsia="en-GB" w:bidi="ar-SA"/>
          </w:rPr>
          <w:tab/>
        </w:r>
        <w:r w:rsidR="00E30F59" w:rsidRPr="00DD563B">
          <w:rPr>
            <w:rStyle w:val="Hyperlink"/>
            <w:noProof/>
          </w:rPr>
          <w:t>Technological Function</w:t>
        </w:r>
        <w:r w:rsidR="00E30F59">
          <w:rPr>
            <w:noProof/>
            <w:webHidden/>
          </w:rPr>
          <w:tab/>
        </w:r>
        <w:r w:rsidR="00964375">
          <w:rPr>
            <w:noProof/>
            <w:webHidden/>
          </w:rPr>
          <w:fldChar w:fldCharType="begin"/>
        </w:r>
        <w:r w:rsidR="00E30F59">
          <w:rPr>
            <w:noProof/>
            <w:webHidden/>
          </w:rPr>
          <w:instrText xml:space="preserve"> PAGEREF _Toc288490759 \h </w:instrText>
        </w:r>
        <w:r w:rsidR="00964375">
          <w:rPr>
            <w:noProof/>
            <w:webHidden/>
          </w:rPr>
        </w:r>
        <w:r w:rsidR="00964375">
          <w:rPr>
            <w:noProof/>
            <w:webHidden/>
          </w:rPr>
          <w:fldChar w:fldCharType="separate"/>
        </w:r>
        <w:r w:rsidR="003D6859">
          <w:rPr>
            <w:noProof/>
            <w:webHidden/>
          </w:rPr>
          <w:t>7</w:t>
        </w:r>
        <w:r w:rsidR="00964375">
          <w:rPr>
            <w:noProof/>
            <w:webHidden/>
          </w:rPr>
          <w:fldChar w:fldCharType="end"/>
        </w:r>
      </w:hyperlink>
    </w:p>
    <w:p w:rsidR="00E30F59" w:rsidRDefault="00074C78">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288490760" w:history="1">
        <w:r w:rsidR="00E30F59" w:rsidRPr="00DD563B">
          <w:rPr>
            <w:rStyle w:val="Hyperlink"/>
            <w:noProof/>
          </w:rPr>
          <w:t>6.2</w:t>
        </w:r>
        <w:r w:rsidR="00E30F59">
          <w:rPr>
            <w:rFonts w:asciiTheme="minorHAnsi" w:eastAsiaTheme="minorEastAsia" w:hAnsiTheme="minorHAnsi" w:cstheme="minorBidi"/>
            <w:i w:val="0"/>
            <w:iCs w:val="0"/>
            <w:noProof/>
            <w:szCs w:val="22"/>
            <w:lang w:eastAsia="en-GB" w:bidi="ar-SA"/>
          </w:rPr>
          <w:tab/>
        </w:r>
        <w:r w:rsidR="00E30F59" w:rsidRPr="00DD563B">
          <w:rPr>
            <w:rStyle w:val="Hyperlink"/>
            <w:noProof/>
          </w:rPr>
          <w:t>Safety Assessment</w:t>
        </w:r>
        <w:r w:rsidR="00E30F59">
          <w:rPr>
            <w:noProof/>
            <w:webHidden/>
          </w:rPr>
          <w:tab/>
        </w:r>
        <w:r w:rsidR="00964375">
          <w:rPr>
            <w:noProof/>
            <w:webHidden/>
          </w:rPr>
          <w:fldChar w:fldCharType="begin"/>
        </w:r>
        <w:r w:rsidR="00E30F59">
          <w:rPr>
            <w:noProof/>
            <w:webHidden/>
          </w:rPr>
          <w:instrText xml:space="preserve"> PAGEREF _Toc288490760 \h </w:instrText>
        </w:r>
        <w:r w:rsidR="00964375">
          <w:rPr>
            <w:noProof/>
            <w:webHidden/>
          </w:rPr>
        </w:r>
        <w:r w:rsidR="00964375">
          <w:rPr>
            <w:noProof/>
            <w:webHidden/>
          </w:rPr>
          <w:fldChar w:fldCharType="separate"/>
        </w:r>
        <w:r w:rsidR="003D6859">
          <w:rPr>
            <w:noProof/>
            <w:webHidden/>
          </w:rPr>
          <w:t>7</w:t>
        </w:r>
        <w:r w:rsidR="00964375">
          <w:rPr>
            <w:noProof/>
            <w:webHidden/>
          </w:rPr>
          <w:fldChar w:fldCharType="end"/>
        </w:r>
      </w:hyperlink>
    </w:p>
    <w:p w:rsidR="00E30F59" w:rsidRDefault="00074C78">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288490761" w:history="1">
        <w:r w:rsidR="00E30F59" w:rsidRPr="00DD563B">
          <w:rPr>
            <w:rStyle w:val="Hyperlink"/>
            <w:rFonts w:cs="Arial"/>
            <w:noProof/>
          </w:rPr>
          <w:t>6.3</w:t>
        </w:r>
        <w:r w:rsidR="00E30F59">
          <w:rPr>
            <w:rFonts w:asciiTheme="minorHAnsi" w:eastAsiaTheme="minorEastAsia" w:hAnsiTheme="minorHAnsi" w:cstheme="minorBidi"/>
            <w:i w:val="0"/>
            <w:iCs w:val="0"/>
            <w:noProof/>
            <w:szCs w:val="22"/>
            <w:lang w:eastAsia="en-GB" w:bidi="ar-SA"/>
          </w:rPr>
          <w:tab/>
        </w:r>
        <w:r w:rsidR="00E30F59" w:rsidRPr="00DD563B">
          <w:rPr>
            <w:rStyle w:val="Hyperlink"/>
            <w:rFonts w:cs="Arial"/>
            <w:noProof/>
          </w:rPr>
          <w:t>Dietary Exposure Assessment</w:t>
        </w:r>
        <w:r w:rsidR="00E30F59">
          <w:rPr>
            <w:noProof/>
            <w:webHidden/>
          </w:rPr>
          <w:tab/>
        </w:r>
        <w:r w:rsidR="00964375">
          <w:rPr>
            <w:noProof/>
            <w:webHidden/>
          </w:rPr>
          <w:fldChar w:fldCharType="begin"/>
        </w:r>
        <w:r w:rsidR="00E30F59">
          <w:rPr>
            <w:noProof/>
            <w:webHidden/>
          </w:rPr>
          <w:instrText xml:space="preserve"> PAGEREF _Toc288490761 \h </w:instrText>
        </w:r>
        <w:r w:rsidR="00964375">
          <w:rPr>
            <w:noProof/>
            <w:webHidden/>
          </w:rPr>
        </w:r>
        <w:r w:rsidR="00964375">
          <w:rPr>
            <w:noProof/>
            <w:webHidden/>
          </w:rPr>
          <w:fldChar w:fldCharType="separate"/>
        </w:r>
        <w:r w:rsidR="003D6859">
          <w:rPr>
            <w:noProof/>
            <w:webHidden/>
          </w:rPr>
          <w:t>7</w:t>
        </w:r>
        <w:r w:rsidR="00964375">
          <w:rPr>
            <w:noProof/>
            <w:webHidden/>
          </w:rPr>
          <w:fldChar w:fldCharType="end"/>
        </w:r>
      </w:hyperlink>
    </w:p>
    <w:p w:rsidR="00E30F59" w:rsidRDefault="00074C78">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288490762" w:history="1">
        <w:r w:rsidR="00E30F59" w:rsidRPr="00DD563B">
          <w:rPr>
            <w:rStyle w:val="Hyperlink"/>
            <w:noProof/>
          </w:rPr>
          <w:t>6.4</w:t>
        </w:r>
        <w:r w:rsidR="00E30F59">
          <w:rPr>
            <w:rFonts w:asciiTheme="minorHAnsi" w:eastAsiaTheme="minorEastAsia" w:hAnsiTheme="minorHAnsi" w:cstheme="minorBidi"/>
            <w:i w:val="0"/>
            <w:iCs w:val="0"/>
            <w:noProof/>
            <w:szCs w:val="22"/>
            <w:lang w:eastAsia="en-GB" w:bidi="ar-SA"/>
          </w:rPr>
          <w:tab/>
        </w:r>
        <w:r w:rsidR="00E30F59" w:rsidRPr="00DD563B">
          <w:rPr>
            <w:rStyle w:val="Hyperlink"/>
            <w:noProof/>
          </w:rPr>
          <w:t>Nutritional Assessment</w:t>
        </w:r>
        <w:r w:rsidR="00E30F59">
          <w:rPr>
            <w:noProof/>
            <w:webHidden/>
          </w:rPr>
          <w:tab/>
        </w:r>
        <w:r w:rsidR="00964375">
          <w:rPr>
            <w:noProof/>
            <w:webHidden/>
          </w:rPr>
          <w:fldChar w:fldCharType="begin"/>
        </w:r>
        <w:r w:rsidR="00E30F59">
          <w:rPr>
            <w:noProof/>
            <w:webHidden/>
          </w:rPr>
          <w:instrText xml:space="preserve"> PAGEREF _Toc288490762 \h </w:instrText>
        </w:r>
        <w:r w:rsidR="00964375">
          <w:rPr>
            <w:noProof/>
            <w:webHidden/>
          </w:rPr>
        </w:r>
        <w:r w:rsidR="00964375">
          <w:rPr>
            <w:noProof/>
            <w:webHidden/>
          </w:rPr>
          <w:fldChar w:fldCharType="separate"/>
        </w:r>
        <w:r w:rsidR="003D6859">
          <w:rPr>
            <w:noProof/>
            <w:webHidden/>
          </w:rPr>
          <w:t>8</w:t>
        </w:r>
        <w:r w:rsidR="00964375">
          <w:rPr>
            <w:noProof/>
            <w:webHidden/>
          </w:rPr>
          <w:fldChar w:fldCharType="end"/>
        </w:r>
      </w:hyperlink>
    </w:p>
    <w:p w:rsidR="00E30F59" w:rsidRDefault="00074C78">
      <w:pPr>
        <w:pStyle w:val="TOC1"/>
        <w:tabs>
          <w:tab w:val="right" w:leader="dot" w:pos="9016"/>
        </w:tabs>
        <w:rPr>
          <w:rFonts w:asciiTheme="minorHAnsi" w:eastAsiaTheme="minorEastAsia" w:hAnsiTheme="minorHAnsi" w:cstheme="minorBidi"/>
          <w:b w:val="0"/>
          <w:bCs w:val="0"/>
          <w:caps w:val="0"/>
          <w:noProof/>
          <w:szCs w:val="22"/>
          <w:lang w:eastAsia="en-GB" w:bidi="ar-SA"/>
        </w:rPr>
      </w:pPr>
      <w:hyperlink w:anchor="_Toc288490763" w:history="1">
        <w:r w:rsidR="00E30F59" w:rsidRPr="00DD563B">
          <w:rPr>
            <w:rStyle w:val="Hyperlink"/>
            <w:noProof/>
          </w:rPr>
          <w:t>Risk Management</w:t>
        </w:r>
        <w:r w:rsidR="00E30F59">
          <w:rPr>
            <w:noProof/>
            <w:webHidden/>
          </w:rPr>
          <w:tab/>
        </w:r>
        <w:r w:rsidR="00964375">
          <w:rPr>
            <w:noProof/>
            <w:webHidden/>
          </w:rPr>
          <w:fldChar w:fldCharType="begin"/>
        </w:r>
        <w:r w:rsidR="00E30F59">
          <w:rPr>
            <w:noProof/>
            <w:webHidden/>
          </w:rPr>
          <w:instrText xml:space="preserve"> PAGEREF _Toc288490763 \h </w:instrText>
        </w:r>
        <w:r w:rsidR="00964375">
          <w:rPr>
            <w:noProof/>
            <w:webHidden/>
          </w:rPr>
        </w:r>
        <w:r w:rsidR="00964375">
          <w:rPr>
            <w:noProof/>
            <w:webHidden/>
          </w:rPr>
          <w:fldChar w:fldCharType="separate"/>
        </w:r>
        <w:r w:rsidR="003D6859">
          <w:rPr>
            <w:noProof/>
            <w:webHidden/>
          </w:rPr>
          <w:t>8</w:t>
        </w:r>
        <w:r w:rsidR="00964375">
          <w:rPr>
            <w:noProof/>
            <w:webHidden/>
          </w:rPr>
          <w:fldChar w:fldCharType="end"/>
        </w:r>
      </w:hyperlink>
    </w:p>
    <w:p w:rsidR="00E30F59" w:rsidRDefault="00074C78">
      <w:pPr>
        <w:pStyle w:val="TOC2"/>
        <w:tabs>
          <w:tab w:val="left" w:pos="720"/>
          <w:tab w:val="right" w:leader="dot" w:pos="9016"/>
        </w:tabs>
        <w:rPr>
          <w:rFonts w:asciiTheme="minorHAnsi" w:eastAsiaTheme="minorEastAsia" w:hAnsiTheme="minorHAnsi" w:cstheme="minorBidi"/>
          <w:smallCaps w:val="0"/>
          <w:noProof/>
          <w:szCs w:val="22"/>
          <w:lang w:eastAsia="en-GB" w:bidi="ar-SA"/>
        </w:rPr>
      </w:pPr>
      <w:hyperlink w:anchor="_Toc288490764" w:history="1">
        <w:r w:rsidR="00E30F59" w:rsidRPr="00DD563B">
          <w:rPr>
            <w:rStyle w:val="Hyperlink"/>
            <w:noProof/>
          </w:rPr>
          <w:t>7.</w:t>
        </w:r>
        <w:r w:rsidR="00E30F59">
          <w:rPr>
            <w:rFonts w:asciiTheme="minorHAnsi" w:eastAsiaTheme="minorEastAsia" w:hAnsiTheme="minorHAnsi" w:cstheme="minorBidi"/>
            <w:smallCaps w:val="0"/>
            <w:noProof/>
            <w:szCs w:val="22"/>
            <w:lang w:eastAsia="en-GB" w:bidi="ar-SA"/>
          </w:rPr>
          <w:tab/>
        </w:r>
        <w:r w:rsidR="00E30F59" w:rsidRPr="00DD563B">
          <w:rPr>
            <w:rStyle w:val="Hyperlink"/>
            <w:noProof/>
          </w:rPr>
          <w:t>Issues raised</w:t>
        </w:r>
        <w:r w:rsidR="00E30F59">
          <w:rPr>
            <w:noProof/>
            <w:webHidden/>
          </w:rPr>
          <w:tab/>
        </w:r>
        <w:r w:rsidR="00964375">
          <w:rPr>
            <w:noProof/>
            <w:webHidden/>
          </w:rPr>
          <w:fldChar w:fldCharType="begin"/>
        </w:r>
        <w:r w:rsidR="00E30F59">
          <w:rPr>
            <w:noProof/>
            <w:webHidden/>
          </w:rPr>
          <w:instrText xml:space="preserve"> PAGEREF _Toc288490764 \h </w:instrText>
        </w:r>
        <w:r w:rsidR="00964375">
          <w:rPr>
            <w:noProof/>
            <w:webHidden/>
          </w:rPr>
        </w:r>
        <w:r w:rsidR="00964375">
          <w:rPr>
            <w:noProof/>
            <w:webHidden/>
          </w:rPr>
          <w:fldChar w:fldCharType="separate"/>
        </w:r>
        <w:r w:rsidR="003D6859">
          <w:rPr>
            <w:noProof/>
            <w:webHidden/>
          </w:rPr>
          <w:t>8</w:t>
        </w:r>
        <w:r w:rsidR="00964375">
          <w:rPr>
            <w:noProof/>
            <w:webHidden/>
          </w:rPr>
          <w:fldChar w:fldCharType="end"/>
        </w:r>
      </w:hyperlink>
    </w:p>
    <w:p w:rsidR="00E30F59" w:rsidRDefault="00074C78">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288490765" w:history="1">
        <w:r w:rsidR="00E30F59" w:rsidRPr="00DD563B">
          <w:rPr>
            <w:rStyle w:val="Hyperlink"/>
            <w:noProof/>
          </w:rPr>
          <w:t>7.1</w:t>
        </w:r>
        <w:r w:rsidR="00E30F59">
          <w:rPr>
            <w:rFonts w:asciiTheme="minorHAnsi" w:eastAsiaTheme="minorEastAsia" w:hAnsiTheme="minorHAnsi" w:cstheme="minorBidi"/>
            <w:i w:val="0"/>
            <w:iCs w:val="0"/>
            <w:noProof/>
            <w:szCs w:val="22"/>
            <w:lang w:eastAsia="en-GB" w:bidi="ar-SA"/>
          </w:rPr>
          <w:tab/>
        </w:r>
        <w:r w:rsidR="00E30F59" w:rsidRPr="00DD563B">
          <w:rPr>
            <w:rStyle w:val="Hyperlink"/>
            <w:noProof/>
          </w:rPr>
          <w:t>Risk Management Strategy</w:t>
        </w:r>
        <w:r w:rsidR="00E30F59">
          <w:rPr>
            <w:noProof/>
            <w:webHidden/>
          </w:rPr>
          <w:tab/>
        </w:r>
        <w:r w:rsidR="00964375">
          <w:rPr>
            <w:noProof/>
            <w:webHidden/>
          </w:rPr>
          <w:fldChar w:fldCharType="begin"/>
        </w:r>
        <w:r w:rsidR="00E30F59">
          <w:rPr>
            <w:noProof/>
            <w:webHidden/>
          </w:rPr>
          <w:instrText xml:space="preserve"> PAGEREF _Toc288490765 \h </w:instrText>
        </w:r>
        <w:r w:rsidR="00964375">
          <w:rPr>
            <w:noProof/>
            <w:webHidden/>
          </w:rPr>
        </w:r>
        <w:r w:rsidR="00964375">
          <w:rPr>
            <w:noProof/>
            <w:webHidden/>
          </w:rPr>
          <w:fldChar w:fldCharType="separate"/>
        </w:r>
        <w:r w:rsidR="003D6859">
          <w:rPr>
            <w:noProof/>
            <w:webHidden/>
          </w:rPr>
          <w:t>8</w:t>
        </w:r>
        <w:r w:rsidR="00964375">
          <w:rPr>
            <w:noProof/>
            <w:webHidden/>
          </w:rPr>
          <w:fldChar w:fldCharType="end"/>
        </w:r>
      </w:hyperlink>
    </w:p>
    <w:p w:rsidR="00E30F59" w:rsidRDefault="00074C78">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288490766" w:history="1">
        <w:r w:rsidR="00E30F59" w:rsidRPr="00DD563B">
          <w:rPr>
            <w:rStyle w:val="Hyperlink"/>
            <w:noProof/>
          </w:rPr>
          <w:t>7.2</w:t>
        </w:r>
        <w:r w:rsidR="00E30F59">
          <w:rPr>
            <w:rFonts w:asciiTheme="minorHAnsi" w:eastAsiaTheme="minorEastAsia" w:hAnsiTheme="minorHAnsi" w:cstheme="minorBidi"/>
            <w:i w:val="0"/>
            <w:iCs w:val="0"/>
            <w:noProof/>
            <w:szCs w:val="22"/>
            <w:lang w:eastAsia="en-GB" w:bidi="ar-SA"/>
          </w:rPr>
          <w:tab/>
        </w:r>
        <w:r w:rsidR="00E30F59" w:rsidRPr="00DD563B">
          <w:rPr>
            <w:rStyle w:val="Hyperlink"/>
            <w:noProof/>
          </w:rPr>
          <w:t>Labelling implications</w:t>
        </w:r>
        <w:r w:rsidR="00E30F59">
          <w:rPr>
            <w:noProof/>
            <w:webHidden/>
          </w:rPr>
          <w:tab/>
        </w:r>
        <w:r w:rsidR="00964375">
          <w:rPr>
            <w:noProof/>
            <w:webHidden/>
          </w:rPr>
          <w:fldChar w:fldCharType="begin"/>
        </w:r>
        <w:r w:rsidR="00E30F59">
          <w:rPr>
            <w:noProof/>
            <w:webHidden/>
          </w:rPr>
          <w:instrText xml:space="preserve"> PAGEREF _Toc288490766 \h </w:instrText>
        </w:r>
        <w:r w:rsidR="00964375">
          <w:rPr>
            <w:noProof/>
            <w:webHidden/>
          </w:rPr>
        </w:r>
        <w:r w:rsidR="00964375">
          <w:rPr>
            <w:noProof/>
            <w:webHidden/>
          </w:rPr>
          <w:fldChar w:fldCharType="separate"/>
        </w:r>
        <w:r w:rsidR="003D6859">
          <w:rPr>
            <w:noProof/>
            <w:webHidden/>
          </w:rPr>
          <w:t>9</w:t>
        </w:r>
        <w:r w:rsidR="00964375">
          <w:rPr>
            <w:noProof/>
            <w:webHidden/>
          </w:rPr>
          <w:fldChar w:fldCharType="end"/>
        </w:r>
      </w:hyperlink>
    </w:p>
    <w:p w:rsidR="00E30F59" w:rsidRDefault="00074C78">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288490767" w:history="1">
        <w:r w:rsidR="00E30F59" w:rsidRPr="00DD563B">
          <w:rPr>
            <w:rStyle w:val="Hyperlink"/>
            <w:noProof/>
          </w:rPr>
          <w:t>7.3</w:t>
        </w:r>
        <w:r w:rsidR="00E30F59">
          <w:rPr>
            <w:rFonts w:asciiTheme="minorHAnsi" w:eastAsiaTheme="minorEastAsia" w:hAnsiTheme="minorHAnsi" w:cstheme="minorBidi"/>
            <w:i w:val="0"/>
            <w:iCs w:val="0"/>
            <w:noProof/>
            <w:szCs w:val="22"/>
            <w:lang w:eastAsia="en-GB" w:bidi="ar-SA"/>
          </w:rPr>
          <w:tab/>
        </w:r>
        <w:r w:rsidR="00E30F59" w:rsidRPr="00DD563B">
          <w:rPr>
            <w:rStyle w:val="Hyperlink"/>
            <w:noProof/>
          </w:rPr>
          <w:t xml:space="preserve">Analytical methods for determining presence of </w:t>
        </w:r>
        <w:r w:rsidR="00E30F59" w:rsidRPr="00DD563B">
          <w:rPr>
            <w:rStyle w:val="Hyperlink"/>
            <w:rFonts w:cs="Arial"/>
            <w:noProof/>
          </w:rPr>
          <w:t xml:space="preserve">calcium lignosulphonate (40-65) </w:t>
        </w:r>
        <w:r w:rsidR="00E30F59" w:rsidRPr="00DD563B">
          <w:rPr>
            <w:rStyle w:val="Hyperlink"/>
            <w:noProof/>
          </w:rPr>
          <w:t>in food</w:t>
        </w:r>
        <w:r w:rsidR="00E30F59">
          <w:rPr>
            <w:noProof/>
            <w:webHidden/>
          </w:rPr>
          <w:tab/>
        </w:r>
        <w:r w:rsidR="00E30F59">
          <w:rPr>
            <w:noProof/>
            <w:webHidden/>
          </w:rPr>
          <w:tab/>
        </w:r>
        <w:r w:rsidR="00964375">
          <w:rPr>
            <w:noProof/>
            <w:webHidden/>
          </w:rPr>
          <w:fldChar w:fldCharType="begin"/>
        </w:r>
        <w:r w:rsidR="00E30F59">
          <w:rPr>
            <w:noProof/>
            <w:webHidden/>
          </w:rPr>
          <w:instrText xml:space="preserve"> PAGEREF _Toc288490767 \h </w:instrText>
        </w:r>
        <w:r w:rsidR="00964375">
          <w:rPr>
            <w:noProof/>
            <w:webHidden/>
          </w:rPr>
        </w:r>
        <w:r w:rsidR="00964375">
          <w:rPr>
            <w:noProof/>
            <w:webHidden/>
          </w:rPr>
          <w:fldChar w:fldCharType="separate"/>
        </w:r>
        <w:r w:rsidR="003D6859">
          <w:rPr>
            <w:noProof/>
            <w:webHidden/>
          </w:rPr>
          <w:t>9</w:t>
        </w:r>
        <w:r w:rsidR="00964375">
          <w:rPr>
            <w:noProof/>
            <w:webHidden/>
          </w:rPr>
          <w:fldChar w:fldCharType="end"/>
        </w:r>
      </w:hyperlink>
    </w:p>
    <w:p w:rsidR="00E30F59" w:rsidRDefault="00074C78">
      <w:pPr>
        <w:pStyle w:val="TOC2"/>
        <w:tabs>
          <w:tab w:val="left" w:pos="720"/>
          <w:tab w:val="right" w:leader="dot" w:pos="9016"/>
        </w:tabs>
        <w:rPr>
          <w:rFonts w:asciiTheme="minorHAnsi" w:eastAsiaTheme="minorEastAsia" w:hAnsiTheme="minorHAnsi" w:cstheme="minorBidi"/>
          <w:smallCaps w:val="0"/>
          <w:noProof/>
          <w:szCs w:val="22"/>
          <w:lang w:eastAsia="en-GB" w:bidi="ar-SA"/>
        </w:rPr>
      </w:pPr>
      <w:hyperlink w:anchor="_Toc288490768" w:history="1">
        <w:r w:rsidR="00E30F59" w:rsidRPr="00DD563B">
          <w:rPr>
            <w:rStyle w:val="Hyperlink"/>
            <w:noProof/>
          </w:rPr>
          <w:t>8.</w:t>
        </w:r>
        <w:r w:rsidR="00E30F59">
          <w:rPr>
            <w:rFonts w:asciiTheme="minorHAnsi" w:eastAsiaTheme="minorEastAsia" w:hAnsiTheme="minorHAnsi" w:cstheme="minorBidi"/>
            <w:smallCaps w:val="0"/>
            <w:noProof/>
            <w:szCs w:val="22"/>
            <w:lang w:eastAsia="en-GB" w:bidi="ar-SA"/>
          </w:rPr>
          <w:tab/>
        </w:r>
        <w:r w:rsidR="00E30F59" w:rsidRPr="00DD563B">
          <w:rPr>
            <w:rStyle w:val="Hyperlink"/>
            <w:noProof/>
          </w:rPr>
          <w:t>Options</w:t>
        </w:r>
        <w:r w:rsidR="00E30F59">
          <w:rPr>
            <w:noProof/>
            <w:webHidden/>
          </w:rPr>
          <w:tab/>
        </w:r>
        <w:r w:rsidR="00964375">
          <w:rPr>
            <w:noProof/>
            <w:webHidden/>
          </w:rPr>
          <w:fldChar w:fldCharType="begin"/>
        </w:r>
        <w:r w:rsidR="00E30F59">
          <w:rPr>
            <w:noProof/>
            <w:webHidden/>
          </w:rPr>
          <w:instrText xml:space="preserve"> PAGEREF _Toc288490768 \h </w:instrText>
        </w:r>
        <w:r w:rsidR="00964375">
          <w:rPr>
            <w:noProof/>
            <w:webHidden/>
          </w:rPr>
        </w:r>
        <w:r w:rsidR="00964375">
          <w:rPr>
            <w:noProof/>
            <w:webHidden/>
          </w:rPr>
          <w:fldChar w:fldCharType="separate"/>
        </w:r>
        <w:r w:rsidR="003D6859">
          <w:rPr>
            <w:noProof/>
            <w:webHidden/>
          </w:rPr>
          <w:t>10</w:t>
        </w:r>
        <w:r w:rsidR="00964375">
          <w:rPr>
            <w:noProof/>
            <w:webHidden/>
          </w:rPr>
          <w:fldChar w:fldCharType="end"/>
        </w:r>
      </w:hyperlink>
    </w:p>
    <w:p w:rsidR="00E30F59" w:rsidRDefault="00074C78">
      <w:pPr>
        <w:pStyle w:val="TOC2"/>
        <w:tabs>
          <w:tab w:val="left" w:pos="720"/>
          <w:tab w:val="right" w:leader="dot" w:pos="9016"/>
        </w:tabs>
        <w:rPr>
          <w:rFonts w:asciiTheme="minorHAnsi" w:eastAsiaTheme="minorEastAsia" w:hAnsiTheme="minorHAnsi" w:cstheme="minorBidi"/>
          <w:smallCaps w:val="0"/>
          <w:noProof/>
          <w:szCs w:val="22"/>
          <w:lang w:eastAsia="en-GB" w:bidi="ar-SA"/>
        </w:rPr>
      </w:pPr>
      <w:hyperlink w:anchor="_Toc288490769" w:history="1">
        <w:r w:rsidR="00E30F59" w:rsidRPr="00DD563B">
          <w:rPr>
            <w:rStyle w:val="Hyperlink"/>
            <w:noProof/>
          </w:rPr>
          <w:t>9.</w:t>
        </w:r>
        <w:r w:rsidR="00E30F59">
          <w:rPr>
            <w:rFonts w:asciiTheme="minorHAnsi" w:eastAsiaTheme="minorEastAsia" w:hAnsiTheme="minorHAnsi" w:cstheme="minorBidi"/>
            <w:smallCaps w:val="0"/>
            <w:noProof/>
            <w:szCs w:val="22"/>
            <w:lang w:eastAsia="en-GB" w:bidi="ar-SA"/>
          </w:rPr>
          <w:tab/>
        </w:r>
        <w:r w:rsidR="00E30F59" w:rsidRPr="00DD563B">
          <w:rPr>
            <w:rStyle w:val="Hyperlink"/>
            <w:noProof/>
          </w:rPr>
          <w:t>Impact Analysis (RIS ID:  11376)</w:t>
        </w:r>
        <w:r w:rsidR="00E30F59">
          <w:rPr>
            <w:noProof/>
            <w:webHidden/>
          </w:rPr>
          <w:tab/>
        </w:r>
        <w:r w:rsidR="00964375">
          <w:rPr>
            <w:noProof/>
            <w:webHidden/>
          </w:rPr>
          <w:fldChar w:fldCharType="begin"/>
        </w:r>
        <w:r w:rsidR="00E30F59">
          <w:rPr>
            <w:noProof/>
            <w:webHidden/>
          </w:rPr>
          <w:instrText xml:space="preserve"> PAGEREF _Toc288490769 \h </w:instrText>
        </w:r>
        <w:r w:rsidR="00964375">
          <w:rPr>
            <w:noProof/>
            <w:webHidden/>
          </w:rPr>
        </w:r>
        <w:r w:rsidR="00964375">
          <w:rPr>
            <w:noProof/>
            <w:webHidden/>
          </w:rPr>
          <w:fldChar w:fldCharType="separate"/>
        </w:r>
        <w:r w:rsidR="003D6859">
          <w:rPr>
            <w:noProof/>
            <w:webHidden/>
          </w:rPr>
          <w:t>10</w:t>
        </w:r>
        <w:r w:rsidR="00964375">
          <w:rPr>
            <w:noProof/>
            <w:webHidden/>
          </w:rPr>
          <w:fldChar w:fldCharType="end"/>
        </w:r>
      </w:hyperlink>
    </w:p>
    <w:p w:rsidR="00E30F59" w:rsidRDefault="00074C78">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288490770" w:history="1">
        <w:r w:rsidR="00E30F59" w:rsidRPr="00DD563B">
          <w:rPr>
            <w:rStyle w:val="Hyperlink"/>
            <w:noProof/>
          </w:rPr>
          <w:t>9.1</w:t>
        </w:r>
        <w:r w:rsidR="00E30F59">
          <w:rPr>
            <w:rFonts w:asciiTheme="minorHAnsi" w:eastAsiaTheme="minorEastAsia" w:hAnsiTheme="minorHAnsi" w:cstheme="minorBidi"/>
            <w:i w:val="0"/>
            <w:iCs w:val="0"/>
            <w:noProof/>
            <w:szCs w:val="22"/>
            <w:lang w:eastAsia="en-GB" w:bidi="ar-SA"/>
          </w:rPr>
          <w:tab/>
        </w:r>
        <w:r w:rsidR="00E30F59" w:rsidRPr="00DD563B">
          <w:rPr>
            <w:rStyle w:val="Hyperlink"/>
            <w:noProof/>
          </w:rPr>
          <w:t>Affected Parties</w:t>
        </w:r>
        <w:r w:rsidR="00E30F59">
          <w:rPr>
            <w:noProof/>
            <w:webHidden/>
          </w:rPr>
          <w:tab/>
        </w:r>
        <w:r w:rsidR="00964375">
          <w:rPr>
            <w:noProof/>
            <w:webHidden/>
          </w:rPr>
          <w:fldChar w:fldCharType="begin"/>
        </w:r>
        <w:r w:rsidR="00E30F59">
          <w:rPr>
            <w:noProof/>
            <w:webHidden/>
          </w:rPr>
          <w:instrText xml:space="preserve"> PAGEREF _Toc288490770 \h </w:instrText>
        </w:r>
        <w:r w:rsidR="00964375">
          <w:rPr>
            <w:noProof/>
            <w:webHidden/>
          </w:rPr>
        </w:r>
        <w:r w:rsidR="00964375">
          <w:rPr>
            <w:noProof/>
            <w:webHidden/>
          </w:rPr>
          <w:fldChar w:fldCharType="separate"/>
        </w:r>
        <w:r w:rsidR="003D6859">
          <w:rPr>
            <w:noProof/>
            <w:webHidden/>
          </w:rPr>
          <w:t>10</w:t>
        </w:r>
        <w:r w:rsidR="00964375">
          <w:rPr>
            <w:noProof/>
            <w:webHidden/>
          </w:rPr>
          <w:fldChar w:fldCharType="end"/>
        </w:r>
      </w:hyperlink>
    </w:p>
    <w:p w:rsidR="00E30F59" w:rsidRDefault="00074C78">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288490771" w:history="1">
        <w:r w:rsidR="00E30F59" w:rsidRPr="00DD563B">
          <w:rPr>
            <w:rStyle w:val="Hyperlink"/>
            <w:noProof/>
          </w:rPr>
          <w:t>9.2</w:t>
        </w:r>
        <w:r w:rsidR="00E30F59">
          <w:rPr>
            <w:rFonts w:asciiTheme="minorHAnsi" w:eastAsiaTheme="minorEastAsia" w:hAnsiTheme="minorHAnsi" w:cstheme="minorBidi"/>
            <w:i w:val="0"/>
            <w:iCs w:val="0"/>
            <w:noProof/>
            <w:szCs w:val="22"/>
            <w:lang w:eastAsia="en-GB" w:bidi="ar-SA"/>
          </w:rPr>
          <w:tab/>
        </w:r>
        <w:r w:rsidR="00E30F59" w:rsidRPr="00DD563B">
          <w:rPr>
            <w:rStyle w:val="Hyperlink"/>
            <w:noProof/>
          </w:rPr>
          <w:t>Benefit Cost Analysis</w:t>
        </w:r>
        <w:r w:rsidR="00E30F59">
          <w:rPr>
            <w:noProof/>
            <w:webHidden/>
          </w:rPr>
          <w:tab/>
        </w:r>
        <w:r w:rsidR="00964375">
          <w:rPr>
            <w:noProof/>
            <w:webHidden/>
          </w:rPr>
          <w:fldChar w:fldCharType="begin"/>
        </w:r>
        <w:r w:rsidR="00E30F59">
          <w:rPr>
            <w:noProof/>
            <w:webHidden/>
          </w:rPr>
          <w:instrText xml:space="preserve"> PAGEREF _Toc288490771 \h </w:instrText>
        </w:r>
        <w:r w:rsidR="00964375">
          <w:rPr>
            <w:noProof/>
            <w:webHidden/>
          </w:rPr>
        </w:r>
        <w:r w:rsidR="00964375">
          <w:rPr>
            <w:noProof/>
            <w:webHidden/>
          </w:rPr>
          <w:fldChar w:fldCharType="separate"/>
        </w:r>
        <w:r w:rsidR="003D6859">
          <w:rPr>
            <w:noProof/>
            <w:webHidden/>
          </w:rPr>
          <w:t>10</w:t>
        </w:r>
        <w:r w:rsidR="00964375">
          <w:rPr>
            <w:noProof/>
            <w:webHidden/>
          </w:rPr>
          <w:fldChar w:fldCharType="end"/>
        </w:r>
      </w:hyperlink>
    </w:p>
    <w:p w:rsidR="00E30F59" w:rsidRDefault="00074C78">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288490772" w:history="1">
        <w:r w:rsidR="00E30F59" w:rsidRPr="00DD563B">
          <w:rPr>
            <w:rStyle w:val="Hyperlink"/>
            <w:rFonts w:cs="Arial"/>
            <w:noProof/>
          </w:rPr>
          <w:t>9.3</w:t>
        </w:r>
        <w:r w:rsidR="00E30F59">
          <w:rPr>
            <w:rFonts w:asciiTheme="minorHAnsi" w:eastAsiaTheme="minorEastAsia" w:hAnsiTheme="minorHAnsi" w:cstheme="minorBidi"/>
            <w:i w:val="0"/>
            <w:iCs w:val="0"/>
            <w:noProof/>
            <w:szCs w:val="22"/>
            <w:lang w:eastAsia="en-GB" w:bidi="ar-SA"/>
          </w:rPr>
          <w:tab/>
        </w:r>
        <w:r w:rsidR="00E30F59" w:rsidRPr="00DD563B">
          <w:rPr>
            <w:rStyle w:val="Hyperlink"/>
            <w:rFonts w:cs="Arial"/>
            <w:noProof/>
          </w:rPr>
          <w:t>Comparison of Options</w:t>
        </w:r>
        <w:r w:rsidR="00E30F59">
          <w:rPr>
            <w:noProof/>
            <w:webHidden/>
          </w:rPr>
          <w:tab/>
        </w:r>
        <w:r w:rsidR="00964375">
          <w:rPr>
            <w:noProof/>
            <w:webHidden/>
          </w:rPr>
          <w:fldChar w:fldCharType="begin"/>
        </w:r>
        <w:r w:rsidR="00E30F59">
          <w:rPr>
            <w:noProof/>
            <w:webHidden/>
          </w:rPr>
          <w:instrText xml:space="preserve"> PAGEREF _Toc288490772 \h </w:instrText>
        </w:r>
        <w:r w:rsidR="00964375">
          <w:rPr>
            <w:noProof/>
            <w:webHidden/>
          </w:rPr>
        </w:r>
        <w:r w:rsidR="00964375">
          <w:rPr>
            <w:noProof/>
            <w:webHidden/>
          </w:rPr>
          <w:fldChar w:fldCharType="separate"/>
        </w:r>
        <w:r w:rsidR="003D6859">
          <w:rPr>
            <w:noProof/>
            <w:webHidden/>
          </w:rPr>
          <w:t>11</w:t>
        </w:r>
        <w:r w:rsidR="00964375">
          <w:rPr>
            <w:noProof/>
            <w:webHidden/>
          </w:rPr>
          <w:fldChar w:fldCharType="end"/>
        </w:r>
      </w:hyperlink>
    </w:p>
    <w:p w:rsidR="00E30F59" w:rsidRDefault="00074C78">
      <w:pPr>
        <w:pStyle w:val="TOC1"/>
        <w:tabs>
          <w:tab w:val="right" w:leader="dot" w:pos="9016"/>
        </w:tabs>
        <w:rPr>
          <w:rFonts w:asciiTheme="minorHAnsi" w:eastAsiaTheme="minorEastAsia" w:hAnsiTheme="minorHAnsi" w:cstheme="minorBidi"/>
          <w:b w:val="0"/>
          <w:bCs w:val="0"/>
          <w:caps w:val="0"/>
          <w:noProof/>
          <w:szCs w:val="22"/>
          <w:lang w:eastAsia="en-GB" w:bidi="ar-SA"/>
        </w:rPr>
      </w:pPr>
      <w:hyperlink w:anchor="_Toc288490773" w:history="1">
        <w:r w:rsidR="00E30F59" w:rsidRPr="00DD563B">
          <w:rPr>
            <w:rStyle w:val="Hyperlink"/>
            <w:noProof/>
          </w:rPr>
          <w:t>Communication and Consultation Strategy</w:t>
        </w:r>
        <w:r w:rsidR="00E30F59">
          <w:rPr>
            <w:noProof/>
            <w:webHidden/>
          </w:rPr>
          <w:tab/>
        </w:r>
        <w:r w:rsidR="00964375">
          <w:rPr>
            <w:noProof/>
            <w:webHidden/>
          </w:rPr>
          <w:fldChar w:fldCharType="begin"/>
        </w:r>
        <w:r w:rsidR="00E30F59">
          <w:rPr>
            <w:noProof/>
            <w:webHidden/>
          </w:rPr>
          <w:instrText xml:space="preserve"> PAGEREF _Toc288490773 \h </w:instrText>
        </w:r>
        <w:r w:rsidR="00964375">
          <w:rPr>
            <w:noProof/>
            <w:webHidden/>
          </w:rPr>
        </w:r>
        <w:r w:rsidR="00964375">
          <w:rPr>
            <w:noProof/>
            <w:webHidden/>
          </w:rPr>
          <w:fldChar w:fldCharType="separate"/>
        </w:r>
        <w:r w:rsidR="003D6859">
          <w:rPr>
            <w:noProof/>
            <w:webHidden/>
          </w:rPr>
          <w:t>11</w:t>
        </w:r>
        <w:r w:rsidR="00964375">
          <w:rPr>
            <w:noProof/>
            <w:webHidden/>
          </w:rPr>
          <w:fldChar w:fldCharType="end"/>
        </w:r>
      </w:hyperlink>
    </w:p>
    <w:p w:rsidR="00E30F59" w:rsidRDefault="00074C78">
      <w:pPr>
        <w:pStyle w:val="TOC2"/>
        <w:tabs>
          <w:tab w:val="left" w:pos="960"/>
          <w:tab w:val="right" w:leader="dot" w:pos="9016"/>
        </w:tabs>
        <w:rPr>
          <w:rFonts w:asciiTheme="minorHAnsi" w:eastAsiaTheme="minorEastAsia" w:hAnsiTheme="minorHAnsi" w:cstheme="minorBidi"/>
          <w:smallCaps w:val="0"/>
          <w:noProof/>
          <w:szCs w:val="22"/>
          <w:lang w:eastAsia="en-GB" w:bidi="ar-SA"/>
        </w:rPr>
      </w:pPr>
      <w:hyperlink w:anchor="_Toc288490774" w:history="1">
        <w:r w:rsidR="00E30F59" w:rsidRPr="00DD563B">
          <w:rPr>
            <w:rStyle w:val="Hyperlink"/>
            <w:noProof/>
          </w:rPr>
          <w:t>10.</w:t>
        </w:r>
        <w:r w:rsidR="00E30F59">
          <w:rPr>
            <w:rFonts w:asciiTheme="minorHAnsi" w:eastAsiaTheme="minorEastAsia" w:hAnsiTheme="minorHAnsi" w:cstheme="minorBidi"/>
            <w:smallCaps w:val="0"/>
            <w:noProof/>
            <w:szCs w:val="22"/>
            <w:lang w:eastAsia="en-GB" w:bidi="ar-SA"/>
          </w:rPr>
          <w:tab/>
        </w:r>
        <w:r w:rsidR="00E30F59" w:rsidRPr="00DD563B">
          <w:rPr>
            <w:rStyle w:val="Hyperlink"/>
            <w:noProof/>
          </w:rPr>
          <w:t>Communication</w:t>
        </w:r>
        <w:r w:rsidR="00E30F59">
          <w:rPr>
            <w:noProof/>
            <w:webHidden/>
          </w:rPr>
          <w:tab/>
        </w:r>
        <w:r w:rsidR="00964375">
          <w:rPr>
            <w:noProof/>
            <w:webHidden/>
          </w:rPr>
          <w:fldChar w:fldCharType="begin"/>
        </w:r>
        <w:r w:rsidR="00E30F59">
          <w:rPr>
            <w:noProof/>
            <w:webHidden/>
          </w:rPr>
          <w:instrText xml:space="preserve"> PAGEREF _Toc288490774 \h </w:instrText>
        </w:r>
        <w:r w:rsidR="00964375">
          <w:rPr>
            <w:noProof/>
            <w:webHidden/>
          </w:rPr>
        </w:r>
        <w:r w:rsidR="00964375">
          <w:rPr>
            <w:noProof/>
            <w:webHidden/>
          </w:rPr>
          <w:fldChar w:fldCharType="separate"/>
        </w:r>
        <w:r w:rsidR="003D6859">
          <w:rPr>
            <w:noProof/>
            <w:webHidden/>
          </w:rPr>
          <w:t>11</w:t>
        </w:r>
        <w:r w:rsidR="00964375">
          <w:rPr>
            <w:noProof/>
            <w:webHidden/>
          </w:rPr>
          <w:fldChar w:fldCharType="end"/>
        </w:r>
      </w:hyperlink>
    </w:p>
    <w:p w:rsidR="00E30F59" w:rsidRDefault="00074C78">
      <w:pPr>
        <w:pStyle w:val="TOC2"/>
        <w:tabs>
          <w:tab w:val="left" w:pos="960"/>
          <w:tab w:val="right" w:leader="dot" w:pos="9016"/>
        </w:tabs>
        <w:rPr>
          <w:rFonts w:asciiTheme="minorHAnsi" w:eastAsiaTheme="minorEastAsia" w:hAnsiTheme="minorHAnsi" w:cstheme="minorBidi"/>
          <w:smallCaps w:val="0"/>
          <w:noProof/>
          <w:szCs w:val="22"/>
          <w:lang w:eastAsia="en-GB" w:bidi="ar-SA"/>
        </w:rPr>
      </w:pPr>
      <w:hyperlink w:anchor="_Toc288490775" w:history="1">
        <w:r w:rsidR="00E30F59" w:rsidRPr="00DD563B">
          <w:rPr>
            <w:rStyle w:val="Hyperlink"/>
            <w:noProof/>
          </w:rPr>
          <w:t>11.</w:t>
        </w:r>
        <w:r w:rsidR="00E30F59">
          <w:rPr>
            <w:rFonts w:asciiTheme="minorHAnsi" w:eastAsiaTheme="minorEastAsia" w:hAnsiTheme="minorHAnsi" w:cstheme="minorBidi"/>
            <w:smallCaps w:val="0"/>
            <w:noProof/>
            <w:szCs w:val="22"/>
            <w:lang w:eastAsia="en-GB" w:bidi="ar-SA"/>
          </w:rPr>
          <w:tab/>
        </w:r>
        <w:r w:rsidR="00E30F59" w:rsidRPr="00DD563B">
          <w:rPr>
            <w:rStyle w:val="Hyperlink"/>
            <w:noProof/>
          </w:rPr>
          <w:t>Consultation</w:t>
        </w:r>
        <w:r w:rsidR="00E30F59">
          <w:rPr>
            <w:noProof/>
            <w:webHidden/>
          </w:rPr>
          <w:tab/>
        </w:r>
        <w:r w:rsidR="00964375">
          <w:rPr>
            <w:noProof/>
            <w:webHidden/>
          </w:rPr>
          <w:fldChar w:fldCharType="begin"/>
        </w:r>
        <w:r w:rsidR="00E30F59">
          <w:rPr>
            <w:noProof/>
            <w:webHidden/>
          </w:rPr>
          <w:instrText xml:space="preserve"> PAGEREF _Toc288490775 \h </w:instrText>
        </w:r>
        <w:r w:rsidR="00964375">
          <w:rPr>
            <w:noProof/>
            <w:webHidden/>
          </w:rPr>
        </w:r>
        <w:r w:rsidR="00964375">
          <w:rPr>
            <w:noProof/>
            <w:webHidden/>
          </w:rPr>
          <w:fldChar w:fldCharType="separate"/>
        </w:r>
        <w:r w:rsidR="003D6859">
          <w:rPr>
            <w:noProof/>
            <w:webHidden/>
          </w:rPr>
          <w:t>11</w:t>
        </w:r>
        <w:r w:rsidR="00964375">
          <w:rPr>
            <w:noProof/>
            <w:webHidden/>
          </w:rPr>
          <w:fldChar w:fldCharType="end"/>
        </w:r>
      </w:hyperlink>
    </w:p>
    <w:p w:rsidR="00E30F59" w:rsidRDefault="00074C78">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288490776" w:history="1">
        <w:r w:rsidR="00E30F59" w:rsidRPr="00DD563B">
          <w:rPr>
            <w:rStyle w:val="Hyperlink"/>
            <w:noProof/>
          </w:rPr>
          <w:t>11.1</w:t>
        </w:r>
        <w:r w:rsidR="00E30F59">
          <w:rPr>
            <w:rFonts w:asciiTheme="minorHAnsi" w:eastAsiaTheme="minorEastAsia" w:hAnsiTheme="minorHAnsi" w:cstheme="minorBidi"/>
            <w:i w:val="0"/>
            <w:iCs w:val="0"/>
            <w:noProof/>
            <w:szCs w:val="22"/>
            <w:lang w:eastAsia="en-GB" w:bidi="ar-SA"/>
          </w:rPr>
          <w:tab/>
        </w:r>
        <w:r w:rsidR="00E30F59" w:rsidRPr="00DD563B">
          <w:rPr>
            <w:rStyle w:val="Hyperlink"/>
            <w:noProof/>
          </w:rPr>
          <w:t>Public Consultation</w:t>
        </w:r>
        <w:r w:rsidR="00E30F59">
          <w:rPr>
            <w:noProof/>
            <w:webHidden/>
          </w:rPr>
          <w:tab/>
        </w:r>
        <w:r w:rsidR="00964375">
          <w:rPr>
            <w:noProof/>
            <w:webHidden/>
          </w:rPr>
          <w:fldChar w:fldCharType="begin"/>
        </w:r>
        <w:r w:rsidR="00E30F59">
          <w:rPr>
            <w:noProof/>
            <w:webHidden/>
          </w:rPr>
          <w:instrText xml:space="preserve"> PAGEREF _Toc288490776 \h </w:instrText>
        </w:r>
        <w:r w:rsidR="00964375">
          <w:rPr>
            <w:noProof/>
            <w:webHidden/>
          </w:rPr>
        </w:r>
        <w:r w:rsidR="00964375">
          <w:rPr>
            <w:noProof/>
            <w:webHidden/>
          </w:rPr>
          <w:fldChar w:fldCharType="separate"/>
        </w:r>
        <w:r w:rsidR="003D6859">
          <w:rPr>
            <w:noProof/>
            <w:webHidden/>
          </w:rPr>
          <w:t>11</w:t>
        </w:r>
        <w:r w:rsidR="00964375">
          <w:rPr>
            <w:noProof/>
            <w:webHidden/>
          </w:rPr>
          <w:fldChar w:fldCharType="end"/>
        </w:r>
      </w:hyperlink>
    </w:p>
    <w:p w:rsidR="00E30F59" w:rsidRDefault="00074C78">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288490777" w:history="1">
        <w:r w:rsidR="00E30F59" w:rsidRPr="00DD563B">
          <w:rPr>
            <w:rStyle w:val="Hyperlink"/>
            <w:noProof/>
          </w:rPr>
          <w:t>11.2</w:t>
        </w:r>
        <w:r w:rsidR="00E30F59">
          <w:rPr>
            <w:rFonts w:asciiTheme="minorHAnsi" w:eastAsiaTheme="minorEastAsia" w:hAnsiTheme="minorHAnsi" w:cstheme="minorBidi"/>
            <w:i w:val="0"/>
            <w:iCs w:val="0"/>
            <w:noProof/>
            <w:szCs w:val="22"/>
            <w:lang w:eastAsia="en-GB" w:bidi="ar-SA"/>
          </w:rPr>
          <w:tab/>
        </w:r>
        <w:r w:rsidR="00E30F59" w:rsidRPr="00DD563B">
          <w:rPr>
            <w:rStyle w:val="Hyperlink"/>
            <w:noProof/>
          </w:rPr>
          <w:t>Issues raised in Submissions</w:t>
        </w:r>
        <w:r w:rsidR="00E30F59">
          <w:rPr>
            <w:noProof/>
            <w:webHidden/>
          </w:rPr>
          <w:tab/>
        </w:r>
        <w:r w:rsidR="00964375">
          <w:rPr>
            <w:noProof/>
            <w:webHidden/>
          </w:rPr>
          <w:fldChar w:fldCharType="begin"/>
        </w:r>
        <w:r w:rsidR="00E30F59">
          <w:rPr>
            <w:noProof/>
            <w:webHidden/>
          </w:rPr>
          <w:instrText xml:space="preserve"> PAGEREF _Toc288490777 \h </w:instrText>
        </w:r>
        <w:r w:rsidR="00964375">
          <w:rPr>
            <w:noProof/>
            <w:webHidden/>
          </w:rPr>
        </w:r>
        <w:r w:rsidR="00964375">
          <w:rPr>
            <w:noProof/>
            <w:webHidden/>
          </w:rPr>
          <w:fldChar w:fldCharType="separate"/>
        </w:r>
        <w:r w:rsidR="003D6859">
          <w:rPr>
            <w:noProof/>
            <w:webHidden/>
          </w:rPr>
          <w:t>12</w:t>
        </w:r>
        <w:r w:rsidR="00964375">
          <w:rPr>
            <w:noProof/>
            <w:webHidden/>
          </w:rPr>
          <w:fldChar w:fldCharType="end"/>
        </w:r>
      </w:hyperlink>
    </w:p>
    <w:p w:rsidR="00E30F59" w:rsidRDefault="00074C78">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288490778" w:history="1">
        <w:r w:rsidR="00E30F59" w:rsidRPr="00DD563B">
          <w:rPr>
            <w:rStyle w:val="Hyperlink"/>
            <w:noProof/>
          </w:rPr>
          <w:t>11.3</w:t>
        </w:r>
        <w:r w:rsidR="00E30F59">
          <w:rPr>
            <w:rFonts w:asciiTheme="minorHAnsi" w:eastAsiaTheme="minorEastAsia" w:hAnsiTheme="minorHAnsi" w:cstheme="minorBidi"/>
            <w:i w:val="0"/>
            <w:iCs w:val="0"/>
            <w:noProof/>
            <w:szCs w:val="22"/>
            <w:lang w:eastAsia="en-GB" w:bidi="ar-SA"/>
          </w:rPr>
          <w:tab/>
        </w:r>
        <w:r w:rsidR="00E30F59" w:rsidRPr="00DD563B">
          <w:rPr>
            <w:rStyle w:val="Hyperlink"/>
            <w:noProof/>
          </w:rPr>
          <w:t>World Trade Organization (WTO)</w:t>
        </w:r>
        <w:r w:rsidR="00E30F59">
          <w:rPr>
            <w:noProof/>
            <w:webHidden/>
          </w:rPr>
          <w:tab/>
        </w:r>
        <w:r w:rsidR="00964375">
          <w:rPr>
            <w:noProof/>
            <w:webHidden/>
          </w:rPr>
          <w:fldChar w:fldCharType="begin"/>
        </w:r>
        <w:r w:rsidR="00E30F59">
          <w:rPr>
            <w:noProof/>
            <w:webHidden/>
          </w:rPr>
          <w:instrText xml:space="preserve"> PAGEREF _Toc288490778 \h </w:instrText>
        </w:r>
        <w:r w:rsidR="00964375">
          <w:rPr>
            <w:noProof/>
            <w:webHidden/>
          </w:rPr>
        </w:r>
        <w:r w:rsidR="00964375">
          <w:rPr>
            <w:noProof/>
            <w:webHidden/>
          </w:rPr>
          <w:fldChar w:fldCharType="separate"/>
        </w:r>
        <w:r w:rsidR="003D6859">
          <w:rPr>
            <w:noProof/>
            <w:webHidden/>
          </w:rPr>
          <w:t>15</w:t>
        </w:r>
        <w:r w:rsidR="00964375">
          <w:rPr>
            <w:noProof/>
            <w:webHidden/>
          </w:rPr>
          <w:fldChar w:fldCharType="end"/>
        </w:r>
      </w:hyperlink>
    </w:p>
    <w:p w:rsidR="00E30F59" w:rsidRDefault="00074C78">
      <w:pPr>
        <w:pStyle w:val="TOC1"/>
        <w:tabs>
          <w:tab w:val="right" w:leader="dot" w:pos="9016"/>
        </w:tabs>
        <w:rPr>
          <w:rFonts w:asciiTheme="minorHAnsi" w:eastAsiaTheme="minorEastAsia" w:hAnsiTheme="minorHAnsi" w:cstheme="minorBidi"/>
          <w:b w:val="0"/>
          <w:bCs w:val="0"/>
          <w:caps w:val="0"/>
          <w:noProof/>
          <w:szCs w:val="22"/>
          <w:lang w:eastAsia="en-GB" w:bidi="ar-SA"/>
        </w:rPr>
      </w:pPr>
      <w:hyperlink w:anchor="_Toc288490779" w:history="1">
        <w:r w:rsidR="00E30F59" w:rsidRPr="00DD563B">
          <w:rPr>
            <w:rStyle w:val="Hyperlink"/>
            <w:noProof/>
          </w:rPr>
          <w:t>Conclusion</w:t>
        </w:r>
        <w:r w:rsidR="00E30F59">
          <w:rPr>
            <w:noProof/>
            <w:webHidden/>
          </w:rPr>
          <w:tab/>
        </w:r>
        <w:r w:rsidR="00964375">
          <w:rPr>
            <w:noProof/>
            <w:webHidden/>
          </w:rPr>
          <w:fldChar w:fldCharType="begin"/>
        </w:r>
        <w:r w:rsidR="00E30F59">
          <w:rPr>
            <w:noProof/>
            <w:webHidden/>
          </w:rPr>
          <w:instrText xml:space="preserve"> PAGEREF _Toc288490779 \h </w:instrText>
        </w:r>
        <w:r w:rsidR="00964375">
          <w:rPr>
            <w:noProof/>
            <w:webHidden/>
          </w:rPr>
        </w:r>
        <w:r w:rsidR="00964375">
          <w:rPr>
            <w:noProof/>
            <w:webHidden/>
          </w:rPr>
          <w:fldChar w:fldCharType="separate"/>
        </w:r>
        <w:r w:rsidR="003D6859">
          <w:rPr>
            <w:noProof/>
            <w:webHidden/>
          </w:rPr>
          <w:t>15</w:t>
        </w:r>
        <w:r w:rsidR="00964375">
          <w:rPr>
            <w:noProof/>
            <w:webHidden/>
          </w:rPr>
          <w:fldChar w:fldCharType="end"/>
        </w:r>
      </w:hyperlink>
    </w:p>
    <w:p w:rsidR="00E30F59" w:rsidRDefault="00074C78">
      <w:pPr>
        <w:pStyle w:val="TOC2"/>
        <w:tabs>
          <w:tab w:val="left" w:pos="960"/>
          <w:tab w:val="right" w:leader="dot" w:pos="9016"/>
        </w:tabs>
        <w:rPr>
          <w:rFonts w:asciiTheme="minorHAnsi" w:eastAsiaTheme="minorEastAsia" w:hAnsiTheme="minorHAnsi" w:cstheme="minorBidi"/>
          <w:smallCaps w:val="0"/>
          <w:noProof/>
          <w:szCs w:val="22"/>
          <w:lang w:eastAsia="en-GB" w:bidi="ar-SA"/>
        </w:rPr>
      </w:pPr>
      <w:hyperlink w:anchor="_Toc288490780" w:history="1">
        <w:r w:rsidR="00E30F59" w:rsidRPr="00DD563B">
          <w:rPr>
            <w:rStyle w:val="Hyperlink"/>
            <w:noProof/>
          </w:rPr>
          <w:t>12.</w:t>
        </w:r>
        <w:r w:rsidR="00E30F59">
          <w:rPr>
            <w:rFonts w:asciiTheme="minorHAnsi" w:eastAsiaTheme="minorEastAsia" w:hAnsiTheme="minorHAnsi" w:cstheme="minorBidi"/>
            <w:smallCaps w:val="0"/>
            <w:noProof/>
            <w:szCs w:val="22"/>
            <w:lang w:eastAsia="en-GB" w:bidi="ar-SA"/>
          </w:rPr>
          <w:tab/>
        </w:r>
        <w:r w:rsidR="00E30F59" w:rsidRPr="00DD563B">
          <w:rPr>
            <w:rStyle w:val="Hyperlink"/>
            <w:noProof/>
          </w:rPr>
          <w:t>Conclusion and Decision</w:t>
        </w:r>
        <w:r w:rsidR="00E30F59">
          <w:rPr>
            <w:noProof/>
            <w:webHidden/>
          </w:rPr>
          <w:tab/>
        </w:r>
        <w:r w:rsidR="00964375">
          <w:rPr>
            <w:noProof/>
            <w:webHidden/>
          </w:rPr>
          <w:fldChar w:fldCharType="begin"/>
        </w:r>
        <w:r w:rsidR="00E30F59">
          <w:rPr>
            <w:noProof/>
            <w:webHidden/>
          </w:rPr>
          <w:instrText xml:space="preserve"> PAGEREF _Toc288490780 \h </w:instrText>
        </w:r>
        <w:r w:rsidR="00964375">
          <w:rPr>
            <w:noProof/>
            <w:webHidden/>
          </w:rPr>
        </w:r>
        <w:r w:rsidR="00964375">
          <w:rPr>
            <w:noProof/>
            <w:webHidden/>
          </w:rPr>
          <w:fldChar w:fldCharType="separate"/>
        </w:r>
        <w:r w:rsidR="003D6859">
          <w:rPr>
            <w:noProof/>
            <w:webHidden/>
          </w:rPr>
          <w:t>15</w:t>
        </w:r>
        <w:r w:rsidR="00964375">
          <w:rPr>
            <w:noProof/>
            <w:webHidden/>
          </w:rPr>
          <w:fldChar w:fldCharType="end"/>
        </w:r>
      </w:hyperlink>
    </w:p>
    <w:p w:rsidR="00E30F59" w:rsidRDefault="00074C78">
      <w:pPr>
        <w:pStyle w:val="TOC2"/>
        <w:tabs>
          <w:tab w:val="left" w:pos="960"/>
          <w:tab w:val="right" w:leader="dot" w:pos="9016"/>
        </w:tabs>
        <w:rPr>
          <w:rFonts w:asciiTheme="minorHAnsi" w:eastAsiaTheme="minorEastAsia" w:hAnsiTheme="minorHAnsi" w:cstheme="minorBidi"/>
          <w:smallCaps w:val="0"/>
          <w:noProof/>
          <w:szCs w:val="22"/>
          <w:lang w:eastAsia="en-GB" w:bidi="ar-SA"/>
        </w:rPr>
      </w:pPr>
      <w:hyperlink w:anchor="_Toc288490781" w:history="1">
        <w:r w:rsidR="00E30F59" w:rsidRPr="00DD563B">
          <w:rPr>
            <w:rStyle w:val="Hyperlink"/>
            <w:rFonts w:cs="Arial"/>
            <w:noProof/>
          </w:rPr>
          <w:t>13.</w:t>
        </w:r>
        <w:r w:rsidR="00E30F59">
          <w:rPr>
            <w:rFonts w:asciiTheme="minorHAnsi" w:eastAsiaTheme="minorEastAsia" w:hAnsiTheme="minorHAnsi" w:cstheme="minorBidi"/>
            <w:smallCaps w:val="0"/>
            <w:noProof/>
            <w:szCs w:val="22"/>
            <w:lang w:eastAsia="en-GB" w:bidi="ar-SA"/>
          </w:rPr>
          <w:tab/>
        </w:r>
        <w:r w:rsidR="00E30F59" w:rsidRPr="00DD563B">
          <w:rPr>
            <w:rStyle w:val="Hyperlink"/>
            <w:rFonts w:cs="Arial"/>
            <w:noProof/>
          </w:rPr>
          <w:t>Implementation and Review</w:t>
        </w:r>
        <w:r w:rsidR="00E30F59">
          <w:rPr>
            <w:noProof/>
            <w:webHidden/>
          </w:rPr>
          <w:tab/>
        </w:r>
        <w:r w:rsidR="00964375">
          <w:rPr>
            <w:noProof/>
            <w:webHidden/>
          </w:rPr>
          <w:fldChar w:fldCharType="begin"/>
        </w:r>
        <w:r w:rsidR="00E30F59">
          <w:rPr>
            <w:noProof/>
            <w:webHidden/>
          </w:rPr>
          <w:instrText xml:space="preserve"> PAGEREF _Toc288490781 \h </w:instrText>
        </w:r>
        <w:r w:rsidR="00964375">
          <w:rPr>
            <w:noProof/>
            <w:webHidden/>
          </w:rPr>
        </w:r>
        <w:r w:rsidR="00964375">
          <w:rPr>
            <w:noProof/>
            <w:webHidden/>
          </w:rPr>
          <w:fldChar w:fldCharType="separate"/>
        </w:r>
        <w:r w:rsidR="003D6859">
          <w:rPr>
            <w:noProof/>
            <w:webHidden/>
          </w:rPr>
          <w:t>17</w:t>
        </w:r>
        <w:r w:rsidR="00964375">
          <w:rPr>
            <w:noProof/>
            <w:webHidden/>
          </w:rPr>
          <w:fldChar w:fldCharType="end"/>
        </w:r>
      </w:hyperlink>
    </w:p>
    <w:p w:rsidR="00E30F59" w:rsidRDefault="00074C78">
      <w:pPr>
        <w:pStyle w:val="TOC2"/>
        <w:tabs>
          <w:tab w:val="right" w:leader="dot" w:pos="9016"/>
        </w:tabs>
        <w:rPr>
          <w:rFonts w:asciiTheme="minorHAnsi" w:eastAsiaTheme="minorEastAsia" w:hAnsiTheme="minorHAnsi" w:cstheme="minorBidi"/>
          <w:smallCaps w:val="0"/>
          <w:noProof/>
          <w:szCs w:val="22"/>
          <w:lang w:eastAsia="en-GB" w:bidi="ar-SA"/>
        </w:rPr>
      </w:pPr>
      <w:hyperlink w:anchor="_Toc288490782" w:history="1">
        <w:r w:rsidR="00E30F59" w:rsidRPr="00DD563B">
          <w:rPr>
            <w:rStyle w:val="Hyperlink"/>
            <w:rFonts w:cs="Arial"/>
            <w:noProof/>
          </w:rPr>
          <w:t>Attachment 1</w:t>
        </w:r>
        <w:r w:rsidR="00E30F59">
          <w:rPr>
            <w:rStyle w:val="Hyperlink"/>
            <w:rFonts w:cs="Arial"/>
            <w:noProof/>
          </w:rPr>
          <w:t xml:space="preserve"> - </w:t>
        </w:r>
      </w:hyperlink>
      <w:hyperlink w:anchor="_Toc288490783" w:history="1">
        <w:r w:rsidR="00E30F59" w:rsidRPr="00DD563B">
          <w:rPr>
            <w:rStyle w:val="Hyperlink"/>
            <w:rFonts w:cs="Arial"/>
            <w:noProof/>
          </w:rPr>
          <w:t xml:space="preserve">Draft variation to the </w:t>
        </w:r>
        <w:r w:rsidR="00E30F59" w:rsidRPr="00DD563B">
          <w:rPr>
            <w:rStyle w:val="Hyperlink"/>
            <w:rFonts w:cs="Arial"/>
            <w:i/>
            <w:noProof/>
          </w:rPr>
          <w:t>Australia New Zealand Food Standards Code</w:t>
        </w:r>
        <w:r w:rsidR="00E30F59">
          <w:rPr>
            <w:noProof/>
            <w:webHidden/>
          </w:rPr>
          <w:tab/>
        </w:r>
        <w:r w:rsidR="00964375">
          <w:rPr>
            <w:noProof/>
            <w:webHidden/>
          </w:rPr>
          <w:fldChar w:fldCharType="begin"/>
        </w:r>
        <w:r w:rsidR="00E30F59">
          <w:rPr>
            <w:noProof/>
            <w:webHidden/>
          </w:rPr>
          <w:instrText xml:space="preserve"> PAGEREF _Toc288490783 \h </w:instrText>
        </w:r>
        <w:r w:rsidR="00964375">
          <w:rPr>
            <w:noProof/>
            <w:webHidden/>
          </w:rPr>
        </w:r>
        <w:r w:rsidR="00964375">
          <w:rPr>
            <w:noProof/>
            <w:webHidden/>
          </w:rPr>
          <w:fldChar w:fldCharType="separate"/>
        </w:r>
        <w:r w:rsidR="003D6859">
          <w:rPr>
            <w:noProof/>
            <w:webHidden/>
          </w:rPr>
          <w:t>18</w:t>
        </w:r>
        <w:r w:rsidR="00964375">
          <w:rPr>
            <w:noProof/>
            <w:webHidden/>
          </w:rPr>
          <w:fldChar w:fldCharType="end"/>
        </w:r>
      </w:hyperlink>
    </w:p>
    <w:p w:rsidR="00E30F59" w:rsidRDefault="00074C78">
      <w:pPr>
        <w:pStyle w:val="TOC2"/>
        <w:tabs>
          <w:tab w:val="right" w:leader="dot" w:pos="9016"/>
        </w:tabs>
        <w:rPr>
          <w:rFonts w:asciiTheme="minorHAnsi" w:eastAsiaTheme="minorEastAsia" w:hAnsiTheme="minorHAnsi" w:cstheme="minorBidi"/>
          <w:smallCaps w:val="0"/>
          <w:noProof/>
          <w:szCs w:val="22"/>
          <w:lang w:eastAsia="en-GB" w:bidi="ar-SA"/>
        </w:rPr>
      </w:pPr>
      <w:hyperlink w:anchor="_Toc288490784" w:history="1">
        <w:r w:rsidR="00E30F59" w:rsidRPr="00DD563B">
          <w:rPr>
            <w:rStyle w:val="Hyperlink"/>
            <w:rFonts w:cs="Arial"/>
            <w:noProof/>
          </w:rPr>
          <w:t>Attachment 2</w:t>
        </w:r>
        <w:r w:rsidR="00E30F59">
          <w:rPr>
            <w:rStyle w:val="Hyperlink"/>
            <w:rFonts w:cs="Arial"/>
            <w:noProof/>
          </w:rPr>
          <w:t xml:space="preserve"> - </w:t>
        </w:r>
      </w:hyperlink>
      <w:hyperlink w:anchor="_Toc288490785" w:history="1">
        <w:r w:rsidR="00E30F59" w:rsidRPr="00DD563B">
          <w:rPr>
            <w:rStyle w:val="Hyperlink"/>
            <w:rFonts w:cs="Arial"/>
            <w:noProof/>
          </w:rPr>
          <w:t>Summary of Public Submissions on the Assessment Report</w:t>
        </w:r>
        <w:r w:rsidR="00E30F59">
          <w:rPr>
            <w:noProof/>
            <w:webHidden/>
          </w:rPr>
          <w:tab/>
        </w:r>
        <w:r w:rsidR="00964375">
          <w:rPr>
            <w:noProof/>
            <w:webHidden/>
          </w:rPr>
          <w:fldChar w:fldCharType="begin"/>
        </w:r>
        <w:r w:rsidR="00E30F59">
          <w:rPr>
            <w:noProof/>
            <w:webHidden/>
          </w:rPr>
          <w:instrText xml:space="preserve"> PAGEREF _Toc288490785 \h </w:instrText>
        </w:r>
        <w:r w:rsidR="00964375">
          <w:rPr>
            <w:noProof/>
            <w:webHidden/>
          </w:rPr>
        </w:r>
        <w:r w:rsidR="00964375">
          <w:rPr>
            <w:noProof/>
            <w:webHidden/>
          </w:rPr>
          <w:fldChar w:fldCharType="separate"/>
        </w:r>
        <w:r w:rsidR="003D6859">
          <w:rPr>
            <w:noProof/>
            <w:webHidden/>
          </w:rPr>
          <w:t>19</w:t>
        </w:r>
        <w:r w:rsidR="00964375">
          <w:rPr>
            <w:noProof/>
            <w:webHidden/>
          </w:rPr>
          <w:fldChar w:fldCharType="end"/>
        </w:r>
      </w:hyperlink>
    </w:p>
    <w:p w:rsidR="003C4969" w:rsidRPr="00DC6570" w:rsidRDefault="00964375">
      <w:pPr>
        <w:rPr>
          <w:rFonts w:cs="Arial"/>
        </w:rPr>
      </w:pPr>
      <w:r w:rsidRPr="00DC6570">
        <w:rPr>
          <w:rFonts w:cs="Arial"/>
        </w:rPr>
        <w:fldChar w:fldCharType="end"/>
      </w:r>
    </w:p>
    <w:p w:rsidR="00F42A4C" w:rsidRPr="00782742" w:rsidRDefault="00F42A4C">
      <w:pPr>
        <w:rPr>
          <w:rFonts w:cs="Arial"/>
          <w:sz w:val="20"/>
          <w:szCs w:val="20"/>
        </w:rPr>
      </w:pPr>
    </w:p>
    <w:p w:rsidR="00F42A4C" w:rsidRPr="00782742" w:rsidRDefault="00F42A4C" w:rsidP="00F42A4C">
      <w:pPr>
        <w:pStyle w:val="TOC1"/>
        <w:rPr>
          <w:rStyle w:val="Hyperlink"/>
        </w:rPr>
      </w:pPr>
      <w:r w:rsidRPr="00782742">
        <w:rPr>
          <w:rStyle w:val="Hyperlink"/>
        </w:rPr>
        <w:t>SUPPORTING DOCUMENT</w:t>
      </w:r>
    </w:p>
    <w:p w:rsidR="00F42A4C" w:rsidRPr="00782742" w:rsidRDefault="00F42A4C" w:rsidP="00F42A4C">
      <w:pPr>
        <w:rPr>
          <w:szCs w:val="22"/>
        </w:rPr>
      </w:pPr>
    </w:p>
    <w:p w:rsidR="00102102" w:rsidRDefault="00F42A4C" w:rsidP="00F42A4C">
      <w:pPr>
        <w:rPr>
          <w:szCs w:val="22"/>
        </w:rPr>
      </w:pPr>
      <w:r w:rsidRPr="00782742">
        <w:rPr>
          <w:szCs w:val="22"/>
        </w:rPr>
        <w:t>The following material, which was used in the preparation of this A</w:t>
      </w:r>
      <w:r w:rsidR="008E154A">
        <w:rPr>
          <w:szCs w:val="22"/>
        </w:rPr>
        <w:t>pproval</w:t>
      </w:r>
      <w:r w:rsidRPr="00782742">
        <w:rPr>
          <w:szCs w:val="22"/>
        </w:rPr>
        <w:t xml:space="preserve"> Report, is available on the FSANZ website at </w:t>
      </w:r>
      <w:hyperlink r:id="rId14" w:history="1">
        <w:r w:rsidR="00102102" w:rsidRPr="00102102">
          <w:rPr>
            <w:rStyle w:val="Hyperlink"/>
            <w:color w:val="3333FF"/>
            <w:szCs w:val="22"/>
          </w:rPr>
          <w:t>http://www.foodstandards.gov.au/</w:t>
        </w:r>
        <w:r w:rsidR="00102102" w:rsidRPr="004F3967">
          <w:rPr>
            <w:rStyle w:val="Hyperlink"/>
            <w:color w:val="3333FF"/>
            <w:szCs w:val="22"/>
          </w:rPr>
          <w:t>foodstandards</w:t>
        </w:r>
        <w:r w:rsidR="00102102" w:rsidRPr="00102102">
          <w:rPr>
            <w:rStyle w:val="Hyperlink"/>
            <w:color w:val="3333FF"/>
            <w:szCs w:val="22"/>
          </w:rPr>
          <w:t>/applications/applicationa1030calc4429.cfm</w:t>
        </w:r>
      </w:hyperlink>
      <w:r w:rsidR="0068631F">
        <w:rPr>
          <w:rStyle w:val="Hyperlink"/>
          <w:color w:val="3333FF"/>
          <w:szCs w:val="22"/>
        </w:rPr>
        <w:t>.</w:t>
      </w:r>
    </w:p>
    <w:p w:rsidR="00102102" w:rsidRPr="00782742" w:rsidRDefault="00102102" w:rsidP="00F42A4C"/>
    <w:p w:rsidR="00F42A4C" w:rsidRPr="00782742" w:rsidRDefault="00F42A4C" w:rsidP="00F42A4C"/>
    <w:p w:rsidR="00F42A4C" w:rsidRPr="00782742" w:rsidRDefault="00F42A4C" w:rsidP="00F42A4C">
      <w:r w:rsidRPr="00782742">
        <w:t>SD1</w:t>
      </w:r>
      <w:r w:rsidRPr="00782742">
        <w:tab/>
        <w:t xml:space="preserve">Risk Assessment Report </w:t>
      </w:r>
      <w:r w:rsidR="0068631F">
        <w:t>(Approval)</w:t>
      </w:r>
    </w:p>
    <w:p w:rsidR="00F42A4C" w:rsidRPr="00782742" w:rsidRDefault="00F42A4C" w:rsidP="00F42A4C"/>
    <w:p w:rsidR="00F42A4C" w:rsidRPr="00782742" w:rsidRDefault="00F42A4C">
      <w:pPr>
        <w:rPr>
          <w:rFonts w:cs="Arial"/>
          <w:sz w:val="20"/>
          <w:szCs w:val="20"/>
        </w:rPr>
      </w:pPr>
    </w:p>
    <w:p w:rsidR="003C4969" w:rsidRPr="003E46BA" w:rsidRDefault="003C4969" w:rsidP="003E46BA">
      <w:pPr>
        <w:pStyle w:val="Heading1"/>
      </w:pPr>
      <w:bookmarkStart w:id="21" w:name="_Toc29883110"/>
      <w:bookmarkStart w:id="22" w:name="_Toc41906797"/>
      <w:bookmarkStart w:id="23" w:name="_Toc41907544"/>
      <w:bookmarkStart w:id="24" w:name="_Toc120358575"/>
      <w:r w:rsidRPr="00DC6570">
        <w:br w:type="page"/>
      </w:r>
      <w:bookmarkStart w:id="25" w:name="_Toc288490748"/>
      <w:r w:rsidRPr="001C27A3">
        <w:lastRenderedPageBreak/>
        <w:t>Introduction</w:t>
      </w:r>
      <w:bookmarkEnd w:id="20"/>
      <w:bookmarkEnd w:id="21"/>
      <w:bookmarkEnd w:id="22"/>
      <w:bookmarkEnd w:id="23"/>
      <w:bookmarkEnd w:id="24"/>
      <w:bookmarkEnd w:id="25"/>
    </w:p>
    <w:p w:rsidR="00807559" w:rsidRDefault="00807559" w:rsidP="00807559">
      <w:pPr>
        <w:rPr>
          <w:rFonts w:cs="Arial"/>
        </w:rPr>
      </w:pPr>
    </w:p>
    <w:p w:rsidR="008716A8" w:rsidRDefault="008716A8" w:rsidP="008716A8">
      <w:pPr>
        <w:rPr>
          <w:rFonts w:cs="Arial"/>
        </w:rPr>
      </w:pPr>
      <w:r>
        <w:rPr>
          <w:rFonts w:cs="Arial"/>
        </w:rPr>
        <w:t xml:space="preserve">On 26 June 2009, FSANZ received an Application from DSM Nutritional Products Australia Pty Ltd to amend the </w:t>
      </w:r>
      <w:r w:rsidRPr="00D91344">
        <w:rPr>
          <w:rFonts w:cs="Arial"/>
          <w:i/>
        </w:rPr>
        <w:t>Australia New Zealand Food Standards Code</w:t>
      </w:r>
      <w:r>
        <w:rPr>
          <w:rFonts w:cs="Arial"/>
        </w:rPr>
        <w:t xml:space="preserve"> (the Code) to permit the use of calcium lignosulphonate (40-65) to incorporate fat-soluble vitamins and carotenoids into water-based foods. The </w:t>
      </w:r>
      <w:r w:rsidR="005D365E">
        <w:rPr>
          <w:rFonts w:cs="Arial"/>
        </w:rPr>
        <w:t>fat-soluble</w:t>
      </w:r>
      <w:r>
        <w:rPr>
          <w:rFonts w:cs="Arial"/>
        </w:rPr>
        <w:t xml:space="preserve"> vitamins are vitamin A, D, E and K and the carotenoids include β-carotene; carotenal, β-apo-8’; lutein</w:t>
      </w:r>
      <w:r w:rsidR="000F484E">
        <w:rPr>
          <w:rFonts w:cs="Arial"/>
        </w:rPr>
        <w:t xml:space="preserve"> and</w:t>
      </w:r>
      <w:r>
        <w:rPr>
          <w:rFonts w:cs="Arial"/>
        </w:rPr>
        <w:t xml:space="preserve"> lycopene.</w:t>
      </w:r>
    </w:p>
    <w:p w:rsidR="008716A8" w:rsidRDefault="008716A8" w:rsidP="00807559">
      <w:pPr>
        <w:rPr>
          <w:rFonts w:cs="Arial"/>
        </w:rPr>
      </w:pPr>
    </w:p>
    <w:p w:rsidR="00504CD7" w:rsidRDefault="00504CD7" w:rsidP="00504CD7">
      <w:pPr>
        <w:rPr>
          <w:rFonts w:cs="Arial"/>
        </w:rPr>
      </w:pPr>
      <w:r>
        <w:rPr>
          <w:rFonts w:cs="Arial"/>
        </w:rPr>
        <w:t xml:space="preserve">The Applicant </w:t>
      </w:r>
      <w:r w:rsidR="006F0ABD">
        <w:rPr>
          <w:rFonts w:cs="Arial"/>
        </w:rPr>
        <w:t xml:space="preserve">claimed </w:t>
      </w:r>
      <w:r>
        <w:rPr>
          <w:rFonts w:cs="Arial"/>
        </w:rPr>
        <w:t>calcium lignosulphonate (40-65) acts as a processing aid when it is used for the proposed purpose of the Application and so requested that Standard 1.3.3 – Processing Aids be amended if the Application is accepted and permission for use is approved.</w:t>
      </w:r>
    </w:p>
    <w:p w:rsidR="00504CD7" w:rsidRDefault="00504CD7" w:rsidP="00504CD7">
      <w:pPr>
        <w:rPr>
          <w:rFonts w:cs="Arial"/>
        </w:rPr>
      </w:pPr>
    </w:p>
    <w:p w:rsidR="00504CD7" w:rsidRDefault="00504CD7" w:rsidP="00504CD7">
      <w:pPr>
        <w:rPr>
          <w:rFonts w:cs="Arial"/>
        </w:rPr>
      </w:pPr>
      <w:r>
        <w:rPr>
          <w:rFonts w:cs="Arial"/>
        </w:rPr>
        <w:t xml:space="preserve">FSANZ accepted the Application on 17 July 2009 after an Administrative Assessment. FSANZ commenced its assessment of the Application in the first quarter of 2010. </w:t>
      </w:r>
    </w:p>
    <w:p w:rsidR="00504CD7" w:rsidRDefault="00504CD7" w:rsidP="00504CD7">
      <w:pPr>
        <w:rPr>
          <w:rFonts w:cs="Arial"/>
        </w:rPr>
      </w:pPr>
    </w:p>
    <w:p w:rsidR="00504CD7" w:rsidRDefault="005D365E" w:rsidP="00504CD7">
      <w:pPr>
        <w:rPr>
          <w:rFonts w:cs="Arial"/>
        </w:rPr>
      </w:pPr>
      <w:r>
        <w:rPr>
          <w:rFonts w:cs="Arial"/>
        </w:rPr>
        <w:t>Fat-soluble</w:t>
      </w:r>
      <w:r w:rsidR="00504CD7">
        <w:rPr>
          <w:rFonts w:cs="Arial"/>
        </w:rPr>
        <w:t xml:space="preserve"> vitamins (also called lipophilic vitamins) and various carotenoids are often susceptible to light and oxidation, as well as being difficult to disperse uniformly in water</w:t>
      </w:r>
      <w:r w:rsidR="004925F4">
        <w:rPr>
          <w:rFonts w:cs="Arial"/>
        </w:rPr>
        <w:t>-</w:t>
      </w:r>
      <w:r w:rsidR="00504CD7">
        <w:rPr>
          <w:rFonts w:cs="Arial"/>
        </w:rPr>
        <w:t>based foods including drinks. These nutrients are not naturally readily soluble or able to be evenly and uniformly dispersed in aqueous foods and beverages. To overcome these food manufacturing difficulties</w:t>
      </w:r>
      <w:r w:rsidR="00FA3F1D">
        <w:rPr>
          <w:rFonts w:cs="Arial"/>
        </w:rPr>
        <w:t>,</w:t>
      </w:r>
      <w:r w:rsidR="00504CD7">
        <w:rPr>
          <w:rFonts w:cs="Arial"/>
        </w:rPr>
        <w:t xml:space="preserve"> the vitamins and carotenoid colours are often encapsulated so they are suitable to be incorporated into water-based processed foods. Encapsulation means ensuring the active ingredient (e.g. the vitamin or carotenoid) is finely dispersed and embedded in a matrix which has a protective, stabilising and bulking effect to assist in uniformly dispersing the active ingredient within the water-based food matrix.</w:t>
      </w:r>
    </w:p>
    <w:p w:rsidR="00504CD7" w:rsidRDefault="00504CD7" w:rsidP="00504CD7">
      <w:pPr>
        <w:rPr>
          <w:rFonts w:cs="Arial"/>
        </w:rPr>
      </w:pPr>
    </w:p>
    <w:p w:rsidR="00504CD7" w:rsidRDefault="00504CD7" w:rsidP="00504CD7">
      <w:pPr>
        <w:rPr>
          <w:rFonts w:cs="Arial"/>
        </w:rPr>
      </w:pPr>
      <w:r>
        <w:rPr>
          <w:rFonts w:cs="Arial"/>
        </w:rPr>
        <w:t xml:space="preserve">There are a number of </w:t>
      </w:r>
      <w:r w:rsidR="005E7C50">
        <w:rPr>
          <w:rFonts w:cs="Arial"/>
        </w:rPr>
        <w:t>substances</w:t>
      </w:r>
      <w:r>
        <w:rPr>
          <w:rFonts w:cs="Arial"/>
        </w:rPr>
        <w:t xml:space="preserve"> that food manufacturers can use to protect and aid in incorporating nutrients that are normally poorly soluble in water into water-based foods. A number of commonly used </w:t>
      </w:r>
      <w:r w:rsidR="005E7C50">
        <w:rPr>
          <w:rFonts w:cs="Arial"/>
        </w:rPr>
        <w:t>substance</w:t>
      </w:r>
      <w:r>
        <w:rPr>
          <w:rFonts w:cs="Arial"/>
        </w:rPr>
        <w:t xml:space="preserve">s are gelatines, gum arabic (also called gum acacia), soy protein </w:t>
      </w:r>
      <w:r w:rsidR="008F17C8">
        <w:rPr>
          <w:rFonts w:cs="Arial"/>
        </w:rPr>
        <w:t>hydrolysate</w:t>
      </w:r>
      <w:r>
        <w:rPr>
          <w:rFonts w:cs="Arial"/>
        </w:rPr>
        <w:t xml:space="preserve"> or starches. For some food manufacturers</w:t>
      </w:r>
      <w:r w:rsidR="00FA3F1D">
        <w:rPr>
          <w:rFonts w:cs="Arial"/>
        </w:rPr>
        <w:t>,</w:t>
      </w:r>
      <w:r>
        <w:rPr>
          <w:rFonts w:cs="Arial"/>
        </w:rPr>
        <w:t xml:space="preserve"> the use of these </w:t>
      </w:r>
      <w:r w:rsidR="005E7C50">
        <w:rPr>
          <w:rFonts w:cs="Arial"/>
        </w:rPr>
        <w:t>substance</w:t>
      </w:r>
      <w:r>
        <w:rPr>
          <w:rFonts w:cs="Arial"/>
        </w:rPr>
        <w:t>s can cause difficulties. The Applicant argues that g</w:t>
      </w:r>
      <w:r w:rsidRPr="00410AD4">
        <w:rPr>
          <w:rFonts w:cs="Arial"/>
        </w:rPr>
        <w:t xml:space="preserve">elatines, being of animal origin, have disadvantages in not being kosher or halal, have </w:t>
      </w:r>
      <w:r>
        <w:rPr>
          <w:rFonts w:cs="Arial"/>
        </w:rPr>
        <w:t xml:space="preserve">perceived </w:t>
      </w:r>
      <w:r w:rsidR="00C0268F">
        <w:rPr>
          <w:rFonts w:cs="Arial"/>
        </w:rPr>
        <w:t>Bovine Spongiform Encephal</w:t>
      </w:r>
      <w:r w:rsidR="00FA3F1D">
        <w:rPr>
          <w:rFonts w:cs="Arial"/>
        </w:rPr>
        <w:t>opathy</w:t>
      </w:r>
      <w:r w:rsidR="00C0268F">
        <w:rPr>
          <w:rFonts w:cs="Arial"/>
        </w:rPr>
        <w:t xml:space="preserve"> (</w:t>
      </w:r>
      <w:r w:rsidRPr="00410AD4">
        <w:rPr>
          <w:rFonts w:cs="Arial"/>
        </w:rPr>
        <w:t>BSE</w:t>
      </w:r>
      <w:r w:rsidR="00C0268F">
        <w:rPr>
          <w:rFonts w:cs="Arial"/>
        </w:rPr>
        <w:t>)</w:t>
      </w:r>
      <w:r w:rsidRPr="00410AD4">
        <w:rPr>
          <w:rFonts w:cs="Arial"/>
        </w:rPr>
        <w:t xml:space="preserve"> issues </w:t>
      </w:r>
      <w:r>
        <w:rPr>
          <w:rFonts w:cs="Arial"/>
        </w:rPr>
        <w:t>if from bovine sources</w:t>
      </w:r>
      <w:r w:rsidR="006F0ABD">
        <w:rPr>
          <w:rFonts w:cs="Arial"/>
        </w:rPr>
        <w:t>,</w:t>
      </w:r>
      <w:r>
        <w:rPr>
          <w:rFonts w:cs="Arial"/>
        </w:rPr>
        <w:t xml:space="preserve"> </w:t>
      </w:r>
      <w:r w:rsidRPr="00410AD4">
        <w:rPr>
          <w:rFonts w:cs="Arial"/>
        </w:rPr>
        <w:t xml:space="preserve">and potential allergen labelling issues if sourced from fish. Soy protein </w:t>
      </w:r>
      <w:r w:rsidR="008F17C8">
        <w:rPr>
          <w:rFonts w:cs="Arial"/>
        </w:rPr>
        <w:t>hydrolysate</w:t>
      </w:r>
      <w:r w:rsidRPr="00410AD4">
        <w:rPr>
          <w:rFonts w:cs="Arial"/>
        </w:rPr>
        <w:t xml:space="preserve"> or starches may have </w:t>
      </w:r>
      <w:r>
        <w:rPr>
          <w:rFonts w:cs="Arial"/>
        </w:rPr>
        <w:t>genetically modified (</w:t>
      </w:r>
      <w:r w:rsidRPr="00410AD4">
        <w:rPr>
          <w:rFonts w:cs="Arial"/>
        </w:rPr>
        <w:t>GM</w:t>
      </w:r>
      <w:r>
        <w:rPr>
          <w:rFonts w:cs="Arial"/>
        </w:rPr>
        <w:t>)</w:t>
      </w:r>
      <w:r w:rsidRPr="00410AD4">
        <w:rPr>
          <w:rFonts w:cs="Arial"/>
        </w:rPr>
        <w:t xml:space="preserve"> labelling issues (if sourced from soy</w:t>
      </w:r>
      <w:r>
        <w:rPr>
          <w:rFonts w:cs="Arial"/>
        </w:rPr>
        <w:t xml:space="preserve"> that may include GM soy</w:t>
      </w:r>
      <w:r w:rsidRPr="00410AD4">
        <w:rPr>
          <w:rFonts w:cs="Arial"/>
        </w:rPr>
        <w:t>)</w:t>
      </w:r>
      <w:r w:rsidR="008E154A">
        <w:rPr>
          <w:rFonts w:cs="Arial"/>
        </w:rPr>
        <w:t xml:space="preserve"> as well as allergen labelling requirements</w:t>
      </w:r>
      <w:r>
        <w:rPr>
          <w:rFonts w:cs="Arial"/>
        </w:rPr>
        <w:t xml:space="preserve">. The Applicant claims that </w:t>
      </w:r>
      <w:r w:rsidRPr="00BF6430">
        <w:rPr>
          <w:rFonts w:cs="Arial"/>
        </w:rPr>
        <w:t xml:space="preserve">calcium </w:t>
      </w:r>
      <w:r>
        <w:rPr>
          <w:rFonts w:cs="Arial"/>
        </w:rPr>
        <w:t>lignosulphonate</w:t>
      </w:r>
      <w:r w:rsidRPr="00BF6430">
        <w:rPr>
          <w:rFonts w:cs="Arial"/>
        </w:rPr>
        <w:t xml:space="preserve"> (40-65) </w:t>
      </w:r>
      <w:r>
        <w:rPr>
          <w:rFonts w:cs="Arial"/>
        </w:rPr>
        <w:t xml:space="preserve">does not have these potential disadvantages. </w:t>
      </w:r>
    </w:p>
    <w:p w:rsidR="00720687" w:rsidRDefault="00720687" w:rsidP="00807559">
      <w:pPr>
        <w:rPr>
          <w:rFonts w:cs="Arial"/>
        </w:rPr>
      </w:pPr>
    </w:p>
    <w:p w:rsidR="00991739" w:rsidRDefault="00991739" w:rsidP="00807559">
      <w:pPr>
        <w:rPr>
          <w:rFonts w:cs="Arial"/>
        </w:rPr>
      </w:pPr>
      <w:r>
        <w:rPr>
          <w:rFonts w:cs="Arial"/>
        </w:rPr>
        <w:t>The Applicant, along with Codex Committee on Food Additives and the Joint FAO/WHO Expert Committee on Food Additive</w:t>
      </w:r>
      <w:r w:rsidR="00B516C8">
        <w:rPr>
          <w:rFonts w:cs="Arial"/>
        </w:rPr>
        <w:t>s</w:t>
      </w:r>
      <w:r>
        <w:rPr>
          <w:rFonts w:cs="Arial"/>
        </w:rPr>
        <w:t xml:space="preserve"> (JECFA) uses the suffix (40-65) to </w:t>
      </w:r>
      <w:r w:rsidRPr="00991739">
        <w:rPr>
          <w:rFonts w:cs="Arial"/>
        </w:rPr>
        <w:t>calcium lignosulph</w:t>
      </w:r>
      <w:r>
        <w:rPr>
          <w:rFonts w:cs="Arial"/>
        </w:rPr>
        <w:t xml:space="preserve">onate to distinguish its more defined form of the substance from other </w:t>
      </w:r>
      <w:r w:rsidRPr="00991739">
        <w:rPr>
          <w:rFonts w:cs="Arial"/>
        </w:rPr>
        <w:t>calcium lignosulph</w:t>
      </w:r>
      <w:r>
        <w:rPr>
          <w:rFonts w:cs="Arial"/>
        </w:rPr>
        <w:t>onates. The term (40-65) refers to the range of weight-average molecular weights of the polymers; being in the range of 40 to 65 kDa.</w:t>
      </w:r>
    </w:p>
    <w:p w:rsidR="00991739" w:rsidRPr="00DC6570" w:rsidRDefault="00991739" w:rsidP="00807559">
      <w:pPr>
        <w:rPr>
          <w:rFonts w:cs="Arial"/>
        </w:rPr>
      </w:pPr>
    </w:p>
    <w:p w:rsidR="003C4969" w:rsidRDefault="00807559">
      <w:pPr>
        <w:pStyle w:val="Heading2"/>
        <w:rPr>
          <w:rFonts w:cs="Arial"/>
        </w:rPr>
      </w:pPr>
      <w:bookmarkStart w:id="26" w:name="_Toc288490749"/>
      <w:r>
        <w:rPr>
          <w:rFonts w:cs="Arial"/>
        </w:rPr>
        <w:t>1</w:t>
      </w:r>
      <w:r w:rsidR="003C4969" w:rsidRPr="00DC6570">
        <w:rPr>
          <w:rFonts w:cs="Arial"/>
        </w:rPr>
        <w:t>.</w:t>
      </w:r>
      <w:r w:rsidR="003C4969" w:rsidRPr="00DC6570">
        <w:rPr>
          <w:rFonts w:cs="Arial"/>
        </w:rPr>
        <w:tab/>
        <w:t>The Issue / Problem</w:t>
      </w:r>
      <w:bookmarkEnd w:id="26"/>
    </w:p>
    <w:p w:rsidR="007602AA" w:rsidRPr="007602AA" w:rsidRDefault="007602AA" w:rsidP="007602AA"/>
    <w:p w:rsidR="00504CD7" w:rsidRDefault="00504CD7" w:rsidP="00504CD7">
      <w:pPr>
        <w:rPr>
          <w:rFonts w:cs="Arial"/>
        </w:rPr>
      </w:pPr>
      <w:bookmarkStart w:id="27" w:name="_Toc11735630"/>
      <w:bookmarkStart w:id="28" w:name="_Toc29883114"/>
      <w:bookmarkStart w:id="29" w:name="_Toc41906801"/>
      <w:bookmarkStart w:id="30" w:name="_Toc41907548"/>
      <w:bookmarkStart w:id="31" w:name="_Toc120358578"/>
      <w:r>
        <w:rPr>
          <w:rFonts w:cs="Arial"/>
        </w:rPr>
        <w:t xml:space="preserve">Processing aids and food additives are not permitted to be used in the manufacture of food unless there is a specific permission for their use in Standard 1.3.3 and Standard 1.3.1 respectively. There is currently no permission for the use of </w:t>
      </w:r>
      <w:r w:rsidRPr="009F7F3B">
        <w:rPr>
          <w:rFonts w:cs="Arial"/>
        </w:rPr>
        <w:t xml:space="preserve">calcium lignosulphonate (40-65) </w:t>
      </w:r>
      <w:r>
        <w:rPr>
          <w:rFonts w:cs="Arial"/>
        </w:rPr>
        <w:t>in the Code. FSANZ is therefore required to make an assessment of the Application to determine whether permission for the use of calcium lignosulphonate (40-65) for the proposed purpose as outlined in the Application can be granted.</w:t>
      </w:r>
    </w:p>
    <w:p w:rsidR="00504CD7" w:rsidRDefault="00504CD7" w:rsidP="00504CD7">
      <w:pPr>
        <w:rPr>
          <w:rFonts w:cs="Arial"/>
        </w:rPr>
      </w:pPr>
    </w:p>
    <w:p w:rsidR="0068631F" w:rsidRDefault="0068631F" w:rsidP="0068631F">
      <w:r>
        <w:br w:type="page"/>
      </w:r>
    </w:p>
    <w:p w:rsidR="00504CD7" w:rsidRDefault="00504CD7" w:rsidP="0068631F">
      <w:r>
        <w:lastRenderedPageBreak/>
        <w:t xml:space="preserve">In order to determine whether calcium lignosulphonate (40-65) is more appropriately considered </w:t>
      </w:r>
      <w:r w:rsidR="004925F4">
        <w:t>as</w:t>
      </w:r>
      <w:r>
        <w:t xml:space="preserve"> a processing aid or a food additive the technological function it performs require</w:t>
      </w:r>
      <w:r w:rsidR="008E154A">
        <w:t>d</w:t>
      </w:r>
      <w:r>
        <w:t xml:space="preserve"> investigation</w:t>
      </w:r>
      <w:r w:rsidR="004925F4">
        <w:t>.</w:t>
      </w:r>
      <w:r>
        <w:t xml:space="preserve"> </w:t>
      </w:r>
      <w:r w:rsidR="004925F4">
        <w:t>That is,</w:t>
      </w:r>
      <w:r>
        <w:t xml:space="preserve"> whether it is a processing aid as the Applicant claims</w:t>
      </w:r>
      <w:r w:rsidR="00FA3F1D">
        <w:t xml:space="preserve"> </w:t>
      </w:r>
      <w:r>
        <w:t>or whether the substance is better described as a food additive having one of the technological functions in Schedule 5 of Standard 1.3.1 – Food Additives, in the final food. Schedule 5 does not define ‘carrier’ as a technological function for a food additive.</w:t>
      </w:r>
    </w:p>
    <w:p w:rsidR="00504CD7" w:rsidRDefault="00504CD7" w:rsidP="00504CD7">
      <w:pPr>
        <w:rPr>
          <w:rFonts w:cs="Arial"/>
        </w:rPr>
      </w:pPr>
    </w:p>
    <w:p w:rsidR="00504CD7" w:rsidRDefault="00504CD7" w:rsidP="00504CD7">
      <w:pPr>
        <w:pStyle w:val="Heading2"/>
        <w:keepLines/>
        <w:widowControl/>
        <w:rPr>
          <w:rFonts w:cs="Arial"/>
        </w:rPr>
      </w:pPr>
      <w:bookmarkStart w:id="32" w:name="_Toc277080439"/>
      <w:bookmarkStart w:id="33" w:name="_Toc288490750"/>
      <w:bookmarkStart w:id="34" w:name="_Toc120358585"/>
      <w:bookmarkEnd w:id="27"/>
      <w:bookmarkEnd w:id="28"/>
      <w:bookmarkEnd w:id="29"/>
      <w:bookmarkEnd w:id="30"/>
      <w:bookmarkEnd w:id="31"/>
      <w:r>
        <w:rPr>
          <w:rFonts w:cs="Arial"/>
        </w:rPr>
        <w:t>2.</w:t>
      </w:r>
      <w:r>
        <w:rPr>
          <w:rFonts w:cs="Arial"/>
        </w:rPr>
        <w:tab/>
        <w:t>Background</w:t>
      </w:r>
      <w:bookmarkEnd w:id="32"/>
      <w:bookmarkEnd w:id="33"/>
    </w:p>
    <w:p w:rsidR="00504CD7" w:rsidRDefault="00504CD7" w:rsidP="00504CD7">
      <w:pPr>
        <w:keepNext/>
        <w:keepLines/>
        <w:widowControl/>
        <w:rPr>
          <w:rFonts w:cs="Arial"/>
        </w:rPr>
      </w:pPr>
    </w:p>
    <w:p w:rsidR="00504CD7" w:rsidRDefault="00504CD7" w:rsidP="00504CD7">
      <w:pPr>
        <w:pStyle w:val="Heading3"/>
      </w:pPr>
      <w:bookmarkStart w:id="35" w:name="_Toc277080440"/>
      <w:bookmarkStart w:id="36" w:name="_Toc288490751"/>
      <w:r>
        <w:t>2.1</w:t>
      </w:r>
      <w:r>
        <w:tab/>
        <w:t xml:space="preserve">Technological background of how </w:t>
      </w:r>
      <w:r w:rsidRPr="003B4C62">
        <w:rPr>
          <w:rFonts w:cs="Arial"/>
        </w:rPr>
        <w:t>calcium lignosul</w:t>
      </w:r>
      <w:r>
        <w:rPr>
          <w:rFonts w:cs="Arial"/>
        </w:rPr>
        <w:t>ph</w:t>
      </w:r>
      <w:r w:rsidRPr="003B4C62">
        <w:rPr>
          <w:rFonts w:cs="Arial"/>
        </w:rPr>
        <w:t xml:space="preserve">onate (40-65) </w:t>
      </w:r>
      <w:r>
        <w:t>functions</w:t>
      </w:r>
      <w:bookmarkEnd w:id="35"/>
      <w:bookmarkEnd w:id="36"/>
    </w:p>
    <w:p w:rsidR="00504CD7" w:rsidRDefault="00504CD7" w:rsidP="00504CD7">
      <w:pPr>
        <w:keepNext/>
        <w:keepLines/>
        <w:widowControl/>
        <w:rPr>
          <w:rFonts w:cs="Arial"/>
        </w:rPr>
      </w:pPr>
    </w:p>
    <w:p w:rsidR="00504CD7" w:rsidRDefault="00504CD7" w:rsidP="00504CD7">
      <w:pPr>
        <w:keepNext/>
        <w:keepLines/>
        <w:widowControl/>
        <w:rPr>
          <w:rFonts w:cs="Arial"/>
        </w:rPr>
      </w:pPr>
      <w:r>
        <w:rPr>
          <w:rFonts w:cs="Arial"/>
        </w:rPr>
        <w:t xml:space="preserve">The purpose of the use of </w:t>
      </w:r>
      <w:r w:rsidRPr="003C039F">
        <w:rPr>
          <w:rFonts w:cs="Arial"/>
        </w:rPr>
        <w:t>calcium lignosulphonate (40-65)</w:t>
      </w:r>
      <w:r>
        <w:rPr>
          <w:rFonts w:cs="Arial"/>
        </w:rPr>
        <w:t xml:space="preserve"> is to incorporate </w:t>
      </w:r>
      <w:r w:rsidR="005D365E">
        <w:rPr>
          <w:rFonts w:cs="Arial"/>
        </w:rPr>
        <w:t>fat-soluble</w:t>
      </w:r>
      <w:r>
        <w:rPr>
          <w:rFonts w:cs="Arial"/>
        </w:rPr>
        <w:t xml:space="preserve"> </w:t>
      </w:r>
      <w:r w:rsidR="008E154A">
        <w:rPr>
          <w:rFonts w:cs="Arial"/>
        </w:rPr>
        <w:t xml:space="preserve">and dispersible </w:t>
      </w:r>
      <w:r>
        <w:rPr>
          <w:rFonts w:cs="Arial"/>
        </w:rPr>
        <w:t xml:space="preserve">vitamins and carotenoids that are not water soluble or easily able to be uniformly dispersed in the aqueous phase of water-based foods. The technology </w:t>
      </w:r>
      <w:r w:rsidR="00D35616">
        <w:rPr>
          <w:rFonts w:cs="Arial"/>
        </w:rPr>
        <w:t xml:space="preserve">to achieve this </w:t>
      </w:r>
      <w:r>
        <w:rPr>
          <w:rFonts w:cs="Arial"/>
        </w:rPr>
        <w:t>has been used in the food industry for many years.</w:t>
      </w:r>
    </w:p>
    <w:p w:rsidR="00504CD7" w:rsidRDefault="00504CD7" w:rsidP="00504CD7">
      <w:pPr>
        <w:rPr>
          <w:rFonts w:cs="Arial"/>
        </w:rPr>
      </w:pPr>
    </w:p>
    <w:p w:rsidR="00504CD7" w:rsidRPr="00410AD4" w:rsidRDefault="00504CD7" w:rsidP="00504CD7">
      <w:pPr>
        <w:rPr>
          <w:rFonts w:cs="Arial"/>
        </w:rPr>
      </w:pPr>
      <w:r>
        <w:rPr>
          <w:rFonts w:cs="Arial"/>
        </w:rPr>
        <w:t>C</w:t>
      </w:r>
      <w:r w:rsidRPr="00410AD4">
        <w:rPr>
          <w:rFonts w:cs="Arial"/>
        </w:rPr>
        <w:t>urrently</w:t>
      </w:r>
      <w:r w:rsidR="00FA3F1D">
        <w:rPr>
          <w:rFonts w:cs="Arial"/>
        </w:rPr>
        <w:t>,</w:t>
      </w:r>
      <w:r w:rsidRPr="00410AD4">
        <w:rPr>
          <w:rFonts w:cs="Arial"/>
        </w:rPr>
        <w:t xml:space="preserve"> the food manufacturing industry uses different types of materials to ensure uniform dispersal and distribution of water insoluble vitamins and carotenoids into water</w:t>
      </w:r>
      <w:r w:rsidR="004925F4">
        <w:rPr>
          <w:rFonts w:cs="Arial"/>
        </w:rPr>
        <w:t>-</w:t>
      </w:r>
      <w:r w:rsidRPr="00410AD4">
        <w:rPr>
          <w:rFonts w:cs="Arial"/>
        </w:rPr>
        <w:t xml:space="preserve">based foods and beverages. The specific vitamins </w:t>
      </w:r>
      <w:r w:rsidR="00424A1F">
        <w:rPr>
          <w:rFonts w:cs="Arial"/>
        </w:rPr>
        <w:t>(</w:t>
      </w:r>
      <w:r w:rsidRPr="00410AD4">
        <w:rPr>
          <w:rFonts w:cs="Arial"/>
        </w:rPr>
        <w:t>A, D, E and K</w:t>
      </w:r>
      <w:r w:rsidR="00424A1F">
        <w:rPr>
          <w:rFonts w:cs="Arial"/>
        </w:rPr>
        <w:t>)</w:t>
      </w:r>
      <w:r w:rsidRPr="00410AD4">
        <w:rPr>
          <w:rFonts w:cs="Arial"/>
        </w:rPr>
        <w:t xml:space="preserve"> are soluble in oil (therefore being termed lipophilic) while carotenoids are not really oil soluble but are able to be dispersed in oil. These vitamins and carotenoids are sensitive to light and oxidation and are difficult to disperse </w:t>
      </w:r>
      <w:r w:rsidR="00D562A6" w:rsidRPr="00410AD4">
        <w:rPr>
          <w:rFonts w:cs="Arial"/>
        </w:rPr>
        <w:t xml:space="preserve">uniformly </w:t>
      </w:r>
      <w:r w:rsidRPr="00410AD4">
        <w:rPr>
          <w:rFonts w:cs="Arial"/>
        </w:rPr>
        <w:t>into water</w:t>
      </w:r>
      <w:r w:rsidR="00B516C8">
        <w:rPr>
          <w:rFonts w:cs="Arial"/>
        </w:rPr>
        <w:t>-</w:t>
      </w:r>
      <w:r w:rsidRPr="00410AD4">
        <w:rPr>
          <w:rFonts w:cs="Arial"/>
        </w:rPr>
        <w:t xml:space="preserve">based foods. </w:t>
      </w:r>
    </w:p>
    <w:p w:rsidR="00504CD7" w:rsidRDefault="00504CD7" w:rsidP="00504CD7">
      <w:pPr>
        <w:rPr>
          <w:rFonts w:cs="Arial"/>
        </w:rPr>
      </w:pPr>
    </w:p>
    <w:p w:rsidR="00E124E4" w:rsidRPr="00410AD4" w:rsidRDefault="00E124E4" w:rsidP="00E124E4">
      <w:pPr>
        <w:rPr>
          <w:rFonts w:cs="Arial"/>
        </w:rPr>
      </w:pPr>
      <w:r w:rsidRPr="00410AD4">
        <w:rPr>
          <w:rFonts w:cs="Arial"/>
        </w:rPr>
        <w:t xml:space="preserve">The Applicant provided information in the Application, and review references, explaining how calcium lignosulphonate (40-65) performs its technological function to assist in protecting and presenting </w:t>
      </w:r>
      <w:r w:rsidR="005D365E">
        <w:rPr>
          <w:rFonts w:cs="Arial"/>
        </w:rPr>
        <w:t>fat-soluble</w:t>
      </w:r>
      <w:r w:rsidRPr="00410AD4">
        <w:rPr>
          <w:rFonts w:cs="Arial"/>
        </w:rPr>
        <w:t xml:space="preserve"> vitamins and carotenoids to water</w:t>
      </w:r>
      <w:r>
        <w:rPr>
          <w:rFonts w:cs="Arial"/>
        </w:rPr>
        <w:t>-</w:t>
      </w:r>
      <w:r w:rsidRPr="00410AD4">
        <w:rPr>
          <w:rFonts w:cs="Arial"/>
        </w:rPr>
        <w:t xml:space="preserve">based foods and beverages. </w:t>
      </w:r>
      <w:r>
        <w:rPr>
          <w:rFonts w:cs="Arial"/>
        </w:rPr>
        <w:t xml:space="preserve">A more detailed discussion of the technical aspects is provided in </w:t>
      </w:r>
      <w:r w:rsidR="00D35616">
        <w:rPr>
          <w:rFonts w:cs="Arial"/>
        </w:rPr>
        <w:t>S</w:t>
      </w:r>
      <w:r>
        <w:rPr>
          <w:rFonts w:cs="Arial"/>
        </w:rPr>
        <w:t xml:space="preserve">ection 4.1 of the Risk Assessment Report (Supporting Document 1, </w:t>
      </w:r>
      <w:r w:rsidRPr="00496A7C">
        <w:rPr>
          <w:rFonts w:cs="Arial"/>
          <w:b/>
        </w:rPr>
        <w:t>SD1</w:t>
      </w:r>
      <w:r>
        <w:rPr>
          <w:rFonts w:cs="Arial"/>
        </w:rPr>
        <w:t xml:space="preserve">). </w:t>
      </w:r>
    </w:p>
    <w:p w:rsidR="00E124E4" w:rsidRDefault="00E124E4" w:rsidP="00504CD7">
      <w:pPr>
        <w:rPr>
          <w:rFonts w:cs="Arial"/>
        </w:rPr>
      </w:pPr>
    </w:p>
    <w:p w:rsidR="00E124E4" w:rsidRDefault="00E124E4" w:rsidP="00504CD7">
      <w:pPr>
        <w:rPr>
          <w:rFonts w:cs="Arial"/>
        </w:rPr>
      </w:pPr>
      <w:r w:rsidRPr="00D86E11">
        <w:rPr>
          <w:rFonts w:cs="Arial"/>
        </w:rPr>
        <w:t xml:space="preserve">In summary, calcium lignosulphonate (40-65) coated small oil droplets </w:t>
      </w:r>
      <w:r w:rsidR="00BE23DE" w:rsidRPr="00D86E11">
        <w:rPr>
          <w:rFonts w:cs="Arial"/>
        </w:rPr>
        <w:t>(</w:t>
      </w:r>
      <w:r w:rsidRPr="00D86E11">
        <w:rPr>
          <w:rFonts w:cs="Arial"/>
        </w:rPr>
        <w:t>contain</w:t>
      </w:r>
      <w:r w:rsidR="00BE23DE" w:rsidRPr="00D86E11">
        <w:rPr>
          <w:rFonts w:cs="Arial"/>
        </w:rPr>
        <w:t>ing</w:t>
      </w:r>
      <w:r w:rsidRPr="00D86E11">
        <w:rPr>
          <w:rFonts w:cs="Arial"/>
        </w:rPr>
        <w:t xml:space="preserve"> the </w:t>
      </w:r>
      <w:r w:rsidR="005D365E">
        <w:rPr>
          <w:rFonts w:cs="Arial"/>
        </w:rPr>
        <w:t>fat-soluble</w:t>
      </w:r>
      <w:r w:rsidRPr="00D86E11">
        <w:rPr>
          <w:rFonts w:cs="Arial"/>
        </w:rPr>
        <w:t xml:space="preserve"> and dispersible vitamins and carotenoids</w:t>
      </w:r>
      <w:r w:rsidR="00BE23DE" w:rsidRPr="00D86E11">
        <w:rPr>
          <w:rFonts w:cs="Arial"/>
        </w:rPr>
        <w:t>)</w:t>
      </w:r>
      <w:r w:rsidRPr="00D86E11">
        <w:rPr>
          <w:rFonts w:cs="Arial"/>
        </w:rPr>
        <w:t xml:space="preserve"> are embedded in a </w:t>
      </w:r>
      <w:r w:rsidR="00900785" w:rsidRPr="00D86E11">
        <w:rPr>
          <w:rFonts w:cs="Arial"/>
        </w:rPr>
        <w:t xml:space="preserve">slightly larger particle of a </w:t>
      </w:r>
      <w:r w:rsidRPr="00D86E11">
        <w:rPr>
          <w:rFonts w:cs="Arial"/>
        </w:rPr>
        <w:t xml:space="preserve">water soluble matrix. These </w:t>
      </w:r>
      <w:r w:rsidR="00900785" w:rsidRPr="00D86E11">
        <w:rPr>
          <w:rFonts w:cs="Arial"/>
        </w:rPr>
        <w:t>particles</w:t>
      </w:r>
      <w:r w:rsidRPr="00D86E11">
        <w:rPr>
          <w:rFonts w:cs="Arial"/>
        </w:rPr>
        <w:t xml:space="preserve"> are </w:t>
      </w:r>
      <w:r w:rsidR="00900785" w:rsidRPr="00D86E11">
        <w:rPr>
          <w:rFonts w:cs="Arial"/>
        </w:rPr>
        <w:t>produced by spray drying or powder catch technologies. Calcium lignosulphonate (40-65) acts as an emulsifier by stabilising oil soluble or dispersible nutrients in a water soluble matrix</w:t>
      </w:r>
      <w:r w:rsidR="00A3324E" w:rsidRPr="00D86E11">
        <w:rPr>
          <w:rFonts w:cs="Arial"/>
        </w:rPr>
        <w:t xml:space="preserve"> during production of the particles</w:t>
      </w:r>
      <w:r w:rsidR="00900785" w:rsidRPr="00D86E11">
        <w:rPr>
          <w:rFonts w:cs="Arial"/>
        </w:rPr>
        <w:t xml:space="preserve">. When the small particles containing the </w:t>
      </w:r>
      <w:r w:rsidR="00A3324E" w:rsidRPr="00D86E11">
        <w:rPr>
          <w:rFonts w:cs="Arial"/>
        </w:rPr>
        <w:t xml:space="preserve">embedded </w:t>
      </w:r>
      <w:r w:rsidR="00900785" w:rsidRPr="00D86E11">
        <w:rPr>
          <w:rFonts w:cs="Arial"/>
        </w:rPr>
        <w:t>oil droplets are added to aqueous solutions the matrix dissolves</w:t>
      </w:r>
      <w:r w:rsidR="00D86E11">
        <w:rPr>
          <w:rFonts w:cs="Arial"/>
        </w:rPr>
        <w:t>,</w:t>
      </w:r>
      <w:r w:rsidR="00900785" w:rsidRPr="00D86E11">
        <w:rPr>
          <w:rFonts w:cs="Arial"/>
        </w:rPr>
        <w:t xml:space="preserve"> releasing the small oil droplets that still have a coating of calcium lignosulphonate (40-65)</w:t>
      </w:r>
      <w:r w:rsidR="00A3324E" w:rsidRPr="00D86E11">
        <w:rPr>
          <w:rFonts w:cs="Arial"/>
        </w:rPr>
        <w:t>.</w:t>
      </w:r>
      <w:r w:rsidR="00900785" w:rsidRPr="00D86E11">
        <w:rPr>
          <w:rFonts w:cs="Arial"/>
        </w:rPr>
        <w:t xml:space="preserve"> </w:t>
      </w:r>
      <w:r w:rsidR="00A3324E" w:rsidRPr="00D86E11">
        <w:rPr>
          <w:rFonts w:cs="Arial"/>
        </w:rPr>
        <w:t xml:space="preserve">The calcium lignosulphonate (40-65) layer </w:t>
      </w:r>
      <w:r w:rsidR="00900785" w:rsidRPr="00D86E11">
        <w:rPr>
          <w:rFonts w:cs="Arial"/>
        </w:rPr>
        <w:t>act</w:t>
      </w:r>
      <w:r w:rsidR="00A3324E" w:rsidRPr="00D86E11">
        <w:rPr>
          <w:rFonts w:cs="Arial"/>
        </w:rPr>
        <w:t>s</w:t>
      </w:r>
      <w:r w:rsidR="00900785" w:rsidRPr="00D86E11">
        <w:rPr>
          <w:rFonts w:cs="Arial"/>
        </w:rPr>
        <w:t xml:space="preserve"> as an emulsifier</w:t>
      </w:r>
      <w:r w:rsidR="00A3324E" w:rsidRPr="00D86E11">
        <w:rPr>
          <w:rFonts w:cs="Arial"/>
        </w:rPr>
        <w:t xml:space="preserve"> by forming an emulsion between the two immiscible phases (oil and water). The small oil droplets are dispersed and do not aggregate together to form larger oil drops or films in the aqueous media due </w:t>
      </w:r>
      <w:r w:rsidR="0097749D" w:rsidRPr="00D86E11">
        <w:rPr>
          <w:rFonts w:cs="Arial"/>
        </w:rPr>
        <w:t xml:space="preserve">to electronic repulsions caused by </w:t>
      </w:r>
      <w:r w:rsidR="00A3324E" w:rsidRPr="00D86E11">
        <w:rPr>
          <w:rFonts w:cs="Arial"/>
        </w:rPr>
        <w:t xml:space="preserve">the </w:t>
      </w:r>
      <w:r w:rsidR="0097749D" w:rsidRPr="00D86E11">
        <w:rPr>
          <w:rFonts w:cs="Arial"/>
        </w:rPr>
        <w:t>surface charges on the calcium lignosulphonate (40-65) coating</w:t>
      </w:r>
      <w:r w:rsidR="00900785" w:rsidRPr="00D86E11">
        <w:rPr>
          <w:rFonts w:cs="Arial"/>
        </w:rPr>
        <w:t>.</w:t>
      </w:r>
      <w:r w:rsidR="00900785">
        <w:rPr>
          <w:rFonts w:cs="Arial"/>
        </w:rPr>
        <w:t xml:space="preserve">  </w:t>
      </w:r>
    </w:p>
    <w:p w:rsidR="00E124E4" w:rsidRPr="00410AD4" w:rsidRDefault="00E124E4" w:rsidP="00504CD7">
      <w:pPr>
        <w:rPr>
          <w:rFonts w:cs="Arial"/>
        </w:rPr>
      </w:pPr>
    </w:p>
    <w:p w:rsidR="00504CD7" w:rsidRDefault="00504CD7" w:rsidP="00943210">
      <w:pPr>
        <w:pStyle w:val="Heading3"/>
        <w:keepLines/>
        <w:widowControl/>
      </w:pPr>
      <w:bookmarkStart w:id="37" w:name="_Toc277080441"/>
      <w:bookmarkStart w:id="38" w:name="_Toc288490752"/>
      <w:r>
        <w:t>2.2</w:t>
      </w:r>
      <w:r>
        <w:tab/>
        <w:t xml:space="preserve">Does </w:t>
      </w:r>
      <w:r w:rsidRPr="003B4C62">
        <w:rPr>
          <w:rFonts w:cs="Arial"/>
        </w:rPr>
        <w:t>calcium lignosul</w:t>
      </w:r>
      <w:r>
        <w:rPr>
          <w:rFonts w:cs="Arial"/>
        </w:rPr>
        <w:t>ph</w:t>
      </w:r>
      <w:r w:rsidRPr="003B4C62">
        <w:rPr>
          <w:rFonts w:cs="Arial"/>
        </w:rPr>
        <w:t xml:space="preserve">onate (40-65) </w:t>
      </w:r>
      <w:r>
        <w:t>function as a processing aid or food additive?</w:t>
      </w:r>
      <w:bookmarkEnd w:id="37"/>
      <w:bookmarkEnd w:id="38"/>
    </w:p>
    <w:p w:rsidR="00504CD7" w:rsidRDefault="00504CD7" w:rsidP="00943210">
      <w:pPr>
        <w:keepNext/>
        <w:keepLines/>
        <w:widowControl/>
        <w:rPr>
          <w:rFonts w:cs="Arial"/>
        </w:rPr>
      </w:pPr>
    </w:p>
    <w:p w:rsidR="0068631F" w:rsidRDefault="00504CD7" w:rsidP="0068631F">
      <w:r>
        <w:t>FSANZ has assessed the function of the substance as described in the Application and in extra information and references provided by the Applicant. The conclusion from this assessment is that for the purpose proposed by the Applicant,</w:t>
      </w:r>
      <w:r w:rsidRPr="00481833">
        <w:t xml:space="preserve"> calcium </w:t>
      </w:r>
      <w:r>
        <w:t>lignosulphonate</w:t>
      </w:r>
      <w:r w:rsidRPr="00481833">
        <w:t xml:space="preserve"> (40-65) </w:t>
      </w:r>
      <w:r>
        <w:t xml:space="preserve">functions as a food additive </w:t>
      </w:r>
      <w:r w:rsidR="008E154A">
        <w:t xml:space="preserve">in the final food </w:t>
      </w:r>
      <w:r>
        <w:t xml:space="preserve">and not </w:t>
      </w:r>
      <w:r w:rsidR="000B5E15">
        <w:t xml:space="preserve">as </w:t>
      </w:r>
      <w:r>
        <w:t xml:space="preserve">a processing aid. The reason for this conclusion is that the substance maintains its technological function in the final food and not just during the production and manufacture of the food. This function can be variously described as an emulsifier and stabiliser </w:t>
      </w:r>
      <w:r w:rsidR="004F0A60">
        <w:t xml:space="preserve">used </w:t>
      </w:r>
      <w:r>
        <w:t xml:space="preserve">to ensure stable incorporation and emulsion of water insoluble phases in an aqueous media and their uniform dispersal by preventing aggregation of the small particles and droplets. </w:t>
      </w:r>
      <w:r w:rsidR="0068631F">
        <w:br w:type="page"/>
      </w:r>
    </w:p>
    <w:p w:rsidR="00504CD7" w:rsidRDefault="00504CD7" w:rsidP="0068631F">
      <w:r>
        <w:lastRenderedPageBreak/>
        <w:t>Emulsifier and stabiliser are two technological functions of food additives listed in Schedule 5 (Technological functions which may be performed by food additives) in Standard 1.3.1.</w:t>
      </w:r>
    </w:p>
    <w:p w:rsidR="00504CD7" w:rsidRDefault="00504CD7" w:rsidP="00504CD7">
      <w:pPr>
        <w:rPr>
          <w:rFonts w:cs="Arial"/>
        </w:rPr>
      </w:pPr>
    </w:p>
    <w:p w:rsidR="00504CD7" w:rsidRDefault="00504CD7" w:rsidP="00504CD7">
      <w:pPr>
        <w:rPr>
          <w:rFonts w:cs="Arial"/>
        </w:rPr>
      </w:pPr>
      <w:r>
        <w:rPr>
          <w:rFonts w:cs="Arial"/>
        </w:rPr>
        <w:t xml:space="preserve">As explained in </w:t>
      </w:r>
      <w:r w:rsidR="008E154A">
        <w:rPr>
          <w:rFonts w:cs="Arial"/>
        </w:rPr>
        <w:t>S</w:t>
      </w:r>
      <w:r w:rsidRPr="00F84D36">
        <w:rPr>
          <w:rFonts w:cs="Arial"/>
        </w:rPr>
        <w:t>ection 2.3</w:t>
      </w:r>
      <w:r w:rsidR="00DB401C">
        <w:rPr>
          <w:rFonts w:cs="Arial"/>
        </w:rPr>
        <w:t>,</w:t>
      </w:r>
      <w:r>
        <w:rPr>
          <w:rFonts w:cs="Arial"/>
        </w:rPr>
        <w:t xml:space="preserve"> the Codex Committee on Food Additives (CCFA) determined that </w:t>
      </w:r>
      <w:r w:rsidRPr="00A37D29">
        <w:rPr>
          <w:rFonts w:cs="Arial"/>
        </w:rPr>
        <w:t xml:space="preserve">calcium lignosulfonate </w:t>
      </w:r>
      <w:r>
        <w:rPr>
          <w:rFonts w:cs="Arial"/>
        </w:rPr>
        <w:t xml:space="preserve">(note alternative spelling) </w:t>
      </w:r>
      <w:r w:rsidRPr="00A37D29">
        <w:rPr>
          <w:rFonts w:cs="Arial"/>
        </w:rPr>
        <w:t xml:space="preserve">(40-65) </w:t>
      </w:r>
      <w:r>
        <w:rPr>
          <w:rFonts w:cs="Arial"/>
        </w:rPr>
        <w:t>was a food additive with a food additive INS number of 1522, and functional class as carrier and encapsulating agent</w:t>
      </w:r>
      <w:r w:rsidR="004F0A60">
        <w:rPr>
          <w:rFonts w:cs="Arial"/>
        </w:rPr>
        <w:t xml:space="preserve">. It should be noted that </w:t>
      </w:r>
      <w:r w:rsidR="00CC7914">
        <w:rPr>
          <w:rFonts w:cs="Arial"/>
        </w:rPr>
        <w:t xml:space="preserve">carrier and encapsulating agent </w:t>
      </w:r>
      <w:r>
        <w:rPr>
          <w:rFonts w:cs="Arial"/>
        </w:rPr>
        <w:t>are not food additive technological functions in the Code.</w:t>
      </w:r>
    </w:p>
    <w:p w:rsidR="00504CD7" w:rsidRDefault="00504CD7" w:rsidP="00504CD7">
      <w:pPr>
        <w:rPr>
          <w:rFonts w:cs="Arial"/>
        </w:rPr>
      </w:pPr>
    </w:p>
    <w:p w:rsidR="008A55C7" w:rsidRPr="005016D3" w:rsidRDefault="008A55C7" w:rsidP="008A55C7">
      <w:pPr>
        <w:rPr>
          <w:lang w:val="en-AU"/>
        </w:rPr>
      </w:pPr>
      <w:r w:rsidRPr="005016D3">
        <w:rPr>
          <w:lang w:val="en-AU"/>
        </w:rPr>
        <w:t>Because FSANZ assessed the technological function of calcium lignosulphonate (40-65) as being different from that requested in the Application, FSANZ was required by section 30 of the FSANZ Act to notify the Applicant</w:t>
      </w:r>
      <w:r w:rsidR="0068631F">
        <w:rPr>
          <w:lang w:val="en-AU"/>
        </w:rPr>
        <w:t xml:space="preserve"> and to delay releasing the Report for 10 business days</w:t>
      </w:r>
      <w:r w:rsidR="004F0A60">
        <w:rPr>
          <w:lang w:val="en-AU"/>
        </w:rPr>
        <w:t xml:space="preserve">. </w:t>
      </w:r>
      <w:r w:rsidRPr="005016D3">
        <w:rPr>
          <w:lang w:val="en-AU"/>
        </w:rPr>
        <w:t>The Applicant</w:t>
      </w:r>
      <w:r w:rsidR="0068631F">
        <w:rPr>
          <w:lang w:val="en-AU"/>
        </w:rPr>
        <w:t xml:space="preserve"> subsequently agreed</w:t>
      </w:r>
      <w:r w:rsidRPr="005016D3">
        <w:rPr>
          <w:lang w:val="en-AU"/>
        </w:rPr>
        <w:t xml:space="preserve"> </w:t>
      </w:r>
      <w:r w:rsidR="000F06DC">
        <w:rPr>
          <w:lang w:val="en-AU"/>
        </w:rPr>
        <w:t>with FSAN</w:t>
      </w:r>
      <w:r w:rsidR="00F5223D">
        <w:rPr>
          <w:lang w:val="en-AU"/>
        </w:rPr>
        <w:t>Z</w:t>
      </w:r>
      <w:r w:rsidR="000F06DC">
        <w:rPr>
          <w:lang w:val="en-AU"/>
        </w:rPr>
        <w:t xml:space="preserve">’s position. </w:t>
      </w:r>
    </w:p>
    <w:p w:rsidR="008A55C7" w:rsidRPr="00DF479E" w:rsidRDefault="008A55C7" w:rsidP="00504CD7">
      <w:pPr>
        <w:rPr>
          <w:rFonts w:cs="Arial"/>
        </w:rPr>
      </w:pPr>
    </w:p>
    <w:p w:rsidR="00504CD7" w:rsidRPr="002657E7" w:rsidRDefault="00504CD7" w:rsidP="00504CD7">
      <w:pPr>
        <w:pStyle w:val="Heading3"/>
      </w:pPr>
      <w:bookmarkStart w:id="39" w:name="_Toc277080442"/>
      <w:bookmarkStart w:id="40" w:name="_Toc288490753"/>
      <w:r>
        <w:t>2.3</w:t>
      </w:r>
      <w:r>
        <w:tab/>
        <w:t>International permissions</w:t>
      </w:r>
      <w:bookmarkEnd w:id="39"/>
      <w:bookmarkEnd w:id="40"/>
    </w:p>
    <w:p w:rsidR="00504CD7" w:rsidRDefault="00504CD7" w:rsidP="00504CD7">
      <w:pPr>
        <w:rPr>
          <w:rFonts w:cs="Arial"/>
        </w:rPr>
      </w:pPr>
    </w:p>
    <w:p w:rsidR="00504CD7" w:rsidRDefault="00504CD7" w:rsidP="00504CD7">
      <w:pPr>
        <w:rPr>
          <w:rFonts w:cs="Arial"/>
        </w:rPr>
      </w:pPr>
      <w:r>
        <w:rPr>
          <w:rFonts w:cs="Arial"/>
        </w:rPr>
        <w:t xml:space="preserve">JECFA assessed </w:t>
      </w:r>
      <w:r w:rsidRPr="0031271C">
        <w:rPr>
          <w:rFonts w:cs="Arial"/>
        </w:rPr>
        <w:t xml:space="preserve">calcium lignosulfonate (40-65) </w:t>
      </w:r>
      <w:r>
        <w:rPr>
          <w:rFonts w:cs="Arial"/>
        </w:rPr>
        <w:t>in 2008 and assigned an acceptable daily intake (ADI) of the substance of 0-20 mg/kg bodyweight per day (WHO 2009). From this analysis</w:t>
      </w:r>
      <w:r w:rsidR="00DB401C">
        <w:rPr>
          <w:rFonts w:cs="Arial"/>
        </w:rPr>
        <w:t>,</w:t>
      </w:r>
      <w:r>
        <w:rPr>
          <w:rFonts w:cs="Arial"/>
        </w:rPr>
        <w:t xml:space="preserve"> JECFA also performed a dietary exposure of the substance and concluded that it was below the ADI even at extreme consumption levels when used as a </w:t>
      </w:r>
      <w:r w:rsidR="005E7C50">
        <w:rPr>
          <w:rFonts w:cs="Arial"/>
        </w:rPr>
        <w:t>food additive</w:t>
      </w:r>
      <w:r>
        <w:rPr>
          <w:rFonts w:cs="Arial"/>
        </w:rPr>
        <w:t xml:space="preserve"> for fat-soluble vitamins and carotenoids in both food and supplements.</w:t>
      </w:r>
    </w:p>
    <w:p w:rsidR="00504CD7" w:rsidRDefault="00504CD7" w:rsidP="00504CD7">
      <w:pPr>
        <w:rPr>
          <w:rFonts w:cs="Arial"/>
        </w:rPr>
      </w:pPr>
    </w:p>
    <w:p w:rsidR="00504CD7" w:rsidRDefault="00504CD7" w:rsidP="00504CD7">
      <w:pPr>
        <w:rPr>
          <w:rFonts w:cs="Arial"/>
        </w:rPr>
      </w:pPr>
      <w:r>
        <w:rPr>
          <w:rFonts w:cs="Arial"/>
        </w:rPr>
        <w:t xml:space="preserve">JECFA </w:t>
      </w:r>
      <w:r w:rsidR="00471EE7">
        <w:rPr>
          <w:rFonts w:cs="Arial"/>
        </w:rPr>
        <w:t>established</w:t>
      </w:r>
      <w:r>
        <w:rPr>
          <w:rFonts w:cs="Arial"/>
        </w:rPr>
        <w:t xml:space="preserve"> specifications (JECFA 2009) and a Chemical and Technical </w:t>
      </w:r>
      <w:r w:rsidR="00A938EC">
        <w:rPr>
          <w:rFonts w:cs="Arial"/>
        </w:rPr>
        <w:t>A</w:t>
      </w:r>
      <w:r>
        <w:rPr>
          <w:rFonts w:cs="Arial"/>
        </w:rPr>
        <w:t>ssessment for calcium lignosulfonate (40-65) (JECFA 2008).</w:t>
      </w:r>
    </w:p>
    <w:p w:rsidR="00504CD7" w:rsidRDefault="00504CD7" w:rsidP="00504CD7">
      <w:pPr>
        <w:rPr>
          <w:rFonts w:cs="Arial"/>
        </w:rPr>
      </w:pPr>
    </w:p>
    <w:p w:rsidR="00504CD7" w:rsidRDefault="00504CD7" w:rsidP="00504CD7">
      <w:pPr>
        <w:keepNext/>
        <w:keepLines/>
        <w:widowControl/>
        <w:rPr>
          <w:rFonts w:cs="Arial"/>
        </w:rPr>
      </w:pPr>
      <w:r>
        <w:rPr>
          <w:rFonts w:cs="Arial"/>
        </w:rPr>
        <w:t xml:space="preserve">The Codex Committee on Food Additives (CCFA) assigned </w:t>
      </w:r>
      <w:r w:rsidRPr="00157BAA">
        <w:rPr>
          <w:rFonts w:cs="Arial"/>
        </w:rPr>
        <w:t xml:space="preserve">calcium lignosulfonate (40-65) </w:t>
      </w:r>
      <w:r>
        <w:rPr>
          <w:rFonts w:cs="Arial"/>
        </w:rPr>
        <w:t>a food additive INS number of 1522 and functional class as carrier and encapsulating agent at the 41</w:t>
      </w:r>
      <w:r w:rsidRPr="00157BAA">
        <w:rPr>
          <w:rFonts w:cs="Arial"/>
          <w:vertAlign w:val="superscript"/>
        </w:rPr>
        <w:t>st</w:t>
      </w:r>
      <w:r>
        <w:rPr>
          <w:rFonts w:cs="Arial"/>
        </w:rPr>
        <w:t xml:space="preserve"> session in March 2009 (CCFA 2009). The CCFA did not take any further action relating to </w:t>
      </w:r>
      <w:r w:rsidRPr="005868B4">
        <w:rPr>
          <w:rFonts w:cs="Arial"/>
        </w:rPr>
        <w:t xml:space="preserve">calcium lignosulfonate (40-65) </w:t>
      </w:r>
      <w:r>
        <w:rPr>
          <w:rFonts w:cs="Arial"/>
        </w:rPr>
        <w:t>at the 42</w:t>
      </w:r>
      <w:r w:rsidRPr="005868B4">
        <w:rPr>
          <w:rFonts w:cs="Arial"/>
          <w:vertAlign w:val="superscript"/>
        </w:rPr>
        <w:t>nd</w:t>
      </w:r>
      <w:r>
        <w:rPr>
          <w:rFonts w:cs="Arial"/>
        </w:rPr>
        <w:t xml:space="preserve"> session in March 2010, since no proposals for use of the substance for inclusion in the Codex General Standard for Food Additives (GSFA) had been forwarded in response to a request for information on uses and use levels of the substance sent to the members of the CCFA.</w:t>
      </w:r>
    </w:p>
    <w:p w:rsidR="00504CD7" w:rsidRDefault="00504CD7" w:rsidP="00504CD7">
      <w:pPr>
        <w:rPr>
          <w:rFonts w:cs="Arial"/>
        </w:rPr>
      </w:pPr>
    </w:p>
    <w:p w:rsidR="00504CD7" w:rsidRDefault="000477CC" w:rsidP="005016D3">
      <w:pPr>
        <w:keepNext/>
        <w:keepLines/>
        <w:widowControl/>
        <w:rPr>
          <w:rFonts w:cs="Arial"/>
        </w:rPr>
      </w:pPr>
      <w:r>
        <w:rPr>
          <w:rFonts w:cs="Arial"/>
        </w:rPr>
        <w:t>T</w:t>
      </w:r>
      <w:r w:rsidR="00504CD7">
        <w:rPr>
          <w:rFonts w:cs="Arial"/>
        </w:rPr>
        <w:t xml:space="preserve">he European Food Safety Authority (EFSA) assessed </w:t>
      </w:r>
      <w:r w:rsidR="00504CD7" w:rsidRPr="00681886">
        <w:rPr>
          <w:rFonts w:cs="Arial"/>
        </w:rPr>
        <w:t>calcium lignosul</w:t>
      </w:r>
      <w:r w:rsidR="00504CD7">
        <w:rPr>
          <w:rFonts w:cs="Arial"/>
        </w:rPr>
        <w:t>ph</w:t>
      </w:r>
      <w:r w:rsidR="00504CD7" w:rsidRPr="00681886">
        <w:rPr>
          <w:rFonts w:cs="Arial"/>
        </w:rPr>
        <w:t xml:space="preserve">onate (40-65) </w:t>
      </w:r>
      <w:r w:rsidR="00504CD7">
        <w:rPr>
          <w:rFonts w:cs="Arial"/>
        </w:rPr>
        <w:t>for use as a carrier for vitamins and carotenoids in 2010. The EFSA scientific opinion (EFSA 2010) concluded that the safety of use of the substance as a carrier for vitamins and carotenoids</w:t>
      </w:r>
      <w:r>
        <w:rPr>
          <w:rFonts w:cs="Arial"/>
        </w:rPr>
        <w:t>,</w:t>
      </w:r>
      <w:r w:rsidR="00504CD7">
        <w:rPr>
          <w:rFonts w:cs="Arial"/>
        </w:rPr>
        <w:t xml:space="preserve"> intended to be added to foods</w:t>
      </w:r>
      <w:r>
        <w:rPr>
          <w:rFonts w:cs="Arial"/>
        </w:rPr>
        <w:t>,</w:t>
      </w:r>
      <w:r w:rsidR="00504CD7">
        <w:rPr>
          <w:rFonts w:cs="Arial"/>
        </w:rPr>
        <w:t xml:space="preserve"> could not be assessed due to a lack of suitable animal studies. The EFSA Panel considered that the available studies </w:t>
      </w:r>
      <w:r w:rsidR="008E154A">
        <w:rPr>
          <w:rFonts w:cs="Arial"/>
        </w:rPr>
        <w:t>we</w:t>
      </w:r>
      <w:r w:rsidR="00504CD7">
        <w:rPr>
          <w:rFonts w:cs="Arial"/>
        </w:rPr>
        <w:t>re insufficient to establish an ADI.</w:t>
      </w:r>
    </w:p>
    <w:p w:rsidR="00504CD7" w:rsidRDefault="00504CD7" w:rsidP="00504CD7">
      <w:pPr>
        <w:rPr>
          <w:rFonts w:cs="Arial"/>
        </w:rPr>
      </w:pPr>
    </w:p>
    <w:p w:rsidR="00504CD7" w:rsidRDefault="00504CD7" w:rsidP="00943210">
      <w:pPr>
        <w:keepNext/>
        <w:keepLines/>
        <w:widowControl/>
        <w:rPr>
          <w:rFonts w:cs="Arial"/>
        </w:rPr>
      </w:pPr>
      <w:r>
        <w:rPr>
          <w:rFonts w:cs="Arial"/>
        </w:rPr>
        <w:t>Lignosulphonates are approved generically as additives</w:t>
      </w:r>
      <w:r w:rsidR="00D562A6">
        <w:rPr>
          <w:rFonts w:cs="Arial"/>
        </w:rPr>
        <w:t xml:space="preserve"> for animal feed</w:t>
      </w:r>
      <w:r>
        <w:rPr>
          <w:rFonts w:cs="Arial"/>
        </w:rPr>
        <w:t xml:space="preserve"> in the European Community in the European Commission Directive 70/524/EEC. </w:t>
      </w:r>
      <w:r w:rsidR="005975FF">
        <w:rPr>
          <w:rFonts w:cs="Arial"/>
        </w:rPr>
        <w:t xml:space="preserve">However, this Application relates to </w:t>
      </w:r>
      <w:r w:rsidR="005975FF" w:rsidRPr="005016D3">
        <w:rPr>
          <w:lang w:val="en-AU"/>
        </w:rPr>
        <w:t>calcium lignosulphonate (40-65)</w:t>
      </w:r>
      <w:r w:rsidR="00F5223D">
        <w:rPr>
          <w:lang w:val="en-AU"/>
        </w:rPr>
        <w:t>;</w:t>
      </w:r>
      <w:r w:rsidR="005975FF">
        <w:rPr>
          <w:lang w:val="en-AU"/>
        </w:rPr>
        <w:t xml:space="preserve"> a </w:t>
      </w:r>
      <w:r w:rsidR="005975FF">
        <w:rPr>
          <w:rFonts w:cs="Arial"/>
        </w:rPr>
        <w:t xml:space="preserve">more defined form of the substance from other </w:t>
      </w:r>
      <w:r w:rsidR="005975FF" w:rsidRPr="00991739">
        <w:rPr>
          <w:rFonts w:cs="Arial"/>
        </w:rPr>
        <w:t>calcium lignosulph</w:t>
      </w:r>
      <w:r w:rsidR="005975FF">
        <w:rPr>
          <w:rFonts w:cs="Arial"/>
        </w:rPr>
        <w:t>onates.</w:t>
      </w:r>
    </w:p>
    <w:p w:rsidR="00504CD7" w:rsidRDefault="00504CD7" w:rsidP="00504CD7">
      <w:pPr>
        <w:rPr>
          <w:rFonts w:cs="Arial"/>
        </w:rPr>
      </w:pPr>
    </w:p>
    <w:p w:rsidR="00504CD7" w:rsidRDefault="00504CD7" w:rsidP="0068631F">
      <w:r>
        <w:t xml:space="preserve">In the United States, calcium lignosulfonate is approved as a dispersion agent and stabiliser in pesticides for preharvest or postharvest applications to bananas (Title 21, Code of Federal Regulations section 172.715). However, the Applicant notes that their more specific </w:t>
      </w:r>
      <w:r w:rsidRPr="003B4C62">
        <w:t>calcium lignosul</w:t>
      </w:r>
      <w:r>
        <w:t>ph</w:t>
      </w:r>
      <w:r w:rsidRPr="003B4C62">
        <w:t xml:space="preserve">onate (40-65) </w:t>
      </w:r>
      <w:r>
        <w:t xml:space="preserve">substance has higher purity, lower content of reducing sugars and a higher degree of polymerisation than the more generic substance calcium lignosulfonate which has a purity specification in the Food Chemicals Codex VI, 2008. </w:t>
      </w:r>
    </w:p>
    <w:p w:rsidR="0068631F" w:rsidRDefault="0068631F" w:rsidP="00504CD7">
      <w:pPr>
        <w:rPr>
          <w:rFonts w:cs="Arial"/>
        </w:rPr>
      </w:pPr>
      <w:r>
        <w:rPr>
          <w:rFonts w:cs="Arial"/>
        </w:rPr>
        <w:br w:type="page"/>
      </w:r>
    </w:p>
    <w:p w:rsidR="00504CD7" w:rsidRPr="006A48A7" w:rsidRDefault="00504CD7" w:rsidP="00D85E3A">
      <w:pPr>
        <w:pStyle w:val="Heading2"/>
        <w:keepLines/>
        <w:widowControl/>
      </w:pPr>
      <w:bookmarkStart w:id="41" w:name="_Toc277080443"/>
      <w:bookmarkStart w:id="42" w:name="_Toc288490754"/>
      <w:r>
        <w:lastRenderedPageBreak/>
        <w:t>3</w:t>
      </w:r>
      <w:r w:rsidRPr="00DC6570">
        <w:t>.</w:t>
      </w:r>
      <w:r w:rsidRPr="00DC6570">
        <w:tab/>
        <w:t xml:space="preserve">Current </w:t>
      </w:r>
      <w:r w:rsidRPr="002657E7">
        <w:t>Standard</w:t>
      </w:r>
      <w:bookmarkEnd w:id="41"/>
      <w:bookmarkEnd w:id="42"/>
    </w:p>
    <w:p w:rsidR="00504CD7" w:rsidRDefault="00504CD7" w:rsidP="00D85E3A">
      <w:pPr>
        <w:keepNext/>
        <w:keepLines/>
        <w:widowControl/>
        <w:rPr>
          <w:rFonts w:cs="Arial"/>
        </w:rPr>
      </w:pPr>
    </w:p>
    <w:p w:rsidR="00504CD7" w:rsidRDefault="00504CD7" w:rsidP="0068631F">
      <w:r>
        <w:t xml:space="preserve">The use of food additives in food is regulated by Standard 1.3.1. A food additive may only be added to food where it performs an identified technological function as listed in Schedule 5 of Standard 1.3.1. Permissions to add food additives to food are listed in Schedules 1-4 of Standard 1.3.1. </w:t>
      </w:r>
    </w:p>
    <w:p w:rsidR="00504CD7" w:rsidRDefault="00504CD7" w:rsidP="00504CD7">
      <w:pPr>
        <w:rPr>
          <w:rFonts w:cs="Arial"/>
        </w:rPr>
      </w:pPr>
    </w:p>
    <w:p w:rsidR="00504CD7" w:rsidRDefault="00504CD7" w:rsidP="00504CD7">
      <w:pPr>
        <w:rPr>
          <w:rFonts w:cs="Arial"/>
        </w:rPr>
      </w:pPr>
      <w:r>
        <w:rPr>
          <w:rFonts w:cs="Arial"/>
        </w:rPr>
        <w:t xml:space="preserve">There is no permission for calcium lignosulphonate (40-65) or any other form of calcium lignosulphonate as a food additive in the Code. There are also no permissions for </w:t>
      </w:r>
      <w:r w:rsidRPr="002657E7">
        <w:rPr>
          <w:rFonts w:cs="Arial"/>
        </w:rPr>
        <w:t xml:space="preserve">calcium </w:t>
      </w:r>
      <w:r>
        <w:rPr>
          <w:rFonts w:cs="Arial"/>
        </w:rPr>
        <w:t>lignosulphonate</w:t>
      </w:r>
      <w:r w:rsidRPr="002657E7">
        <w:rPr>
          <w:rFonts w:cs="Arial"/>
        </w:rPr>
        <w:t xml:space="preserve"> (40-65) </w:t>
      </w:r>
      <w:r>
        <w:rPr>
          <w:rFonts w:cs="Arial"/>
        </w:rPr>
        <w:t>as a processing aid or calcium lignosulphonate anywhere else in the Code.</w:t>
      </w:r>
    </w:p>
    <w:p w:rsidR="00504CD7" w:rsidRDefault="00504CD7" w:rsidP="00504CD7">
      <w:pPr>
        <w:rPr>
          <w:rFonts w:cs="Arial"/>
        </w:rPr>
      </w:pPr>
    </w:p>
    <w:p w:rsidR="00504CD7" w:rsidRDefault="00504CD7" w:rsidP="00504CD7">
      <w:pPr>
        <w:rPr>
          <w:rFonts w:cs="Arial"/>
        </w:rPr>
      </w:pPr>
      <w:r>
        <w:rPr>
          <w:rFonts w:cs="Arial"/>
        </w:rPr>
        <w:t xml:space="preserve">Processing aids used in food manufacture are regulated </w:t>
      </w:r>
      <w:r w:rsidR="00A938EC">
        <w:rPr>
          <w:rFonts w:cs="Arial"/>
        </w:rPr>
        <w:t>by</w:t>
      </w:r>
      <w:r>
        <w:rPr>
          <w:rFonts w:cs="Arial"/>
        </w:rPr>
        <w:t xml:space="preserve"> Standard 1.3.3.</w:t>
      </w:r>
    </w:p>
    <w:p w:rsidR="00504CD7" w:rsidRDefault="00504CD7" w:rsidP="00504CD7">
      <w:pPr>
        <w:rPr>
          <w:rFonts w:cs="Arial"/>
        </w:rPr>
      </w:pPr>
    </w:p>
    <w:p w:rsidR="003C4969" w:rsidRPr="00DC6570" w:rsidRDefault="00CD1757">
      <w:pPr>
        <w:pStyle w:val="Heading2"/>
        <w:rPr>
          <w:rFonts w:cs="Arial"/>
        </w:rPr>
      </w:pPr>
      <w:bookmarkStart w:id="43" w:name="_Toc288490755"/>
      <w:r>
        <w:rPr>
          <w:rFonts w:cs="Arial"/>
        </w:rPr>
        <w:t>4</w:t>
      </w:r>
      <w:r w:rsidR="003C4969" w:rsidRPr="00DC6570">
        <w:rPr>
          <w:rFonts w:cs="Arial"/>
        </w:rPr>
        <w:t>.</w:t>
      </w:r>
      <w:r w:rsidR="003C4969" w:rsidRPr="00DC6570">
        <w:rPr>
          <w:rFonts w:cs="Arial"/>
        </w:rPr>
        <w:tab/>
        <w:t>Objectives</w:t>
      </w:r>
      <w:bookmarkEnd w:id="34"/>
      <w:bookmarkEnd w:id="43"/>
    </w:p>
    <w:p w:rsidR="00504CD7" w:rsidRDefault="00504CD7" w:rsidP="00504CD7">
      <w:pPr>
        <w:rPr>
          <w:rFonts w:cs="Arial"/>
        </w:rPr>
      </w:pPr>
    </w:p>
    <w:p w:rsidR="00504CD7" w:rsidRDefault="00504CD7" w:rsidP="00504CD7">
      <w:pPr>
        <w:rPr>
          <w:rFonts w:cs="Arial"/>
        </w:rPr>
      </w:pPr>
      <w:r>
        <w:rPr>
          <w:rFonts w:cs="Arial"/>
        </w:rPr>
        <w:t xml:space="preserve">The objective of this Assessment is to determine whether it is appropriate to amend the Code to permit the use of </w:t>
      </w:r>
      <w:r w:rsidRPr="004B079F">
        <w:rPr>
          <w:rFonts w:cs="Arial"/>
        </w:rPr>
        <w:t>calcium lignosul</w:t>
      </w:r>
      <w:r>
        <w:rPr>
          <w:rFonts w:cs="Arial"/>
        </w:rPr>
        <w:t>ph</w:t>
      </w:r>
      <w:r w:rsidRPr="004B079F">
        <w:rPr>
          <w:rFonts w:cs="Arial"/>
        </w:rPr>
        <w:t xml:space="preserve">onate (40-65) </w:t>
      </w:r>
      <w:r>
        <w:rPr>
          <w:rFonts w:cs="Arial"/>
        </w:rPr>
        <w:t xml:space="preserve">to be used to incorporate </w:t>
      </w:r>
      <w:r w:rsidR="00CD1757">
        <w:rPr>
          <w:rFonts w:cs="Arial"/>
        </w:rPr>
        <w:t>fat</w:t>
      </w:r>
      <w:r>
        <w:rPr>
          <w:rFonts w:cs="Arial"/>
        </w:rPr>
        <w:t>-soluble vitamins and carotenoids into water-based foods.</w:t>
      </w:r>
    </w:p>
    <w:p w:rsidR="003C4969" w:rsidRPr="00CD1757" w:rsidRDefault="003C4969">
      <w:pPr>
        <w:rPr>
          <w:rFonts w:cs="Arial"/>
        </w:rPr>
      </w:pPr>
    </w:p>
    <w:p w:rsidR="003C4969" w:rsidRPr="00DC6570" w:rsidRDefault="003C4969">
      <w:pPr>
        <w:rPr>
          <w:rFonts w:cs="Arial"/>
        </w:rPr>
      </w:pPr>
      <w:r w:rsidRPr="00DC6570">
        <w:rPr>
          <w:rFonts w:cs="Arial"/>
        </w:rPr>
        <w:t>In developing or varying a food standard, FSANZ is required by its legislation to meet three primary objectives</w:t>
      </w:r>
      <w:r w:rsidR="005D72E1" w:rsidRPr="00DC6570">
        <w:rPr>
          <w:rFonts w:cs="Arial"/>
        </w:rPr>
        <w:t xml:space="preserve"> which are set out in section 18</w:t>
      </w:r>
      <w:r w:rsidRPr="00DC6570">
        <w:rPr>
          <w:rFonts w:cs="Arial"/>
        </w:rPr>
        <w:t xml:space="preserve"> of the FSANZ Act. These are:</w:t>
      </w:r>
    </w:p>
    <w:p w:rsidR="003C4969" w:rsidRPr="00DC6570" w:rsidRDefault="003C4969">
      <w:pPr>
        <w:rPr>
          <w:rFonts w:cs="Arial"/>
        </w:rPr>
      </w:pPr>
    </w:p>
    <w:p w:rsidR="003C4969" w:rsidRPr="00DC6570" w:rsidRDefault="003C4969" w:rsidP="00DB2973">
      <w:pPr>
        <w:pStyle w:val="FSBullet"/>
      </w:pPr>
      <w:r w:rsidRPr="00DC6570">
        <w:t>the protection of public health and safety;</w:t>
      </w:r>
      <w:r w:rsidR="0000469B">
        <w:t xml:space="preserve"> and</w:t>
      </w:r>
    </w:p>
    <w:p w:rsidR="003C4969" w:rsidRPr="00DC6570" w:rsidRDefault="003C4969" w:rsidP="006A48A7"/>
    <w:p w:rsidR="003C4969" w:rsidRPr="00DC6570" w:rsidRDefault="003C4969" w:rsidP="00DB2973">
      <w:pPr>
        <w:pStyle w:val="FSBullet"/>
      </w:pPr>
      <w:r w:rsidRPr="00DC6570">
        <w:t>the provision of adequate information relating to food to enable consumers to make informed choices; and</w:t>
      </w:r>
    </w:p>
    <w:p w:rsidR="003C4969" w:rsidRPr="00DC6570" w:rsidRDefault="003C4969" w:rsidP="006A48A7"/>
    <w:p w:rsidR="003C4969" w:rsidRPr="00DC6570" w:rsidRDefault="003C4969" w:rsidP="00DB2973">
      <w:pPr>
        <w:pStyle w:val="FSBullet"/>
      </w:pPr>
      <w:proofErr w:type="gramStart"/>
      <w:r w:rsidRPr="00DC6570">
        <w:t>the</w:t>
      </w:r>
      <w:proofErr w:type="gramEnd"/>
      <w:r w:rsidRPr="00DC6570">
        <w:t xml:space="preserve"> prevention of misleading or deceptive conduct.</w:t>
      </w:r>
    </w:p>
    <w:p w:rsidR="003C4969" w:rsidRPr="00DC6570" w:rsidRDefault="003C4969">
      <w:pPr>
        <w:rPr>
          <w:rFonts w:cs="Arial"/>
        </w:rPr>
      </w:pPr>
    </w:p>
    <w:p w:rsidR="003C4969" w:rsidRPr="00DC6570" w:rsidRDefault="003C4969">
      <w:pPr>
        <w:rPr>
          <w:rFonts w:cs="Arial"/>
        </w:rPr>
      </w:pPr>
      <w:r w:rsidRPr="00DC6570">
        <w:rPr>
          <w:rFonts w:cs="Arial"/>
        </w:rPr>
        <w:t>In developing and varying standards, FSANZ must also have regard to:</w:t>
      </w:r>
    </w:p>
    <w:p w:rsidR="003C4969" w:rsidRPr="00DC6570" w:rsidRDefault="003C4969">
      <w:pPr>
        <w:rPr>
          <w:rFonts w:cs="Arial"/>
        </w:rPr>
      </w:pPr>
    </w:p>
    <w:p w:rsidR="003C4969" w:rsidRPr="00DC6570" w:rsidRDefault="003C4969" w:rsidP="00DB2973">
      <w:pPr>
        <w:pStyle w:val="FSBullet"/>
      </w:pPr>
      <w:r w:rsidRPr="00DC6570">
        <w:t>the need for standards to be based on risk analysis using the best available scientific evidence;</w:t>
      </w:r>
    </w:p>
    <w:p w:rsidR="003C4969" w:rsidRPr="00DC6570" w:rsidRDefault="003C4969" w:rsidP="006A48A7"/>
    <w:p w:rsidR="003C4969" w:rsidRPr="00DC6570" w:rsidRDefault="003C4969" w:rsidP="00DB2973">
      <w:pPr>
        <w:pStyle w:val="FSBullet"/>
      </w:pPr>
      <w:r w:rsidRPr="00DC6570">
        <w:t>the promotion of consistency between domestic and international food standards;</w:t>
      </w:r>
    </w:p>
    <w:p w:rsidR="003C4969" w:rsidRPr="00DC6570" w:rsidRDefault="003C4969" w:rsidP="006A48A7"/>
    <w:p w:rsidR="003C4969" w:rsidRPr="00D60568" w:rsidRDefault="003C4969" w:rsidP="00DB2973">
      <w:pPr>
        <w:pStyle w:val="FSBullet"/>
      </w:pPr>
      <w:r w:rsidRPr="00DC6570">
        <w:t>the desirabil</w:t>
      </w:r>
      <w:r w:rsidRPr="00D60568">
        <w:t>ity of an efficient and internationally competitive food industry;</w:t>
      </w:r>
    </w:p>
    <w:p w:rsidR="003C4969" w:rsidRPr="00DC6570" w:rsidRDefault="003C4969" w:rsidP="006A48A7"/>
    <w:p w:rsidR="003C4969" w:rsidRPr="00DC6570" w:rsidRDefault="003C4969" w:rsidP="00DB2973">
      <w:pPr>
        <w:pStyle w:val="FSBullet"/>
      </w:pPr>
      <w:r w:rsidRPr="00DC6570">
        <w:t>the promotion of fair trading in food; and</w:t>
      </w:r>
    </w:p>
    <w:p w:rsidR="003C4969" w:rsidRPr="00DC6570" w:rsidRDefault="003C4969" w:rsidP="006A48A7"/>
    <w:p w:rsidR="003C4969" w:rsidRPr="00DC6570" w:rsidRDefault="003C4969" w:rsidP="00DB2973">
      <w:pPr>
        <w:pStyle w:val="FSBullet"/>
      </w:pPr>
      <w:proofErr w:type="gramStart"/>
      <w:r w:rsidRPr="00DC6570">
        <w:t>any</w:t>
      </w:r>
      <w:proofErr w:type="gramEnd"/>
      <w:r w:rsidRPr="00DC6570">
        <w:t xml:space="preserve"> written policy guidelines formulated by the Ministerial Council.</w:t>
      </w:r>
    </w:p>
    <w:p w:rsidR="00807559" w:rsidRDefault="00807559">
      <w:pPr>
        <w:rPr>
          <w:rFonts w:cs="Arial"/>
        </w:rPr>
      </w:pPr>
    </w:p>
    <w:p w:rsidR="008C40B1" w:rsidRPr="00D86E11" w:rsidRDefault="00EE0596" w:rsidP="008C40B1">
      <w:pPr>
        <w:rPr>
          <w:rFonts w:cs="Arial"/>
        </w:rPr>
      </w:pPr>
      <w:r w:rsidRPr="00D86E11">
        <w:rPr>
          <w:rFonts w:cs="Arial"/>
        </w:rPr>
        <w:t xml:space="preserve">FSANZ has determined that the primary objective relevant to the assessment of this Application is the first one; the other two have </w:t>
      </w:r>
      <w:r w:rsidR="00BE23DE" w:rsidRPr="00D86E11">
        <w:rPr>
          <w:rFonts w:cs="Arial"/>
        </w:rPr>
        <w:t>less</w:t>
      </w:r>
      <w:r w:rsidRPr="00D86E11">
        <w:rPr>
          <w:rFonts w:cs="Arial"/>
        </w:rPr>
        <w:t xml:space="preserve"> direct relevance. FSANZ performed a risk assessment to determine if there are any public health and safety concerns with approving the use of the substance.</w:t>
      </w:r>
    </w:p>
    <w:p w:rsidR="008C40B1" w:rsidRPr="00D86E11" w:rsidRDefault="008C40B1" w:rsidP="008C40B1">
      <w:pPr>
        <w:rPr>
          <w:rFonts w:cs="Arial"/>
        </w:rPr>
      </w:pPr>
    </w:p>
    <w:p w:rsidR="00EE0596" w:rsidRDefault="008E154A">
      <w:pPr>
        <w:rPr>
          <w:rFonts w:cs="Arial"/>
        </w:rPr>
      </w:pPr>
      <w:r w:rsidRPr="00D86E11">
        <w:rPr>
          <w:rFonts w:cs="Arial"/>
        </w:rPr>
        <w:t xml:space="preserve">The </w:t>
      </w:r>
      <w:r w:rsidR="003423A1" w:rsidRPr="00D86E11">
        <w:rPr>
          <w:rFonts w:cs="Arial"/>
        </w:rPr>
        <w:t>risk</w:t>
      </w:r>
      <w:r w:rsidRPr="00D86E11">
        <w:rPr>
          <w:rFonts w:cs="Arial"/>
        </w:rPr>
        <w:t xml:space="preserve"> assessment performed has been based on the best available scientific evidence. </w:t>
      </w:r>
      <w:r w:rsidR="00EE0596" w:rsidRPr="00D86E11">
        <w:rPr>
          <w:rFonts w:cs="Arial"/>
        </w:rPr>
        <w:t>Other relevant matters for this assessment are to seek consistency with international food standards and the desirability of an efficient food industry, since calcium lignosulphonate (40-65) has been assessed by other international agencies.</w:t>
      </w:r>
    </w:p>
    <w:p w:rsidR="008E154A" w:rsidRDefault="00EE0596">
      <w:pPr>
        <w:rPr>
          <w:rFonts w:cs="Arial"/>
        </w:rPr>
      </w:pPr>
      <w:r>
        <w:rPr>
          <w:rFonts w:cs="Arial"/>
        </w:rPr>
        <w:t xml:space="preserve"> </w:t>
      </w:r>
    </w:p>
    <w:p w:rsidR="0068631F" w:rsidRDefault="0068631F" w:rsidP="0068631F">
      <w:r>
        <w:br w:type="page"/>
      </w:r>
    </w:p>
    <w:p w:rsidR="00CD1757" w:rsidRDefault="00CD1757" w:rsidP="0068631F">
      <w:r>
        <w:lastRenderedPageBreak/>
        <w:t xml:space="preserve">The Ministerial Council Policy Guideline, </w:t>
      </w:r>
      <w:r>
        <w:rPr>
          <w:i/>
        </w:rPr>
        <w:t xml:space="preserve">Addition to Food of Substances other than Vitamins and Minerals, </w:t>
      </w:r>
      <w:r>
        <w:t>includes specific order policy principles for substances added to achieve a solely technological function, such as food additives and processing aids. These specific order policy principles state that permission should be permitted where:</w:t>
      </w:r>
    </w:p>
    <w:p w:rsidR="00CD1757" w:rsidRDefault="00CD1757" w:rsidP="00CD1757">
      <w:pPr>
        <w:rPr>
          <w:rFonts w:cs="Arial"/>
        </w:rPr>
      </w:pPr>
    </w:p>
    <w:p w:rsidR="00CD1757" w:rsidRDefault="00CD1757" w:rsidP="00CD1757">
      <w:pPr>
        <w:pStyle w:val="FSBullet"/>
      </w:pPr>
      <w:r>
        <w:t>the purpose for adding the substance can be articulated clearly by the manufacturer as achieving a solely technological function (i.e. the ‘stated purpose’); and</w:t>
      </w:r>
    </w:p>
    <w:p w:rsidR="00CD1757" w:rsidRDefault="00CD1757" w:rsidP="00CD1757"/>
    <w:p w:rsidR="00CD1757" w:rsidRDefault="00CD1757" w:rsidP="00CD1757">
      <w:pPr>
        <w:pStyle w:val="FSBullet"/>
      </w:pPr>
      <w:r>
        <w:t>the addition of the substance to food is safe for human consumption; and</w:t>
      </w:r>
    </w:p>
    <w:p w:rsidR="00CD1757" w:rsidRDefault="00CD1757" w:rsidP="00CD1757"/>
    <w:p w:rsidR="00CD1757" w:rsidRDefault="00CD1757" w:rsidP="00CD1757">
      <w:pPr>
        <w:pStyle w:val="FSBullet"/>
      </w:pPr>
      <w:r>
        <w:t>the amounts added are consistent with achieving the technological function; and</w:t>
      </w:r>
    </w:p>
    <w:p w:rsidR="00CD1757" w:rsidRDefault="00CD1757" w:rsidP="00CD1757"/>
    <w:p w:rsidR="00CD1757" w:rsidRDefault="00CD1757" w:rsidP="00CD1757">
      <w:pPr>
        <w:pStyle w:val="FSBullet"/>
      </w:pPr>
      <w:r>
        <w:t>the substance is added in a quantity and a form which is consistent with delivering the stated purpose; and</w:t>
      </w:r>
    </w:p>
    <w:p w:rsidR="00CD1757" w:rsidRPr="00013FBB" w:rsidRDefault="00CD1757" w:rsidP="00CD1757"/>
    <w:p w:rsidR="00CD1757" w:rsidRPr="00013FBB" w:rsidRDefault="00CD1757" w:rsidP="00CD1757">
      <w:pPr>
        <w:pStyle w:val="FSBullet"/>
      </w:pPr>
      <w:proofErr w:type="gramStart"/>
      <w:r>
        <w:t>no</w:t>
      </w:r>
      <w:proofErr w:type="gramEnd"/>
      <w:r>
        <w:t xml:space="preserve"> nutrition, health or related claims are to be made in regard to the substance.</w:t>
      </w:r>
    </w:p>
    <w:p w:rsidR="00CD1757" w:rsidRDefault="00CD1757">
      <w:pPr>
        <w:rPr>
          <w:rFonts w:cs="Arial"/>
        </w:rPr>
      </w:pPr>
    </w:p>
    <w:p w:rsidR="00EE0596" w:rsidRDefault="00EE0596">
      <w:pPr>
        <w:rPr>
          <w:rFonts w:cs="Arial"/>
        </w:rPr>
      </w:pPr>
      <w:r w:rsidRPr="00D86E11">
        <w:rPr>
          <w:rFonts w:cs="Arial"/>
        </w:rPr>
        <w:t xml:space="preserve">FSANZ has addressed the relevant </w:t>
      </w:r>
      <w:r w:rsidR="0017082A" w:rsidRPr="00D86E11">
        <w:rPr>
          <w:rFonts w:cs="Arial"/>
        </w:rPr>
        <w:t>policy guidelines as part of the assessment of the Application. The technological function and the safety of adding calcium lignosulphonate (40-65) to food are important risk assessment issues addressed in this assessment.</w:t>
      </w:r>
    </w:p>
    <w:p w:rsidR="00EE0596" w:rsidRDefault="00EE0596">
      <w:pPr>
        <w:rPr>
          <w:rFonts w:cs="Arial"/>
        </w:rPr>
      </w:pPr>
    </w:p>
    <w:p w:rsidR="00D51A95" w:rsidRPr="00DC6570" w:rsidRDefault="00CD1757" w:rsidP="00D51A95">
      <w:pPr>
        <w:pStyle w:val="Heading2"/>
        <w:rPr>
          <w:rFonts w:cs="Arial"/>
        </w:rPr>
      </w:pPr>
      <w:bookmarkStart w:id="44" w:name="_Toc288490756"/>
      <w:r>
        <w:rPr>
          <w:rFonts w:cs="Arial"/>
        </w:rPr>
        <w:t>5</w:t>
      </w:r>
      <w:r w:rsidR="00D51A95" w:rsidRPr="00DC6570">
        <w:rPr>
          <w:rFonts w:cs="Arial"/>
        </w:rPr>
        <w:t>.</w:t>
      </w:r>
      <w:r w:rsidR="00D51A95" w:rsidRPr="00DC6570">
        <w:rPr>
          <w:rFonts w:cs="Arial"/>
        </w:rPr>
        <w:tab/>
        <w:t>Questions</w:t>
      </w:r>
      <w:r w:rsidR="000E3DBC">
        <w:rPr>
          <w:rFonts w:cs="Arial"/>
        </w:rPr>
        <w:t xml:space="preserve"> to be answered</w:t>
      </w:r>
      <w:bookmarkEnd w:id="44"/>
    </w:p>
    <w:p w:rsidR="00CD1757" w:rsidRPr="00CD1757" w:rsidRDefault="00CD1757" w:rsidP="00D51A95">
      <w:pPr>
        <w:rPr>
          <w:rFonts w:cs="Arial"/>
        </w:rPr>
      </w:pPr>
    </w:p>
    <w:p w:rsidR="00CD1757" w:rsidRDefault="00CD1757" w:rsidP="00CD1757">
      <w:pPr>
        <w:rPr>
          <w:rFonts w:cs="Arial"/>
        </w:rPr>
      </w:pPr>
      <w:r>
        <w:rPr>
          <w:rFonts w:cs="Arial"/>
        </w:rPr>
        <w:t>For this Application, FSANZ has considered the following risk assessment questions.</w:t>
      </w:r>
    </w:p>
    <w:p w:rsidR="00CD1757" w:rsidRPr="00B83DB2" w:rsidRDefault="00CD1757" w:rsidP="00CD1757">
      <w:pPr>
        <w:rPr>
          <w:rFonts w:cs="Arial"/>
        </w:rPr>
      </w:pPr>
    </w:p>
    <w:p w:rsidR="00CD1757" w:rsidRPr="00B83DB2" w:rsidRDefault="00CD1757" w:rsidP="00CD1757">
      <w:pPr>
        <w:pStyle w:val="ListParagraph"/>
        <w:widowControl/>
        <w:numPr>
          <w:ilvl w:val="0"/>
          <w:numId w:val="35"/>
        </w:numPr>
        <w:ind w:left="567" w:hanging="567"/>
        <w:rPr>
          <w:rFonts w:cs="Arial"/>
          <w:szCs w:val="22"/>
        </w:rPr>
      </w:pPr>
      <w:r w:rsidRPr="00B83DB2">
        <w:rPr>
          <w:rFonts w:cs="Arial"/>
          <w:szCs w:val="22"/>
        </w:rPr>
        <w:t>Is the substance (in the quantity and form proposed by the Applicant) able to achieve the stated purpose; that is, is it</w:t>
      </w:r>
      <w:r>
        <w:rPr>
          <w:rFonts w:cs="Arial"/>
          <w:szCs w:val="22"/>
        </w:rPr>
        <w:t>s</w:t>
      </w:r>
      <w:r w:rsidRPr="00B83DB2">
        <w:rPr>
          <w:rFonts w:cs="Arial"/>
          <w:szCs w:val="22"/>
        </w:rPr>
        <w:t xml:space="preserve"> use technologically justified?</w:t>
      </w:r>
    </w:p>
    <w:p w:rsidR="00CD1757" w:rsidRPr="00B83DB2" w:rsidRDefault="00CD1757" w:rsidP="00CD1757">
      <w:pPr>
        <w:ind w:left="567" w:hanging="567"/>
        <w:rPr>
          <w:rFonts w:cs="Arial"/>
          <w:szCs w:val="22"/>
        </w:rPr>
      </w:pPr>
    </w:p>
    <w:p w:rsidR="00CD1757" w:rsidRPr="00B83DB2" w:rsidRDefault="00CD1757" w:rsidP="00CD1757">
      <w:pPr>
        <w:pStyle w:val="ListParagraph"/>
        <w:widowControl/>
        <w:numPr>
          <w:ilvl w:val="0"/>
          <w:numId w:val="35"/>
        </w:numPr>
        <w:ind w:left="567" w:hanging="567"/>
        <w:rPr>
          <w:rFonts w:cs="Arial"/>
          <w:szCs w:val="22"/>
        </w:rPr>
      </w:pPr>
      <w:r w:rsidRPr="00B83DB2">
        <w:rPr>
          <w:rFonts w:cs="Arial"/>
          <w:szCs w:val="22"/>
        </w:rPr>
        <w:t>Is there a need to establish a reference health standard for calcium lignosulphonate (40-65) in order to protect public health and safety? If so, what should this be?</w:t>
      </w:r>
    </w:p>
    <w:p w:rsidR="00CD1757" w:rsidRPr="00B83DB2" w:rsidRDefault="00CD1757" w:rsidP="00CD1757">
      <w:pPr>
        <w:ind w:left="34"/>
        <w:rPr>
          <w:rFonts w:cs="Arial"/>
          <w:szCs w:val="22"/>
        </w:rPr>
      </w:pPr>
    </w:p>
    <w:p w:rsidR="00CD1757" w:rsidRPr="00B83DB2" w:rsidRDefault="00CD1757" w:rsidP="00CD1757">
      <w:pPr>
        <w:pStyle w:val="ListParagraph"/>
        <w:widowControl/>
        <w:numPr>
          <w:ilvl w:val="0"/>
          <w:numId w:val="35"/>
        </w:numPr>
        <w:ind w:left="567" w:hanging="567"/>
        <w:rPr>
          <w:rFonts w:cs="Arial"/>
          <w:szCs w:val="22"/>
        </w:rPr>
      </w:pPr>
      <w:r w:rsidRPr="00B83DB2">
        <w:rPr>
          <w:rFonts w:cs="Arial"/>
          <w:szCs w:val="22"/>
        </w:rPr>
        <w:t>If a reference health standard is established for calcium lignosulphonate (40-65), then the following questions also apply:</w:t>
      </w:r>
    </w:p>
    <w:p w:rsidR="005E5C0B" w:rsidRDefault="005E5C0B" w:rsidP="005E5C0B">
      <w:pPr>
        <w:pStyle w:val="ListParagraph"/>
        <w:widowControl/>
        <w:ind w:left="1134"/>
        <w:rPr>
          <w:rFonts w:cs="Arial"/>
          <w:szCs w:val="22"/>
        </w:rPr>
      </w:pPr>
    </w:p>
    <w:p w:rsidR="00CD1757" w:rsidRPr="00B83DB2" w:rsidRDefault="00CD1757" w:rsidP="00CD1757">
      <w:pPr>
        <w:pStyle w:val="ListParagraph"/>
        <w:widowControl/>
        <w:numPr>
          <w:ilvl w:val="0"/>
          <w:numId w:val="33"/>
        </w:numPr>
        <w:ind w:left="1134" w:hanging="567"/>
        <w:rPr>
          <w:rFonts w:cs="Arial"/>
          <w:szCs w:val="22"/>
        </w:rPr>
      </w:pPr>
      <w:r w:rsidRPr="00B83DB2">
        <w:rPr>
          <w:rFonts w:cs="Arial"/>
          <w:szCs w:val="22"/>
        </w:rPr>
        <w:t>What is the estimated dietary exposure to calcium lignosulphonate (40-65) for the Australian and New Zealand populations?</w:t>
      </w:r>
    </w:p>
    <w:p w:rsidR="00CD1757" w:rsidRPr="00B83DB2" w:rsidRDefault="00CD1757" w:rsidP="00CD1757">
      <w:pPr>
        <w:pStyle w:val="ListParagraph"/>
        <w:widowControl/>
        <w:numPr>
          <w:ilvl w:val="0"/>
          <w:numId w:val="33"/>
        </w:numPr>
        <w:ind w:left="1134" w:hanging="567"/>
        <w:rPr>
          <w:rFonts w:cs="Arial"/>
          <w:szCs w:val="22"/>
        </w:rPr>
      </w:pPr>
      <w:r w:rsidRPr="00B83DB2">
        <w:rPr>
          <w:rFonts w:cs="Arial"/>
          <w:szCs w:val="22"/>
        </w:rPr>
        <w:t>Will Australian and New Zealand population intakes of calcium lignosulphonate (40-65) exceed the reference health standard as a result of this Application?</w:t>
      </w:r>
    </w:p>
    <w:p w:rsidR="00CD1757" w:rsidRPr="00B83DB2" w:rsidRDefault="00CD1757" w:rsidP="00CD1757">
      <w:pPr>
        <w:pStyle w:val="ListParagraph"/>
        <w:ind w:left="1134"/>
        <w:rPr>
          <w:rFonts w:cs="Arial"/>
          <w:szCs w:val="22"/>
        </w:rPr>
      </w:pPr>
    </w:p>
    <w:p w:rsidR="00CD1757" w:rsidRPr="00B83DB2" w:rsidRDefault="00CD1757" w:rsidP="00CD1757">
      <w:pPr>
        <w:pStyle w:val="ListParagraph"/>
        <w:widowControl/>
        <w:numPr>
          <w:ilvl w:val="0"/>
          <w:numId w:val="35"/>
        </w:numPr>
        <w:ind w:left="567" w:hanging="567"/>
        <w:rPr>
          <w:rFonts w:cs="Arial"/>
          <w:szCs w:val="22"/>
        </w:rPr>
      </w:pPr>
      <w:r w:rsidRPr="00B83DB2">
        <w:rPr>
          <w:rFonts w:cs="Arial"/>
          <w:szCs w:val="22"/>
        </w:rPr>
        <w:t xml:space="preserve">Are there any adverse nutritional outcomes associated with the Applicant’s proposed use of calcium lignosulphonate (40-65) </w:t>
      </w:r>
      <w:r w:rsidR="006E7561">
        <w:rPr>
          <w:rFonts w:cs="Arial"/>
          <w:szCs w:val="22"/>
        </w:rPr>
        <w:t xml:space="preserve">as a means </w:t>
      </w:r>
      <w:r w:rsidR="000F66AD">
        <w:rPr>
          <w:rFonts w:cs="Arial"/>
          <w:szCs w:val="22"/>
        </w:rPr>
        <w:t>of</w:t>
      </w:r>
      <w:r w:rsidR="00751F37">
        <w:rPr>
          <w:rFonts w:cs="Arial"/>
          <w:szCs w:val="22"/>
        </w:rPr>
        <w:t xml:space="preserve"> incorporat</w:t>
      </w:r>
      <w:r w:rsidR="000F66AD">
        <w:rPr>
          <w:rFonts w:cs="Arial"/>
          <w:szCs w:val="22"/>
        </w:rPr>
        <w:t>ing</w:t>
      </w:r>
      <w:r w:rsidRPr="00B83DB2">
        <w:rPr>
          <w:rFonts w:cs="Arial"/>
          <w:szCs w:val="22"/>
        </w:rPr>
        <w:t xml:space="preserve"> fat-soluble nutrients</w:t>
      </w:r>
      <w:r w:rsidR="006E7561">
        <w:rPr>
          <w:rFonts w:cs="Arial"/>
          <w:szCs w:val="22"/>
        </w:rPr>
        <w:t xml:space="preserve"> into water</w:t>
      </w:r>
      <w:r w:rsidR="000F66AD">
        <w:rPr>
          <w:rFonts w:cs="Arial"/>
          <w:szCs w:val="22"/>
        </w:rPr>
        <w:t>-</w:t>
      </w:r>
      <w:r w:rsidR="006E7561">
        <w:rPr>
          <w:rFonts w:cs="Arial"/>
          <w:szCs w:val="22"/>
        </w:rPr>
        <w:t>based foods</w:t>
      </w:r>
      <w:r w:rsidRPr="00B83DB2">
        <w:rPr>
          <w:rFonts w:cs="Arial"/>
          <w:szCs w:val="22"/>
        </w:rPr>
        <w:t>?</w:t>
      </w:r>
    </w:p>
    <w:p w:rsidR="005E5C0B" w:rsidRDefault="005E5C0B" w:rsidP="005E5C0B">
      <w:pPr>
        <w:pStyle w:val="ListParagraph"/>
        <w:widowControl/>
        <w:spacing w:line="276" w:lineRule="auto"/>
        <w:ind w:left="1134"/>
        <w:rPr>
          <w:rFonts w:cs="Arial"/>
          <w:szCs w:val="22"/>
        </w:rPr>
      </w:pPr>
    </w:p>
    <w:p w:rsidR="00CD1757" w:rsidRPr="00B83DB2" w:rsidRDefault="00CD1757" w:rsidP="00CD1757">
      <w:pPr>
        <w:pStyle w:val="ListParagraph"/>
        <w:widowControl/>
        <w:numPr>
          <w:ilvl w:val="0"/>
          <w:numId w:val="34"/>
        </w:numPr>
        <w:spacing w:line="276" w:lineRule="auto"/>
        <w:ind w:left="1134" w:hanging="567"/>
        <w:rPr>
          <w:rFonts w:cs="Arial"/>
          <w:szCs w:val="22"/>
        </w:rPr>
      </w:pPr>
      <w:r w:rsidRPr="00B83DB2">
        <w:rPr>
          <w:rFonts w:cs="Arial"/>
          <w:szCs w:val="22"/>
        </w:rPr>
        <w:t>Does calcium lignosulphonate (40-65) release the fat-soluble nutrient for use by the human body?</w:t>
      </w:r>
    </w:p>
    <w:p w:rsidR="00CD1757" w:rsidRPr="00B83DB2" w:rsidRDefault="00CD1757" w:rsidP="00CD1757">
      <w:pPr>
        <w:pStyle w:val="ListParagraph"/>
        <w:widowControl/>
        <w:numPr>
          <w:ilvl w:val="0"/>
          <w:numId w:val="34"/>
        </w:numPr>
        <w:spacing w:line="276" w:lineRule="auto"/>
        <w:ind w:left="1134" w:hanging="567"/>
        <w:rPr>
          <w:rFonts w:cs="Arial"/>
          <w:szCs w:val="22"/>
        </w:rPr>
      </w:pPr>
      <w:r w:rsidRPr="00B83DB2">
        <w:rPr>
          <w:rFonts w:cs="Arial"/>
          <w:szCs w:val="22"/>
        </w:rPr>
        <w:t>Will calcium lignosulphonate (40-65) encapsulate and decrease the availability of free nutrients in the food matrix once the carried fat-soluble nutrient has been delivered into the food?</w:t>
      </w:r>
    </w:p>
    <w:p w:rsidR="00CD1757" w:rsidRPr="00B83DB2" w:rsidRDefault="00CD1757" w:rsidP="00CD1757">
      <w:pPr>
        <w:pStyle w:val="ListParagraph"/>
        <w:widowControl/>
        <w:numPr>
          <w:ilvl w:val="0"/>
          <w:numId w:val="34"/>
        </w:numPr>
        <w:spacing w:line="276" w:lineRule="auto"/>
        <w:ind w:left="1134" w:hanging="567"/>
        <w:rPr>
          <w:rFonts w:cs="Arial"/>
          <w:szCs w:val="22"/>
        </w:rPr>
      </w:pPr>
      <w:r w:rsidRPr="00B83DB2">
        <w:rPr>
          <w:rFonts w:cs="Arial"/>
          <w:szCs w:val="22"/>
        </w:rPr>
        <w:t>Will the gastrointestinal absorption of fat-soluble nutrients be impaired by the use of calcium lignosulphonate (40-65)?</w:t>
      </w:r>
    </w:p>
    <w:p w:rsidR="0068631F" w:rsidRDefault="0068631F" w:rsidP="00D51A95">
      <w:pPr>
        <w:rPr>
          <w:rFonts w:cs="Arial"/>
        </w:rPr>
      </w:pPr>
      <w:r>
        <w:rPr>
          <w:rFonts w:cs="Arial"/>
        </w:rPr>
        <w:br w:type="page"/>
      </w:r>
    </w:p>
    <w:p w:rsidR="003C4969" w:rsidRPr="00DC6570" w:rsidRDefault="00807559" w:rsidP="001C27A3">
      <w:pPr>
        <w:pStyle w:val="Heading1"/>
      </w:pPr>
      <w:bookmarkStart w:id="45" w:name="_Toc288490757"/>
      <w:r>
        <w:lastRenderedPageBreak/>
        <w:t>RISK ASSESSMENT</w:t>
      </w:r>
      <w:bookmarkEnd w:id="45"/>
    </w:p>
    <w:p w:rsidR="00CD1757" w:rsidRDefault="00CD1757" w:rsidP="00CD1757">
      <w:pPr>
        <w:keepNext/>
        <w:keepLines/>
        <w:widowControl/>
        <w:rPr>
          <w:rFonts w:cs="Arial"/>
        </w:rPr>
      </w:pPr>
      <w:bookmarkStart w:id="46" w:name="_Toc11735632"/>
      <w:bookmarkStart w:id="47" w:name="_Toc29883116"/>
      <w:bookmarkStart w:id="48" w:name="_Toc41906803"/>
      <w:bookmarkStart w:id="49" w:name="_Toc41907550"/>
      <w:bookmarkStart w:id="50" w:name="_Toc120358581"/>
    </w:p>
    <w:p w:rsidR="00CD1757" w:rsidRDefault="00CD1757" w:rsidP="0068631F">
      <w:r>
        <w:t>The Risk Assessment Report (</w:t>
      </w:r>
      <w:r w:rsidRPr="00D023B6">
        <w:rPr>
          <w:b/>
        </w:rPr>
        <w:t>SD1</w:t>
      </w:r>
      <w:r>
        <w:t>)</w:t>
      </w:r>
      <w:r w:rsidR="0068631F">
        <w:t xml:space="preserve"> (amended from that used for the Assessment Report)</w:t>
      </w:r>
      <w:r>
        <w:t xml:space="preserve"> provides the detailed technical assessment used to produce the summary and conclusions to address the questions written in the section above.</w:t>
      </w:r>
    </w:p>
    <w:p w:rsidR="00CD1757" w:rsidRPr="00DC6570" w:rsidRDefault="00CD1757" w:rsidP="00CD1757">
      <w:pPr>
        <w:rPr>
          <w:rFonts w:cs="Arial"/>
        </w:rPr>
      </w:pPr>
    </w:p>
    <w:p w:rsidR="003C4969" w:rsidRPr="00DC6570" w:rsidRDefault="00CD1757" w:rsidP="001C27A3">
      <w:pPr>
        <w:pStyle w:val="Heading2"/>
      </w:pPr>
      <w:bookmarkStart w:id="51" w:name="_Toc120358583"/>
      <w:bookmarkStart w:id="52" w:name="_Toc288490758"/>
      <w:bookmarkEnd w:id="46"/>
      <w:bookmarkEnd w:id="47"/>
      <w:bookmarkEnd w:id="48"/>
      <w:bookmarkEnd w:id="49"/>
      <w:bookmarkEnd w:id="50"/>
      <w:r>
        <w:t>6</w:t>
      </w:r>
      <w:r w:rsidR="001C27A3">
        <w:t>.</w:t>
      </w:r>
      <w:r w:rsidR="003C4969" w:rsidRPr="00DC6570">
        <w:tab/>
        <w:t>Risk Assessment Summary</w:t>
      </w:r>
      <w:bookmarkEnd w:id="51"/>
      <w:bookmarkEnd w:id="52"/>
    </w:p>
    <w:p w:rsidR="004009DB" w:rsidRDefault="004009DB" w:rsidP="004009DB">
      <w:pPr>
        <w:pStyle w:val="Heading3"/>
        <w:keepLines/>
        <w:widowControl/>
      </w:pPr>
      <w:bookmarkStart w:id="53" w:name="_Toc277080448"/>
    </w:p>
    <w:p w:rsidR="004009DB" w:rsidRDefault="004009DB" w:rsidP="004009DB">
      <w:pPr>
        <w:pStyle w:val="Heading3"/>
        <w:keepLines/>
        <w:widowControl/>
      </w:pPr>
      <w:bookmarkStart w:id="54" w:name="_Toc288490759"/>
      <w:r>
        <w:t>6.1</w:t>
      </w:r>
      <w:r>
        <w:tab/>
        <w:t>Technological Function</w:t>
      </w:r>
      <w:bookmarkEnd w:id="53"/>
      <w:bookmarkEnd w:id="54"/>
    </w:p>
    <w:p w:rsidR="004009DB" w:rsidRDefault="004009DB" w:rsidP="004009DB">
      <w:pPr>
        <w:keepNext/>
        <w:keepLines/>
        <w:widowControl/>
      </w:pPr>
    </w:p>
    <w:p w:rsidR="004009DB" w:rsidRPr="00AE7939" w:rsidRDefault="004009DB" w:rsidP="004009DB">
      <w:pPr>
        <w:pStyle w:val="Heading4"/>
      </w:pPr>
      <w:r>
        <w:t>6.1.1</w:t>
      </w:r>
      <w:r>
        <w:tab/>
      </w:r>
      <w:r w:rsidRPr="00AE7939">
        <w:t>Is the substance (in the quantity and form proposed by the Applicant) able to achieve the stated purpose; that is, is it</w:t>
      </w:r>
      <w:r>
        <w:t>s</w:t>
      </w:r>
      <w:r w:rsidRPr="00AE7939">
        <w:t xml:space="preserve"> use technologically justified?</w:t>
      </w:r>
    </w:p>
    <w:p w:rsidR="004009DB" w:rsidRDefault="004009DB" w:rsidP="004009DB"/>
    <w:p w:rsidR="004009DB" w:rsidRPr="00431252" w:rsidRDefault="004009DB" w:rsidP="004009DB">
      <w:pPr>
        <w:rPr>
          <w:rFonts w:cs="Arial"/>
          <w:lang w:val="en-AU"/>
        </w:rPr>
      </w:pPr>
      <w:r w:rsidRPr="00431252">
        <w:rPr>
          <w:rFonts w:cs="Arial"/>
        </w:rPr>
        <w:t xml:space="preserve">The evidence presented in support of the Application provides adequate assurance that calcium lignosulphonate (40-65) is technologically justified, as an emulsifier and stabiliser in the addition of encapsulated fat-soluble active ingredients to </w:t>
      </w:r>
      <w:r>
        <w:rPr>
          <w:rFonts w:cs="Arial"/>
        </w:rPr>
        <w:t>water-based</w:t>
      </w:r>
      <w:r w:rsidRPr="00431252">
        <w:rPr>
          <w:rFonts w:cs="Arial"/>
        </w:rPr>
        <w:t xml:space="preserve"> foods.</w:t>
      </w:r>
    </w:p>
    <w:p w:rsidR="004009DB" w:rsidRDefault="004009DB" w:rsidP="004009DB"/>
    <w:p w:rsidR="004009DB" w:rsidRPr="00D24055" w:rsidRDefault="004009DB" w:rsidP="004009DB">
      <w:pPr>
        <w:pStyle w:val="Heading3"/>
      </w:pPr>
      <w:bookmarkStart w:id="55" w:name="_Toc277080449"/>
      <w:bookmarkStart w:id="56" w:name="_Toc288490760"/>
      <w:r>
        <w:t>6</w:t>
      </w:r>
      <w:r w:rsidRPr="00D24055">
        <w:t>.</w:t>
      </w:r>
      <w:r>
        <w:t>2</w:t>
      </w:r>
      <w:r w:rsidRPr="00D24055">
        <w:tab/>
      </w:r>
      <w:r>
        <w:t>Safety Assessment</w:t>
      </w:r>
      <w:bookmarkEnd w:id="55"/>
      <w:bookmarkEnd w:id="56"/>
    </w:p>
    <w:p w:rsidR="004009DB" w:rsidRDefault="004009DB" w:rsidP="004009DB">
      <w:pPr>
        <w:rPr>
          <w:rFonts w:cs="Arial"/>
        </w:rPr>
      </w:pPr>
    </w:p>
    <w:p w:rsidR="004009DB" w:rsidRPr="00CD7F11" w:rsidRDefault="004009DB" w:rsidP="004009DB">
      <w:pPr>
        <w:pStyle w:val="Heading4"/>
      </w:pPr>
      <w:r>
        <w:t>6.2.1</w:t>
      </w:r>
      <w:r>
        <w:tab/>
      </w:r>
      <w:r w:rsidRPr="00CD7F11">
        <w:t>Is there a need to establish a reference health standard for calcium lignosulphonate (40-65) in order to protect public health and safety? If so, what should this be?</w:t>
      </w:r>
    </w:p>
    <w:p w:rsidR="004009DB" w:rsidRDefault="004009DB" w:rsidP="004009DB">
      <w:pPr>
        <w:rPr>
          <w:rFonts w:cs="Arial"/>
        </w:rPr>
      </w:pPr>
    </w:p>
    <w:p w:rsidR="004009DB" w:rsidRPr="000D2B67" w:rsidRDefault="004009DB" w:rsidP="004009DB">
      <w:pPr>
        <w:rPr>
          <w:rFonts w:cs="Arial"/>
          <w:szCs w:val="22"/>
          <w:lang w:val="en-AU" w:eastAsia="en-AU"/>
        </w:rPr>
      </w:pPr>
      <w:r>
        <w:rPr>
          <w:rFonts w:cs="Arial"/>
          <w:szCs w:val="22"/>
          <w:lang w:val="en-AU"/>
        </w:rPr>
        <w:t>A</w:t>
      </w:r>
      <w:r w:rsidRPr="000D2B67">
        <w:rPr>
          <w:rFonts w:cs="Arial"/>
          <w:szCs w:val="22"/>
          <w:lang w:val="en-AU"/>
        </w:rPr>
        <w:t>n</w:t>
      </w:r>
      <w:r w:rsidRPr="000D2B67">
        <w:rPr>
          <w:rFonts w:cs="Arial"/>
          <w:iCs/>
          <w:szCs w:val="22"/>
        </w:rPr>
        <w:t xml:space="preserve"> ADI</w:t>
      </w:r>
      <w:r>
        <w:rPr>
          <w:rFonts w:cs="Arial"/>
          <w:iCs/>
          <w:szCs w:val="22"/>
        </w:rPr>
        <w:t xml:space="preserve"> is necessary based on the available toxicological data. An ADI</w:t>
      </w:r>
      <w:r w:rsidRPr="000D2B67">
        <w:rPr>
          <w:rFonts w:cs="Arial"/>
          <w:iCs/>
          <w:szCs w:val="22"/>
        </w:rPr>
        <w:t xml:space="preserve"> of 0-</w:t>
      </w:r>
      <w:r w:rsidRPr="000D2B67">
        <w:rPr>
          <w:rFonts w:cs="Arial"/>
          <w:szCs w:val="22"/>
        </w:rPr>
        <w:t xml:space="preserve">20 mg/kg </w:t>
      </w:r>
      <w:proofErr w:type="gramStart"/>
      <w:r w:rsidRPr="000D2B67">
        <w:rPr>
          <w:rFonts w:cs="Arial"/>
          <w:szCs w:val="22"/>
        </w:rPr>
        <w:t>bw</w:t>
      </w:r>
      <w:proofErr w:type="gramEnd"/>
      <w:r w:rsidR="003F3623">
        <w:rPr>
          <w:rFonts w:cs="Arial"/>
          <w:szCs w:val="22"/>
        </w:rPr>
        <w:t xml:space="preserve"> per day</w:t>
      </w:r>
      <w:r w:rsidRPr="000D2B67" w:rsidDel="00856178">
        <w:rPr>
          <w:rFonts w:cs="Arial"/>
          <w:szCs w:val="22"/>
          <w:lang w:val="en-AU"/>
        </w:rPr>
        <w:t xml:space="preserve"> </w:t>
      </w:r>
      <w:r w:rsidRPr="000D2B67">
        <w:rPr>
          <w:rFonts w:cs="Arial"/>
          <w:szCs w:val="22"/>
          <w:lang w:val="en-AU"/>
        </w:rPr>
        <w:t xml:space="preserve">(rounded value) </w:t>
      </w:r>
      <w:r>
        <w:rPr>
          <w:rFonts w:cs="Arial"/>
          <w:szCs w:val="22"/>
          <w:lang w:val="en-AU"/>
        </w:rPr>
        <w:t xml:space="preserve">for </w:t>
      </w:r>
      <w:r w:rsidRPr="003337B8">
        <w:rPr>
          <w:rFonts w:cs="Arial"/>
          <w:szCs w:val="22"/>
        </w:rPr>
        <w:t>calcium lignosul</w:t>
      </w:r>
      <w:r>
        <w:rPr>
          <w:rFonts w:cs="Arial"/>
          <w:szCs w:val="22"/>
        </w:rPr>
        <w:t>ph</w:t>
      </w:r>
      <w:r w:rsidRPr="003337B8">
        <w:rPr>
          <w:rFonts w:cs="Arial"/>
          <w:szCs w:val="22"/>
        </w:rPr>
        <w:t>onate</w:t>
      </w:r>
      <w:r w:rsidRPr="000D2B67">
        <w:rPr>
          <w:rFonts w:cs="Arial"/>
          <w:szCs w:val="22"/>
        </w:rPr>
        <w:t xml:space="preserve"> </w:t>
      </w:r>
      <w:r>
        <w:rPr>
          <w:rFonts w:cs="Arial"/>
          <w:iCs/>
          <w:szCs w:val="22"/>
        </w:rPr>
        <w:t xml:space="preserve">(40-65) </w:t>
      </w:r>
      <w:r>
        <w:rPr>
          <w:rFonts w:cs="Arial"/>
          <w:szCs w:val="22"/>
          <w:lang w:val="en-AU"/>
        </w:rPr>
        <w:t xml:space="preserve">has been </w:t>
      </w:r>
      <w:r w:rsidRPr="000D2B67">
        <w:rPr>
          <w:rFonts w:cs="Arial"/>
          <w:szCs w:val="22"/>
          <w:lang w:val="en-AU"/>
        </w:rPr>
        <w:t xml:space="preserve">established </w:t>
      </w:r>
      <w:r>
        <w:rPr>
          <w:rFonts w:cs="Arial"/>
          <w:szCs w:val="22"/>
          <w:lang w:val="en-AU"/>
        </w:rPr>
        <w:t>b</w:t>
      </w:r>
      <w:r w:rsidRPr="000D2B67">
        <w:rPr>
          <w:rFonts w:cs="Arial"/>
          <w:szCs w:val="22"/>
          <w:lang w:val="en-AU"/>
        </w:rPr>
        <w:t xml:space="preserve">ased on a 13-week dietary study in rats </w:t>
      </w:r>
      <w:r>
        <w:rPr>
          <w:rFonts w:cs="Arial"/>
          <w:szCs w:val="22"/>
          <w:lang w:val="en-AU"/>
        </w:rPr>
        <w:t>that obtained a</w:t>
      </w:r>
      <w:r w:rsidRPr="000D2B67">
        <w:rPr>
          <w:rFonts w:cs="Arial"/>
          <w:szCs w:val="22"/>
          <w:lang w:val="en-AU"/>
        </w:rPr>
        <w:t xml:space="preserve"> NOAEL </w:t>
      </w:r>
      <w:r w:rsidR="006C5EE7">
        <w:rPr>
          <w:rFonts w:cs="Arial"/>
          <w:szCs w:val="22"/>
          <w:lang w:val="en-AU"/>
        </w:rPr>
        <w:t>(</w:t>
      </w:r>
      <w:r w:rsidR="003F3623">
        <w:rPr>
          <w:rFonts w:cs="Arial"/>
          <w:szCs w:val="22"/>
          <w:lang w:val="en-AU"/>
        </w:rPr>
        <w:t>n</w:t>
      </w:r>
      <w:r w:rsidR="006C5EE7">
        <w:rPr>
          <w:rFonts w:cs="Arial"/>
          <w:szCs w:val="22"/>
          <w:lang w:val="en-AU"/>
        </w:rPr>
        <w:t xml:space="preserve">o observable adverse effect level) </w:t>
      </w:r>
      <w:r w:rsidRPr="000D2B67">
        <w:rPr>
          <w:rFonts w:cs="Arial"/>
          <w:szCs w:val="22"/>
          <w:lang w:val="en-AU"/>
        </w:rPr>
        <w:t xml:space="preserve">of </w:t>
      </w:r>
      <w:r w:rsidRPr="000D2B67">
        <w:rPr>
          <w:rFonts w:cs="Arial"/>
          <w:szCs w:val="22"/>
        </w:rPr>
        <w:t xml:space="preserve">1978 mg/kg bw/day </w:t>
      </w:r>
      <w:r>
        <w:rPr>
          <w:rFonts w:cs="Arial"/>
          <w:szCs w:val="22"/>
        </w:rPr>
        <w:t>for</w:t>
      </w:r>
      <w:r w:rsidRPr="000D2B67">
        <w:rPr>
          <w:rFonts w:cs="Arial"/>
          <w:szCs w:val="22"/>
        </w:rPr>
        <w:t xml:space="preserve"> males and 2040 mg/kg bw/day </w:t>
      </w:r>
      <w:r>
        <w:rPr>
          <w:rFonts w:cs="Arial"/>
          <w:szCs w:val="22"/>
        </w:rPr>
        <w:t>for</w:t>
      </w:r>
      <w:r w:rsidRPr="000D2B67">
        <w:rPr>
          <w:rFonts w:cs="Arial"/>
          <w:szCs w:val="22"/>
        </w:rPr>
        <w:t xml:space="preserve"> females</w:t>
      </w:r>
      <w:r>
        <w:rPr>
          <w:rFonts w:cs="Arial"/>
          <w:szCs w:val="22"/>
          <w:lang w:val="en-AU"/>
        </w:rPr>
        <w:t xml:space="preserve">. </w:t>
      </w:r>
      <w:r w:rsidRPr="000D2B67">
        <w:rPr>
          <w:rFonts w:cs="Arial"/>
          <w:szCs w:val="22"/>
          <w:lang w:val="en-AU"/>
        </w:rPr>
        <w:t>This ADI includes 10-fold safety factors for both intra- and inter-species variability giving an overall 100-fold safety factor</w:t>
      </w:r>
      <w:r>
        <w:rPr>
          <w:rFonts w:cs="Arial"/>
          <w:szCs w:val="22"/>
          <w:lang w:val="en-AU"/>
        </w:rPr>
        <w:t xml:space="preserve">. An </w:t>
      </w:r>
      <w:r w:rsidRPr="000D2B67">
        <w:rPr>
          <w:rFonts w:cs="Arial"/>
          <w:szCs w:val="22"/>
          <w:lang w:val="en-AU"/>
        </w:rPr>
        <w:t xml:space="preserve">additional safety factor for the absence of a </w:t>
      </w:r>
      <w:r>
        <w:rPr>
          <w:rFonts w:cs="Arial"/>
          <w:szCs w:val="22"/>
          <w:lang w:val="en-AU"/>
        </w:rPr>
        <w:t xml:space="preserve">chronic toxicity </w:t>
      </w:r>
      <w:r w:rsidRPr="000D2B67">
        <w:rPr>
          <w:rFonts w:cs="Arial"/>
          <w:szCs w:val="22"/>
          <w:lang w:val="en-AU"/>
        </w:rPr>
        <w:t xml:space="preserve">study </w:t>
      </w:r>
      <w:r>
        <w:rPr>
          <w:rFonts w:cs="Arial"/>
          <w:szCs w:val="22"/>
          <w:lang w:val="en-AU"/>
        </w:rPr>
        <w:t xml:space="preserve">of </w:t>
      </w:r>
      <w:r w:rsidRPr="003337B8">
        <w:rPr>
          <w:rFonts w:cs="Arial"/>
          <w:szCs w:val="22"/>
        </w:rPr>
        <w:t xml:space="preserve">calcium </w:t>
      </w:r>
      <w:r>
        <w:rPr>
          <w:rFonts w:cs="Arial"/>
          <w:szCs w:val="22"/>
        </w:rPr>
        <w:t>lignosulphonate</w:t>
      </w:r>
      <w:r w:rsidRPr="000D2B67">
        <w:rPr>
          <w:rFonts w:cs="Arial"/>
          <w:szCs w:val="22"/>
        </w:rPr>
        <w:t xml:space="preserve"> </w:t>
      </w:r>
      <w:r>
        <w:rPr>
          <w:rFonts w:cs="Arial"/>
          <w:iCs/>
          <w:szCs w:val="22"/>
        </w:rPr>
        <w:t xml:space="preserve">(40-65) </w:t>
      </w:r>
      <w:r w:rsidRPr="000D2B67">
        <w:rPr>
          <w:rFonts w:cs="Arial"/>
          <w:szCs w:val="22"/>
          <w:lang w:val="en-AU"/>
        </w:rPr>
        <w:t xml:space="preserve">was </w:t>
      </w:r>
      <w:r>
        <w:rPr>
          <w:rFonts w:cs="Arial"/>
          <w:szCs w:val="22"/>
          <w:lang w:val="en-AU"/>
        </w:rPr>
        <w:t xml:space="preserve">not </w:t>
      </w:r>
      <w:r w:rsidRPr="000D2B67">
        <w:rPr>
          <w:rFonts w:cs="Arial"/>
          <w:szCs w:val="22"/>
          <w:lang w:val="en-AU"/>
        </w:rPr>
        <w:t xml:space="preserve">considered </w:t>
      </w:r>
      <w:r>
        <w:rPr>
          <w:rFonts w:cs="Arial"/>
          <w:szCs w:val="22"/>
          <w:lang w:val="en-AU"/>
        </w:rPr>
        <w:t xml:space="preserve">to be </w:t>
      </w:r>
      <w:r w:rsidRPr="000D2B67">
        <w:rPr>
          <w:rFonts w:cs="Arial"/>
          <w:szCs w:val="22"/>
          <w:lang w:val="en-AU"/>
        </w:rPr>
        <w:t xml:space="preserve">necessary because of </w:t>
      </w:r>
      <w:r>
        <w:rPr>
          <w:rFonts w:cs="Arial"/>
          <w:szCs w:val="22"/>
          <w:lang w:val="en-AU"/>
        </w:rPr>
        <w:t xml:space="preserve">the </w:t>
      </w:r>
      <w:r w:rsidRPr="000D2B67">
        <w:rPr>
          <w:rFonts w:cs="Arial"/>
          <w:szCs w:val="22"/>
          <w:lang w:val="en-AU"/>
        </w:rPr>
        <w:t xml:space="preserve">poor absorption </w:t>
      </w:r>
      <w:r>
        <w:rPr>
          <w:rFonts w:cs="Arial"/>
          <w:szCs w:val="22"/>
          <w:lang w:val="en-AU"/>
        </w:rPr>
        <w:t xml:space="preserve">of calcium lignosulphonate </w:t>
      </w:r>
      <w:r>
        <w:rPr>
          <w:rFonts w:cs="Arial"/>
          <w:iCs/>
          <w:szCs w:val="22"/>
        </w:rPr>
        <w:t xml:space="preserve">(40-65) </w:t>
      </w:r>
      <w:r w:rsidRPr="000D2B67">
        <w:rPr>
          <w:rFonts w:cs="Arial"/>
          <w:szCs w:val="22"/>
          <w:lang w:val="en-AU"/>
        </w:rPr>
        <w:t>and the absence of any adverse effects in a 13-week study</w:t>
      </w:r>
      <w:r w:rsidRPr="000D2B67">
        <w:rPr>
          <w:rFonts w:cs="Arial"/>
          <w:szCs w:val="22"/>
        </w:rPr>
        <w:t xml:space="preserve">. </w:t>
      </w:r>
    </w:p>
    <w:p w:rsidR="004009DB" w:rsidRDefault="004009DB" w:rsidP="004009DB">
      <w:pPr>
        <w:rPr>
          <w:rFonts w:cs="Arial"/>
        </w:rPr>
      </w:pPr>
    </w:p>
    <w:p w:rsidR="00A03A1B" w:rsidRDefault="00A03A1B" w:rsidP="004009DB">
      <w:pPr>
        <w:rPr>
          <w:rFonts w:cs="Arial"/>
        </w:rPr>
      </w:pPr>
      <w:r>
        <w:rPr>
          <w:rFonts w:cs="Arial"/>
        </w:rPr>
        <w:t>FSANZ</w:t>
      </w:r>
      <w:r w:rsidR="00D86E11">
        <w:rPr>
          <w:rFonts w:cs="Arial"/>
        </w:rPr>
        <w:t>’s</w:t>
      </w:r>
      <w:r>
        <w:rPr>
          <w:rFonts w:cs="Arial"/>
        </w:rPr>
        <w:t xml:space="preserve"> determination of an ADI is consistent with that of JECFA</w:t>
      </w:r>
      <w:r w:rsidR="00A5580F">
        <w:rPr>
          <w:rFonts w:cs="Arial"/>
        </w:rPr>
        <w:t xml:space="preserve">. </w:t>
      </w:r>
      <w:r w:rsidR="00D86E11">
        <w:rPr>
          <w:rFonts w:cs="Arial"/>
        </w:rPr>
        <w:t>But FSANZ notes that EFSA did not establish an ADI. C</w:t>
      </w:r>
      <w:r w:rsidR="00A5580F">
        <w:rPr>
          <w:rFonts w:cs="Arial"/>
        </w:rPr>
        <w:t>onsequently</w:t>
      </w:r>
      <w:r w:rsidR="00DB401C">
        <w:rPr>
          <w:rFonts w:cs="Arial"/>
        </w:rPr>
        <w:t>,</w:t>
      </w:r>
      <w:r>
        <w:rPr>
          <w:rFonts w:cs="Arial"/>
        </w:rPr>
        <w:t xml:space="preserve"> FSANZ had its safety assessment peer reviewed by an external expert toxicologist, who agreed with FSANZ’s conclusion.</w:t>
      </w:r>
    </w:p>
    <w:p w:rsidR="00832B65" w:rsidRDefault="00832B65" w:rsidP="004009DB">
      <w:pPr>
        <w:rPr>
          <w:rFonts w:cs="Arial"/>
        </w:rPr>
      </w:pPr>
    </w:p>
    <w:p w:rsidR="004009DB" w:rsidRDefault="004009DB" w:rsidP="005E5C0B">
      <w:pPr>
        <w:pStyle w:val="Heading3"/>
        <w:keepLines/>
        <w:widowControl/>
        <w:rPr>
          <w:rFonts w:cs="Arial"/>
        </w:rPr>
      </w:pPr>
      <w:bookmarkStart w:id="57" w:name="_Toc277080450"/>
      <w:bookmarkStart w:id="58" w:name="_Toc288490761"/>
      <w:r>
        <w:rPr>
          <w:rFonts w:cs="Arial"/>
        </w:rPr>
        <w:t>6.3</w:t>
      </w:r>
      <w:r>
        <w:rPr>
          <w:rFonts w:cs="Arial"/>
        </w:rPr>
        <w:tab/>
        <w:t>Dietary Exposure Assessment</w:t>
      </w:r>
      <w:bookmarkEnd w:id="57"/>
      <w:bookmarkEnd w:id="58"/>
    </w:p>
    <w:p w:rsidR="004009DB" w:rsidRDefault="004009DB" w:rsidP="005E5C0B">
      <w:pPr>
        <w:keepNext/>
        <w:keepLines/>
        <w:widowControl/>
      </w:pPr>
    </w:p>
    <w:p w:rsidR="004009DB" w:rsidRDefault="004009DB" w:rsidP="005E5C0B">
      <w:pPr>
        <w:pStyle w:val="Heading4"/>
        <w:keepLines/>
        <w:widowControl/>
      </w:pPr>
      <w:r>
        <w:t>6.3.1</w:t>
      </w:r>
      <w:r>
        <w:tab/>
      </w:r>
      <w:r w:rsidRPr="00CD7F11">
        <w:t>If a reference health standard is established for calcium lignosulphonate (40-65), then the following questions also apply:</w:t>
      </w:r>
    </w:p>
    <w:p w:rsidR="004009DB" w:rsidRPr="00CD7F11" w:rsidRDefault="004009DB" w:rsidP="005E5C0B">
      <w:pPr>
        <w:keepNext/>
        <w:keepLines/>
        <w:widowControl/>
        <w:rPr>
          <w:rFonts w:cs="Arial"/>
          <w:i/>
          <w:szCs w:val="22"/>
        </w:rPr>
      </w:pPr>
    </w:p>
    <w:p w:rsidR="004009DB" w:rsidRPr="00722B43" w:rsidRDefault="004009DB" w:rsidP="0068631F">
      <w:pPr>
        <w:pStyle w:val="FSBullet"/>
        <w:keepNext/>
        <w:keepLines/>
        <w:widowControl/>
        <w:ind w:left="1418"/>
        <w:rPr>
          <w:i/>
        </w:rPr>
      </w:pPr>
      <w:r w:rsidRPr="00722B43">
        <w:rPr>
          <w:i/>
        </w:rPr>
        <w:t>What is the estimated dietary exposure to calcium lignosulphonate (40-65) for the Australian and New Zealand populations?</w:t>
      </w:r>
    </w:p>
    <w:p w:rsidR="004009DB" w:rsidRPr="00722B43" w:rsidRDefault="004009DB" w:rsidP="0068631F">
      <w:pPr>
        <w:pStyle w:val="FSBullet"/>
        <w:keepNext/>
        <w:keepLines/>
        <w:widowControl/>
        <w:ind w:left="1418"/>
        <w:rPr>
          <w:i/>
        </w:rPr>
      </w:pPr>
      <w:r w:rsidRPr="00722B43">
        <w:rPr>
          <w:i/>
        </w:rPr>
        <w:t>Will Australian and New Zealand population intakes of calcium lignosulphonate (40-65) exceed the reference health standard as a result of this Application?</w:t>
      </w:r>
    </w:p>
    <w:p w:rsidR="004009DB" w:rsidRDefault="004009DB" w:rsidP="004009DB"/>
    <w:p w:rsidR="0068631F" w:rsidRDefault="004009DB" w:rsidP="006C5EE7">
      <w:pPr>
        <w:keepLines/>
        <w:rPr>
          <w:rFonts w:cs="Arial"/>
        </w:rPr>
      </w:pPr>
      <w:r>
        <w:rPr>
          <w:rFonts w:cs="Arial"/>
          <w:lang w:val="en-AU"/>
        </w:rPr>
        <w:t xml:space="preserve">Predicted dietary exposures to calcium lignosulphonate (40-65) were </w:t>
      </w:r>
      <w:r w:rsidR="009D6499">
        <w:rPr>
          <w:rFonts w:cs="Arial"/>
          <w:lang w:val="en-AU"/>
        </w:rPr>
        <w:t>assess</w:t>
      </w:r>
      <w:r w:rsidR="00751F37">
        <w:rPr>
          <w:rFonts w:cs="Arial"/>
          <w:lang w:val="en-AU"/>
        </w:rPr>
        <w:t>ed</w:t>
      </w:r>
      <w:r w:rsidR="009D6499">
        <w:rPr>
          <w:rFonts w:cs="Arial"/>
          <w:lang w:val="en-AU"/>
        </w:rPr>
        <w:t xml:space="preserve"> as </w:t>
      </w:r>
      <w:r>
        <w:rPr>
          <w:rFonts w:cs="Arial"/>
          <w:lang w:val="en-AU"/>
        </w:rPr>
        <w:t xml:space="preserve">low </w:t>
      </w:r>
      <w:r w:rsidR="009D6499">
        <w:rPr>
          <w:rFonts w:cs="Arial"/>
          <w:lang w:val="en-AU"/>
        </w:rPr>
        <w:t xml:space="preserve">when dietary exposure was determined </w:t>
      </w:r>
      <w:r>
        <w:rPr>
          <w:rFonts w:cs="Arial"/>
          <w:lang w:val="en-AU"/>
        </w:rPr>
        <w:t xml:space="preserve">using </w:t>
      </w:r>
      <w:r w:rsidR="009D6499">
        <w:rPr>
          <w:rFonts w:cs="Arial"/>
          <w:lang w:val="en-AU"/>
        </w:rPr>
        <w:t>a)</w:t>
      </w:r>
      <w:r w:rsidR="00751F37">
        <w:rPr>
          <w:rFonts w:cs="Arial"/>
          <w:lang w:val="en-AU"/>
        </w:rPr>
        <w:t xml:space="preserve"> </w:t>
      </w:r>
      <w:r>
        <w:rPr>
          <w:rFonts w:cs="Arial"/>
          <w:lang w:val="en-AU"/>
        </w:rPr>
        <w:t xml:space="preserve">the proposed food groups and concentration data provided by the Applicant and </w:t>
      </w:r>
      <w:r w:rsidR="009D6499">
        <w:rPr>
          <w:rFonts w:cs="Arial"/>
          <w:lang w:val="en-AU"/>
        </w:rPr>
        <w:t xml:space="preserve">b) </w:t>
      </w:r>
      <w:r>
        <w:rPr>
          <w:rFonts w:cs="Arial"/>
          <w:lang w:val="en-AU"/>
        </w:rPr>
        <w:t>the best available consumption data for the Australian and New Zealand populations</w:t>
      </w:r>
      <w:r>
        <w:rPr>
          <w:rFonts w:cs="Arial"/>
        </w:rPr>
        <w:t>. Predicted mean dietary exposures were less than 20% of the reference health standard, while 90</w:t>
      </w:r>
      <w:r w:rsidRPr="00657065">
        <w:rPr>
          <w:rFonts w:cs="Arial"/>
          <w:vertAlign w:val="superscript"/>
        </w:rPr>
        <w:t>th</w:t>
      </w:r>
      <w:r>
        <w:rPr>
          <w:rFonts w:cs="Arial"/>
        </w:rPr>
        <w:t xml:space="preserve"> percentile exposures were less than 30% of the reference health standard for all population groups assessed. These estimates were based on very conservative assumptions so as not to underestimate the potential exposures.</w:t>
      </w:r>
      <w:r w:rsidR="0068631F">
        <w:rPr>
          <w:rFonts w:cs="Arial"/>
        </w:rPr>
        <w:br w:type="page"/>
      </w:r>
    </w:p>
    <w:p w:rsidR="004009DB" w:rsidRDefault="004009DB" w:rsidP="006C5EE7">
      <w:pPr>
        <w:keepNext/>
        <w:widowControl/>
        <w:rPr>
          <w:rFonts w:cs="Arial"/>
          <w:lang w:val="en-AU"/>
        </w:rPr>
      </w:pPr>
      <w:r>
        <w:rPr>
          <w:rFonts w:cs="Arial"/>
          <w:lang w:val="en-AU"/>
        </w:rPr>
        <w:lastRenderedPageBreak/>
        <w:t xml:space="preserve">Given the conservative nature of this dietary exposure assessment, and the low exposures that have been obtained, FSANZ does not expect that intakes will exceed the ADI for calcium lignosulphonate (40-65). </w:t>
      </w:r>
    </w:p>
    <w:p w:rsidR="004009DB" w:rsidRDefault="004009DB" w:rsidP="004009DB"/>
    <w:p w:rsidR="004009DB" w:rsidRDefault="004009DB" w:rsidP="004009DB">
      <w:pPr>
        <w:pStyle w:val="Heading3"/>
        <w:keepLines/>
        <w:widowControl/>
      </w:pPr>
      <w:bookmarkStart w:id="59" w:name="_Toc277080451"/>
      <w:bookmarkStart w:id="60" w:name="_Toc288490762"/>
      <w:r>
        <w:t>6.4</w:t>
      </w:r>
      <w:r>
        <w:tab/>
        <w:t>Nutritional Assessment</w:t>
      </w:r>
      <w:bookmarkEnd w:id="59"/>
      <w:bookmarkEnd w:id="60"/>
    </w:p>
    <w:p w:rsidR="004009DB" w:rsidRDefault="004009DB" w:rsidP="004009DB">
      <w:pPr>
        <w:keepNext/>
        <w:keepLines/>
        <w:widowControl/>
      </w:pPr>
    </w:p>
    <w:p w:rsidR="004009DB" w:rsidRPr="00F84D36" w:rsidRDefault="004009DB" w:rsidP="004009DB">
      <w:pPr>
        <w:pStyle w:val="Heading4"/>
      </w:pPr>
      <w:r>
        <w:t>6.4.1</w:t>
      </w:r>
      <w:r>
        <w:tab/>
        <w:t xml:space="preserve">Are there any adverse nutritional outcomes associated with the Applicant’s proposed use of </w:t>
      </w:r>
      <w:r w:rsidRPr="00F84D36">
        <w:rPr>
          <w:rFonts w:cs="Arial"/>
        </w:rPr>
        <w:t xml:space="preserve">calcium lignosulphonate (40-65) </w:t>
      </w:r>
      <w:r w:rsidR="006E7561">
        <w:rPr>
          <w:rFonts w:cs="Arial"/>
        </w:rPr>
        <w:t xml:space="preserve">as a means </w:t>
      </w:r>
      <w:r w:rsidR="006E7561">
        <w:t>of</w:t>
      </w:r>
      <w:r w:rsidR="00751F37">
        <w:t xml:space="preserve"> incorporat</w:t>
      </w:r>
      <w:r w:rsidR="006E7561">
        <w:t>ing</w:t>
      </w:r>
      <w:r>
        <w:t xml:space="preserve"> fat-soluble nutrients</w:t>
      </w:r>
      <w:r w:rsidR="006E7561">
        <w:t xml:space="preserve"> into water-based foods</w:t>
      </w:r>
      <w:r>
        <w:t>?</w:t>
      </w:r>
    </w:p>
    <w:p w:rsidR="004009DB" w:rsidRDefault="004009DB" w:rsidP="004009DB"/>
    <w:p w:rsidR="004009DB" w:rsidRPr="000715D3" w:rsidRDefault="004009DB" w:rsidP="004009DB">
      <w:pPr>
        <w:keepNext/>
        <w:keepLines/>
        <w:widowControl/>
        <w:rPr>
          <w:rFonts w:cs="Arial"/>
        </w:rPr>
      </w:pPr>
      <w:r>
        <w:rPr>
          <w:rFonts w:cs="Arial"/>
        </w:rPr>
        <w:t>D</w:t>
      </w:r>
      <w:r w:rsidRPr="000715D3">
        <w:rPr>
          <w:rFonts w:cs="Arial"/>
        </w:rPr>
        <w:t xml:space="preserve">ata </w:t>
      </w:r>
      <w:r>
        <w:rPr>
          <w:rFonts w:cs="Arial"/>
        </w:rPr>
        <w:t xml:space="preserve">from a suitable animal model show that the use of </w:t>
      </w:r>
      <w:r w:rsidRPr="00000651">
        <w:rPr>
          <w:rFonts w:cs="Arial"/>
        </w:rPr>
        <w:t>calcium lignosulphonate (40-65)</w:t>
      </w:r>
      <w:r>
        <w:rPr>
          <w:rFonts w:cs="Arial"/>
        </w:rPr>
        <w:t xml:space="preserve"> </w:t>
      </w:r>
      <w:r w:rsidR="006E7561">
        <w:rPr>
          <w:rFonts w:cs="Arial"/>
        </w:rPr>
        <w:t>as a means of</w:t>
      </w:r>
      <w:r w:rsidR="00751F37">
        <w:rPr>
          <w:rFonts w:cs="Arial"/>
        </w:rPr>
        <w:t xml:space="preserve"> incorporat</w:t>
      </w:r>
      <w:r w:rsidR="006E7561">
        <w:rPr>
          <w:rFonts w:cs="Arial"/>
        </w:rPr>
        <w:t>ing</w:t>
      </w:r>
      <w:r>
        <w:rPr>
          <w:rFonts w:cs="Arial"/>
        </w:rPr>
        <w:t xml:space="preserve"> fat-soluble nutrients </w:t>
      </w:r>
      <w:r w:rsidR="006E7561">
        <w:rPr>
          <w:rFonts w:cs="Arial"/>
        </w:rPr>
        <w:t>into water-based foods will</w:t>
      </w:r>
      <w:r>
        <w:rPr>
          <w:rFonts w:cs="Arial"/>
        </w:rPr>
        <w:t xml:space="preserve"> likely result in the same gastrointestinal absorption of these nutrients as occurs with the use of an</w:t>
      </w:r>
      <w:r w:rsidRPr="000715D3">
        <w:rPr>
          <w:rFonts w:cs="Arial"/>
        </w:rPr>
        <w:t xml:space="preserve">other common </w:t>
      </w:r>
      <w:r w:rsidR="00751F37">
        <w:rPr>
          <w:rFonts w:cs="Arial"/>
        </w:rPr>
        <w:t>substance</w:t>
      </w:r>
      <w:r w:rsidR="00871C7F">
        <w:rPr>
          <w:rFonts w:cs="Arial"/>
        </w:rPr>
        <w:t xml:space="preserve"> (gelatine)</w:t>
      </w:r>
      <w:r w:rsidRPr="000715D3">
        <w:rPr>
          <w:rFonts w:cs="Arial"/>
        </w:rPr>
        <w:t>.</w:t>
      </w:r>
      <w:r>
        <w:rPr>
          <w:rFonts w:cs="Arial"/>
        </w:rPr>
        <w:t xml:space="preserve"> There is also indirect evidence suggesting that</w:t>
      </w:r>
      <w:r w:rsidRPr="00696A43">
        <w:rPr>
          <w:rFonts w:cs="Arial"/>
        </w:rPr>
        <w:t xml:space="preserve"> calcium lignosulphonate (40-65) presents fat-soluble nutrients to the gastrointestinal system </w:t>
      </w:r>
      <w:r>
        <w:rPr>
          <w:rFonts w:cs="Arial"/>
        </w:rPr>
        <w:t>such</w:t>
      </w:r>
      <w:r w:rsidRPr="00696A43">
        <w:rPr>
          <w:rFonts w:cs="Arial"/>
        </w:rPr>
        <w:t xml:space="preserve"> that normal digestion and absorption of these nutrients</w:t>
      </w:r>
      <w:r>
        <w:rPr>
          <w:rFonts w:cs="Arial"/>
        </w:rPr>
        <w:t xml:space="preserve"> can occur.</w:t>
      </w:r>
    </w:p>
    <w:p w:rsidR="004009DB" w:rsidRDefault="004009DB" w:rsidP="004009DB">
      <w:pPr>
        <w:rPr>
          <w:rFonts w:cs="Arial"/>
        </w:rPr>
      </w:pPr>
    </w:p>
    <w:p w:rsidR="004009DB" w:rsidRDefault="004009DB" w:rsidP="004009DB">
      <w:pPr>
        <w:rPr>
          <w:rFonts w:cs="Arial"/>
        </w:rPr>
      </w:pPr>
      <w:r>
        <w:rPr>
          <w:rFonts w:cs="Arial"/>
        </w:rPr>
        <w:t xml:space="preserve">The use of </w:t>
      </w:r>
      <w:r w:rsidRPr="00000651">
        <w:rPr>
          <w:rFonts w:cs="Arial"/>
        </w:rPr>
        <w:t>calcium lignosulphonate (40-65)</w:t>
      </w:r>
      <w:r>
        <w:rPr>
          <w:rFonts w:cs="Arial"/>
        </w:rPr>
        <w:t xml:space="preserve"> could result in the capture of fat-soluble nutrients from other dietary sources into a </w:t>
      </w:r>
      <w:r w:rsidRPr="00000651">
        <w:rPr>
          <w:rFonts w:cs="Arial"/>
        </w:rPr>
        <w:t>calcium lignosulphonate (40-65)</w:t>
      </w:r>
      <w:r>
        <w:rPr>
          <w:rFonts w:cs="Arial"/>
        </w:rPr>
        <w:t xml:space="preserve"> oil mixture. However, this scenario is unlikely to result in any interference with the normal digestion and absorption of these nutrients.</w:t>
      </w:r>
    </w:p>
    <w:p w:rsidR="004009DB" w:rsidRDefault="004009DB" w:rsidP="004009DB">
      <w:pPr>
        <w:rPr>
          <w:rFonts w:cs="Arial"/>
        </w:rPr>
      </w:pPr>
    </w:p>
    <w:p w:rsidR="004009DB" w:rsidRPr="00696A43" w:rsidRDefault="004009DB" w:rsidP="004009DB">
      <w:pPr>
        <w:rPr>
          <w:rFonts w:cs="Arial"/>
        </w:rPr>
      </w:pPr>
      <w:r>
        <w:rPr>
          <w:rFonts w:cs="Arial"/>
        </w:rPr>
        <w:t xml:space="preserve">On the basis of this evidence, FSANZ concludes that the use of </w:t>
      </w:r>
      <w:r w:rsidRPr="00000651">
        <w:rPr>
          <w:rFonts w:cs="Arial"/>
        </w:rPr>
        <w:t>calcium lignosulphonate (40-65)</w:t>
      </w:r>
      <w:r>
        <w:rPr>
          <w:rFonts w:cs="Arial"/>
        </w:rPr>
        <w:t xml:space="preserve"> </w:t>
      </w:r>
      <w:r w:rsidR="006E7561">
        <w:rPr>
          <w:rFonts w:cs="Arial"/>
        </w:rPr>
        <w:t>as a means of</w:t>
      </w:r>
      <w:r w:rsidR="00751F37">
        <w:rPr>
          <w:rFonts w:cs="Arial"/>
        </w:rPr>
        <w:t xml:space="preserve"> incorporat</w:t>
      </w:r>
      <w:r w:rsidR="006E7561">
        <w:rPr>
          <w:rFonts w:cs="Arial"/>
        </w:rPr>
        <w:t>ing</w:t>
      </w:r>
      <w:r>
        <w:rPr>
          <w:rFonts w:cs="Arial"/>
        </w:rPr>
        <w:t xml:space="preserve"> fat-soluble nutrients </w:t>
      </w:r>
      <w:r w:rsidR="006E7561">
        <w:rPr>
          <w:rFonts w:cs="Arial"/>
        </w:rPr>
        <w:t xml:space="preserve">into water-based foods </w:t>
      </w:r>
      <w:r>
        <w:rPr>
          <w:rFonts w:cs="Arial"/>
        </w:rPr>
        <w:t>is unlikely to result in any adverse nutritional outcomes.</w:t>
      </w:r>
    </w:p>
    <w:p w:rsidR="00C92E07" w:rsidRPr="00DC6570" w:rsidRDefault="00C92E07">
      <w:pPr>
        <w:rPr>
          <w:rFonts w:cs="Arial"/>
        </w:rPr>
      </w:pPr>
    </w:p>
    <w:p w:rsidR="003C4969" w:rsidRPr="00DC6570" w:rsidRDefault="00807559" w:rsidP="001C27A3">
      <w:pPr>
        <w:pStyle w:val="Heading1"/>
      </w:pPr>
      <w:bookmarkStart w:id="61" w:name="_Toc288490763"/>
      <w:r>
        <w:t>Risk M</w:t>
      </w:r>
      <w:r w:rsidR="003C4969" w:rsidRPr="00DC6570">
        <w:t>anagement</w:t>
      </w:r>
      <w:bookmarkEnd w:id="61"/>
    </w:p>
    <w:p w:rsidR="00DD0BB2" w:rsidRPr="00DD0BB2" w:rsidRDefault="00DD0BB2" w:rsidP="00DD0BB2">
      <w:pPr>
        <w:pStyle w:val="Heading2"/>
        <w:rPr>
          <w:sz w:val="22"/>
          <w:szCs w:val="22"/>
        </w:rPr>
      </w:pPr>
      <w:bookmarkStart w:id="62" w:name="_Toc277080453"/>
      <w:bookmarkStart w:id="63" w:name="_Toc11735636"/>
      <w:bookmarkStart w:id="64" w:name="_Toc29883121"/>
      <w:bookmarkStart w:id="65" w:name="_Toc41906808"/>
      <w:bookmarkStart w:id="66" w:name="_Toc41907555"/>
      <w:bookmarkStart w:id="67" w:name="_Toc120358586"/>
    </w:p>
    <w:p w:rsidR="00DD0BB2" w:rsidRPr="00DA5C3C" w:rsidRDefault="00DD0BB2" w:rsidP="00DD0BB2">
      <w:pPr>
        <w:pStyle w:val="Heading2"/>
      </w:pPr>
      <w:bookmarkStart w:id="68" w:name="_Toc288490764"/>
      <w:r w:rsidRPr="00DA5C3C">
        <w:t>7.</w:t>
      </w:r>
      <w:r w:rsidRPr="00DA5C3C">
        <w:tab/>
        <w:t>Issues raised</w:t>
      </w:r>
      <w:bookmarkEnd w:id="62"/>
      <w:bookmarkEnd w:id="68"/>
    </w:p>
    <w:p w:rsidR="00DD0BB2" w:rsidRPr="00DA5C3C" w:rsidRDefault="00DD0BB2" w:rsidP="00DD0BB2">
      <w:pPr>
        <w:rPr>
          <w:rFonts w:cs="Arial"/>
        </w:rPr>
      </w:pPr>
    </w:p>
    <w:p w:rsidR="00DD0BB2" w:rsidRPr="00DA5C3C" w:rsidRDefault="00DD0BB2" w:rsidP="00DD0BB2">
      <w:pPr>
        <w:pStyle w:val="Heading3"/>
      </w:pPr>
      <w:bookmarkStart w:id="69" w:name="_Toc277080454"/>
      <w:bookmarkStart w:id="70" w:name="_Toc288490765"/>
      <w:r w:rsidRPr="00DA5C3C">
        <w:t>7.1</w:t>
      </w:r>
      <w:r w:rsidRPr="00DA5C3C">
        <w:tab/>
        <w:t>Risk Management Strategy</w:t>
      </w:r>
      <w:bookmarkEnd w:id="69"/>
      <w:bookmarkEnd w:id="70"/>
    </w:p>
    <w:p w:rsidR="00DD0BB2" w:rsidRPr="00DA5C3C" w:rsidRDefault="00DD0BB2" w:rsidP="00DD0BB2"/>
    <w:p w:rsidR="00DD0BB2" w:rsidRDefault="00DD0BB2" w:rsidP="00DD0BB2">
      <w:r>
        <w:t xml:space="preserve">As explained in </w:t>
      </w:r>
      <w:r w:rsidR="006C5EE7">
        <w:t>S</w:t>
      </w:r>
      <w:r>
        <w:t xml:space="preserve">ection 2.2 of the Report and in </w:t>
      </w:r>
      <w:r w:rsidR="006C5EE7">
        <w:t>S</w:t>
      </w:r>
      <w:r>
        <w:t xml:space="preserve">ection 4.2 of </w:t>
      </w:r>
      <w:r w:rsidRPr="00D023B6">
        <w:rPr>
          <w:b/>
        </w:rPr>
        <w:t>SD1</w:t>
      </w:r>
      <w:r>
        <w:t xml:space="preserve">, FSANZ concludes that </w:t>
      </w:r>
      <w:r w:rsidRPr="003B4C62">
        <w:rPr>
          <w:rFonts w:cs="Arial"/>
        </w:rPr>
        <w:t>calcium lignosul</w:t>
      </w:r>
      <w:r>
        <w:rPr>
          <w:rFonts w:cs="Arial"/>
        </w:rPr>
        <w:t>ph</w:t>
      </w:r>
      <w:r w:rsidRPr="003B4C62">
        <w:rPr>
          <w:rFonts w:cs="Arial"/>
        </w:rPr>
        <w:t xml:space="preserve">onate (40-65) </w:t>
      </w:r>
      <w:r w:rsidR="00B969A1">
        <w:t>is</w:t>
      </w:r>
      <w:r w:rsidR="00F5223D">
        <w:t xml:space="preserve"> </w:t>
      </w:r>
      <w:r>
        <w:t>a food additive and not a processing aid for the purpose proposed in the Application. That is, to assist to incorporate oil</w:t>
      </w:r>
      <w:r w:rsidR="003860E8">
        <w:t>-</w:t>
      </w:r>
      <w:r>
        <w:t xml:space="preserve">soluble </w:t>
      </w:r>
      <w:r w:rsidR="006C5EE7">
        <w:t xml:space="preserve">and dispersible </w:t>
      </w:r>
      <w:r>
        <w:t>vitamins and carotenoids in water</w:t>
      </w:r>
      <w:r w:rsidR="00E25C58">
        <w:t>-</w:t>
      </w:r>
      <w:r>
        <w:t>based foods.</w:t>
      </w:r>
    </w:p>
    <w:p w:rsidR="00DD0BB2" w:rsidRDefault="00DD0BB2" w:rsidP="00DD0BB2"/>
    <w:p w:rsidR="00DD0BB2" w:rsidRDefault="00DD0BB2" w:rsidP="00DD0BB2">
      <w:pPr>
        <w:keepNext/>
        <w:keepLines/>
        <w:widowControl/>
      </w:pPr>
      <w:r>
        <w:t>Based on the outcome of the risk assessment</w:t>
      </w:r>
      <w:r w:rsidR="00DB401C">
        <w:t>,</w:t>
      </w:r>
      <w:r>
        <w:t xml:space="preserve"> FSANZ concludes that it is appropriate to permit </w:t>
      </w:r>
      <w:r w:rsidRPr="003B4C62">
        <w:rPr>
          <w:rFonts w:cs="Arial"/>
        </w:rPr>
        <w:t>calcium lignosul</w:t>
      </w:r>
      <w:r>
        <w:rPr>
          <w:rFonts w:cs="Arial"/>
        </w:rPr>
        <w:t>ph</w:t>
      </w:r>
      <w:r w:rsidRPr="003B4C62">
        <w:rPr>
          <w:rFonts w:cs="Arial"/>
        </w:rPr>
        <w:t xml:space="preserve">onate (40-65) </w:t>
      </w:r>
      <w:r>
        <w:t xml:space="preserve">as a generally permitted food additive that can be used under conditions of Good Manufacturing Practice (GMP) in </w:t>
      </w:r>
      <w:r w:rsidR="00751F37">
        <w:t>permitted</w:t>
      </w:r>
      <w:r>
        <w:t xml:space="preserve"> processed foods. That is, the substance can be added to Schedule 2 (Miscellaneous additives permitted to GMP in processed foods specified in Schedule 1) of Standard 1.3.1. Permitting </w:t>
      </w:r>
      <w:r w:rsidRPr="003B4C62">
        <w:rPr>
          <w:rFonts w:cs="Arial"/>
        </w:rPr>
        <w:t>calcium lignosul</w:t>
      </w:r>
      <w:r>
        <w:rPr>
          <w:rFonts w:cs="Arial"/>
        </w:rPr>
        <w:t>ph</w:t>
      </w:r>
      <w:r w:rsidRPr="003B4C62">
        <w:rPr>
          <w:rFonts w:cs="Arial"/>
        </w:rPr>
        <w:t xml:space="preserve">onate (40-65) </w:t>
      </w:r>
      <w:r>
        <w:t xml:space="preserve">to be used at GMP means food manufacturers need to use the minimum amount necessary to achieve the desired purpose. Some of the currently used substances that perform the same function as </w:t>
      </w:r>
      <w:r w:rsidRPr="003B4C62">
        <w:rPr>
          <w:rFonts w:cs="Arial"/>
        </w:rPr>
        <w:t>calcium lignosul</w:t>
      </w:r>
      <w:r>
        <w:rPr>
          <w:rFonts w:cs="Arial"/>
        </w:rPr>
        <w:t>ph</w:t>
      </w:r>
      <w:r w:rsidRPr="003B4C62">
        <w:rPr>
          <w:rFonts w:cs="Arial"/>
        </w:rPr>
        <w:t xml:space="preserve">onate (40-65) </w:t>
      </w:r>
      <w:r>
        <w:t xml:space="preserve">are also permitted in Schedule 2 of Standard 1.3.1. These are gum arabic (also called acacia gum) with INS 414 and various starches with INS numbers of </w:t>
      </w:r>
      <w:r w:rsidR="00EB5F9A">
        <w:t>1400s</w:t>
      </w:r>
      <w:r>
        <w:t>.</w:t>
      </w:r>
    </w:p>
    <w:p w:rsidR="00DD0BB2" w:rsidRDefault="00DD0BB2" w:rsidP="00DD0BB2"/>
    <w:p w:rsidR="00DD0BB2" w:rsidRDefault="00DD0BB2" w:rsidP="00DD0BB2">
      <w:r>
        <w:t xml:space="preserve">The drafting, to permit </w:t>
      </w:r>
      <w:r w:rsidRPr="003B4C62">
        <w:rPr>
          <w:rFonts w:cs="Arial"/>
        </w:rPr>
        <w:t>calcium lignosul</w:t>
      </w:r>
      <w:r>
        <w:rPr>
          <w:rFonts w:cs="Arial"/>
        </w:rPr>
        <w:t>ph</w:t>
      </w:r>
      <w:r w:rsidRPr="003B4C62">
        <w:rPr>
          <w:rFonts w:cs="Arial"/>
        </w:rPr>
        <w:t xml:space="preserve">onate (40-65) </w:t>
      </w:r>
      <w:r>
        <w:t xml:space="preserve">as a food additive permitted at GMP, in Schedule 2 of Standard 1.3.1 and the consequential changes to Schedule 2 of Standard 1.2.4 – Labelling of Ingredients is provided in </w:t>
      </w:r>
      <w:r w:rsidRPr="00CB4789">
        <w:rPr>
          <w:b/>
        </w:rPr>
        <w:t>Attachment 1</w:t>
      </w:r>
      <w:r>
        <w:t>.</w:t>
      </w:r>
      <w:r w:rsidRPr="00BD204F">
        <w:t xml:space="preserve"> </w:t>
      </w:r>
    </w:p>
    <w:p w:rsidR="00DD0BB2" w:rsidRPr="00BD204F" w:rsidRDefault="00DD0BB2" w:rsidP="00DD0BB2"/>
    <w:p w:rsidR="0068631F" w:rsidRDefault="0068631F" w:rsidP="006C5EE7">
      <w:pPr>
        <w:pStyle w:val="Heading3"/>
        <w:widowControl/>
      </w:pPr>
      <w:bookmarkStart w:id="71" w:name="_Toc277080455"/>
      <w:bookmarkStart w:id="72" w:name="_Toc288490766"/>
      <w:r>
        <w:br w:type="page"/>
      </w:r>
    </w:p>
    <w:p w:rsidR="00DD0BB2" w:rsidRDefault="00DD0BB2" w:rsidP="006C5EE7">
      <w:pPr>
        <w:pStyle w:val="Heading3"/>
        <w:widowControl/>
      </w:pPr>
      <w:r>
        <w:lastRenderedPageBreak/>
        <w:t>7.2</w:t>
      </w:r>
      <w:r>
        <w:tab/>
        <w:t>Labelling implications</w:t>
      </w:r>
      <w:bookmarkEnd w:id="71"/>
      <w:bookmarkEnd w:id="72"/>
    </w:p>
    <w:p w:rsidR="00DD0BB2" w:rsidRPr="0068631F" w:rsidRDefault="00DD0BB2" w:rsidP="0068631F"/>
    <w:p w:rsidR="00DD0BB2" w:rsidRPr="00EE0745" w:rsidRDefault="00DD0BB2" w:rsidP="0068631F">
      <w:r w:rsidRPr="00EE0745">
        <w:t xml:space="preserve">The Applicant sought approval for the use of calcium lignosulphonate </w:t>
      </w:r>
      <w:r>
        <w:t xml:space="preserve">(40-65) </w:t>
      </w:r>
      <w:r w:rsidRPr="00EE0745">
        <w:t xml:space="preserve">as a processing aid. </w:t>
      </w:r>
      <w:r>
        <w:t xml:space="preserve">Under paragraph </w:t>
      </w:r>
      <w:r w:rsidRPr="00EE0745">
        <w:t>3(d) of Standard 1.2.4</w:t>
      </w:r>
      <w:r>
        <w:t>,</w:t>
      </w:r>
      <w:r w:rsidRPr="00DB4028">
        <w:t xml:space="preserve"> </w:t>
      </w:r>
      <w:r w:rsidRPr="00EE0745">
        <w:t xml:space="preserve">processing aids are exempt </w:t>
      </w:r>
      <w:r>
        <w:t xml:space="preserve">from ingredient labelling. </w:t>
      </w:r>
    </w:p>
    <w:p w:rsidR="00DD0BB2" w:rsidRDefault="00DD0BB2" w:rsidP="00DD0BB2">
      <w:pPr>
        <w:widowControl/>
        <w:rPr>
          <w:rFonts w:cs="Arial"/>
        </w:rPr>
      </w:pPr>
    </w:p>
    <w:p w:rsidR="00DD0BB2" w:rsidRDefault="00DD0BB2" w:rsidP="00DD0BB2">
      <w:r>
        <w:t>However, b</w:t>
      </w:r>
      <w:r w:rsidRPr="00EE0745">
        <w:t>ased on the information provided by the Applicant, FSANZ considers that calcium lignosulphonate</w:t>
      </w:r>
      <w:r>
        <w:t xml:space="preserve"> (40-65)</w:t>
      </w:r>
      <w:r w:rsidRPr="00EE0745">
        <w:t xml:space="preserve"> </w:t>
      </w:r>
      <w:r>
        <w:t xml:space="preserve">functions as </w:t>
      </w:r>
      <w:r w:rsidRPr="00EE0745">
        <w:t>a food additive rather than a processing aid</w:t>
      </w:r>
      <w:r>
        <w:t xml:space="preserve"> (see </w:t>
      </w:r>
      <w:r w:rsidR="00E502B5">
        <w:t>S</w:t>
      </w:r>
      <w:r>
        <w:t xml:space="preserve">ection </w:t>
      </w:r>
      <w:r w:rsidR="006C5EE7">
        <w:t>2</w:t>
      </w:r>
      <w:r>
        <w:t>.2)</w:t>
      </w:r>
      <w:r w:rsidRPr="00EE0745">
        <w:t xml:space="preserve">. </w:t>
      </w:r>
      <w:r>
        <w:t xml:space="preserve">Food additives must be labelled in accordance with </w:t>
      </w:r>
      <w:r w:rsidRPr="00EE0745">
        <w:t>clause 8 of Standard 1.2.4. Under this clause, where a food additive can be classified in one of the classes of additives listed in Schedule 1 of the Standard, the additive must be declared in the statement of ingredient by the name of that class followed by the additive’s specific name or code number in brackets. Therefore calcium lignosulphonate</w:t>
      </w:r>
      <w:r>
        <w:t xml:space="preserve"> (40-65)</w:t>
      </w:r>
      <w:r w:rsidRPr="00EE0745">
        <w:t xml:space="preserve"> would be declared as either [class</w:t>
      </w:r>
      <w:proofErr w:type="gramStart"/>
      <w:r w:rsidRPr="00EE0745">
        <w:t>](</w:t>
      </w:r>
      <w:proofErr w:type="gramEnd"/>
      <w:r w:rsidRPr="00EE0745">
        <w:t>calcium lignosulphonate</w:t>
      </w:r>
      <w:r>
        <w:t xml:space="preserve"> (40-65)</w:t>
      </w:r>
      <w:r w:rsidRPr="00EE0745">
        <w:t>) or [class](1522).</w:t>
      </w:r>
    </w:p>
    <w:p w:rsidR="00DD0BB2" w:rsidRPr="00EE0745" w:rsidRDefault="00DD0BB2" w:rsidP="00DD0BB2">
      <w:pPr>
        <w:rPr>
          <w:rFonts w:cs="Arial"/>
        </w:rPr>
      </w:pPr>
    </w:p>
    <w:p w:rsidR="00DD0BB2" w:rsidRDefault="00DD0BB2" w:rsidP="00DD0BB2">
      <w:pPr>
        <w:pStyle w:val="Heading3"/>
      </w:pPr>
      <w:bookmarkStart w:id="73" w:name="_Toc277080456"/>
      <w:bookmarkStart w:id="74" w:name="_Toc288490767"/>
      <w:r>
        <w:t>7.3</w:t>
      </w:r>
      <w:r>
        <w:tab/>
        <w:t xml:space="preserve">Analytical methods for determining presence of </w:t>
      </w:r>
      <w:r w:rsidRPr="003B4C62">
        <w:rPr>
          <w:rFonts w:cs="Arial"/>
        </w:rPr>
        <w:t>calcium lignosul</w:t>
      </w:r>
      <w:r>
        <w:rPr>
          <w:rFonts w:cs="Arial"/>
        </w:rPr>
        <w:t>ph</w:t>
      </w:r>
      <w:r w:rsidRPr="003B4C62">
        <w:rPr>
          <w:rFonts w:cs="Arial"/>
        </w:rPr>
        <w:t xml:space="preserve">onate (40-65) </w:t>
      </w:r>
      <w:r>
        <w:t>in food</w:t>
      </w:r>
      <w:bookmarkEnd w:id="73"/>
      <w:bookmarkEnd w:id="74"/>
    </w:p>
    <w:p w:rsidR="00DD0BB2" w:rsidRDefault="00DD0BB2" w:rsidP="00DD0BB2">
      <w:pPr>
        <w:rPr>
          <w:rFonts w:cs="Arial"/>
        </w:rPr>
      </w:pPr>
    </w:p>
    <w:p w:rsidR="00DD0BB2" w:rsidRDefault="00DB401C" w:rsidP="00DD0BB2">
      <w:pPr>
        <w:rPr>
          <w:rFonts w:cs="Arial"/>
        </w:rPr>
      </w:pPr>
      <w:r>
        <w:rPr>
          <w:rFonts w:cs="Arial"/>
        </w:rPr>
        <w:t>The Applicant states in their</w:t>
      </w:r>
      <w:r w:rsidR="00DD0BB2">
        <w:rPr>
          <w:rFonts w:cs="Arial"/>
        </w:rPr>
        <w:t xml:space="preserve"> Application that there is no analytical method available that quantifies the amount of </w:t>
      </w:r>
      <w:r w:rsidR="00DD0BB2" w:rsidRPr="00E07C48">
        <w:rPr>
          <w:rFonts w:cs="Arial"/>
        </w:rPr>
        <w:t xml:space="preserve">calcium lignosulphonate (40-65) </w:t>
      </w:r>
      <w:r w:rsidR="00DD0BB2">
        <w:rPr>
          <w:rFonts w:cs="Arial"/>
        </w:rPr>
        <w:t xml:space="preserve">that would be present in the final food. The Chemical and Technical Assessment Report written by JECFA on </w:t>
      </w:r>
      <w:r w:rsidR="00DD0BB2" w:rsidRPr="00E07C48">
        <w:rPr>
          <w:rFonts w:cs="Arial"/>
        </w:rPr>
        <w:t xml:space="preserve">calcium lignosulphonate (40-65) </w:t>
      </w:r>
      <w:r w:rsidR="00DD0BB2">
        <w:rPr>
          <w:rFonts w:cs="Arial"/>
        </w:rPr>
        <w:t>makes the same statement.</w:t>
      </w:r>
    </w:p>
    <w:p w:rsidR="00DD0BB2" w:rsidRDefault="00DD0BB2" w:rsidP="00DD0BB2">
      <w:pPr>
        <w:rPr>
          <w:rFonts w:cs="Arial"/>
        </w:rPr>
      </w:pPr>
    </w:p>
    <w:p w:rsidR="00DD0BB2" w:rsidRPr="00801404" w:rsidRDefault="00DD0BB2" w:rsidP="00DD0BB2">
      <w:pPr>
        <w:rPr>
          <w:rFonts w:cs="Arial"/>
        </w:rPr>
      </w:pPr>
      <w:r w:rsidRPr="00801404">
        <w:rPr>
          <w:rFonts w:cs="Arial"/>
        </w:rPr>
        <w:t xml:space="preserve">The Applicant argues that there will only be small amounts of the substance in the final food. An analytical method has not been </w:t>
      </w:r>
      <w:r w:rsidR="000E3141">
        <w:rPr>
          <w:rFonts w:cs="Arial"/>
        </w:rPr>
        <w:t xml:space="preserve">able to be </w:t>
      </w:r>
      <w:r w:rsidRPr="00801404">
        <w:rPr>
          <w:rFonts w:cs="Arial"/>
        </w:rPr>
        <w:t>developed due to the difficulties inherent in detecting a complex polymer of varying size, in low concentrations, within complex and varying food matrices.</w:t>
      </w:r>
      <w:r w:rsidR="005016D3">
        <w:rPr>
          <w:rFonts w:cs="Arial"/>
        </w:rPr>
        <w:t xml:space="preserve"> The Applicant also uses </w:t>
      </w:r>
      <w:r w:rsidR="005016D3" w:rsidRPr="005016D3">
        <w:rPr>
          <w:rFonts w:cs="Arial"/>
        </w:rPr>
        <w:t xml:space="preserve">calcium lignosulphonate (40-65) </w:t>
      </w:r>
      <w:r w:rsidR="005016D3">
        <w:rPr>
          <w:rFonts w:cs="Arial"/>
        </w:rPr>
        <w:t xml:space="preserve">in animal feed preparations. </w:t>
      </w:r>
      <w:r w:rsidR="00751F37">
        <w:rPr>
          <w:rFonts w:cs="Arial"/>
        </w:rPr>
        <w:t>They</w:t>
      </w:r>
      <w:r w:rsidR="005016D3">
        <w:rPr>
          <w:rFonts w:cs="Arial"/>
        </w:rPr>
        <w:t xml:space="preserve"> investigated developing analytical methods for determining the presence of</w:t>
      </w:r>
      <w:r w:rsidR="007B3D4E">
        <w:rPr>
          <w:rFonts w:cs="Arial"/>
        </w:rPr>
        <w:t>,</w:t>
      </w:r>
      <w:r w:rsidR="005016D3">
        <w:rPr>
          <w:rFonts w:cs="Arial"/>
        </w:rPr>
        <w:t xml:space="preserve"> or quantifying</w:t>
      </w:r>
      <w:r w:rsidR="007B3D4E">
        <w:rPr>
          <w:rFonts w:cs="Arial"/>
        </w:rPr>
        <w:t>,</w:t>
      </w:r>
      <w:r w:rsidR="005016D3">
        <w:rPr>
          <w:rFonts w:cs="Arial"/>
        </w:rPr>
        <w:t xml:space="preserve"> the amount of </w:t>
      </w:r>
      <w:r w:rsidR="005016D3" w:rsidRPr="005016D3">
        <w:rPr>
          <w:rFonts w:cs="Arial"/>
        </w:rPr>
        <w:t xml:space="preserve">calcium lignosulphonate (40-65) </w:t>
      </w:r>
      <w:r w:rsidR="005016D3">
        <w:rPr>
          <w:rFonts w:cs="Arial"/>
        </w:rPr>
        <w:t xml:space="preserve">in animal feed but could not develop an analytical method. </w:t>
      </w:r>
    </w:p>
    <w:p w:rsidR="00DD0BB2" w:rsidRDefault="00DD0BB2" w:rsidP="00DD0BB2">
      <w:pPr>
        <w:rPr>
          <w:rFonts w:cs="Arial"/>
        </w:rPr>
      </w:pPr>
    </w:p>
    <w:p w:rsidR="00B23AF5" w:rsidRDefault="00B23AF5" w:rsidP="00DD0BB2">
      <w:pPr>
        <w:rPr>
          <w:rFonts w:cs="Arial"/>
        </w:rPr>
      </w:pPr>
      <w:r>
        <w:rPr>
          <w:rFonts w:cs="Arial"/>
        </w:rPr>
        <w:t xml:space="preserve">FSANZ sought further information and justification for why an analytical method was not possible to be developed from the Applicant. The summary of the reasons are essentially as noted above. Food matrices are variable and usually complex. Phenolic compounds are ubiquitous in food, especially plant derived and their presence interferes with the detection of a specific form, being </w:t>
      </w:r>
      <w:r w:rsidRPr="00B23AF5">
        <w:rPr>
          <w:rFonts w:cs="Arial"/>
        </w:rPr>
        <w:t>calcium lignosulph</w:t>
      </w:r>
      <w:r>
        <w:rPr>
          <w:rFonts w:cs="Arial"/>
        </w:rPr>
        <w:t xml:space="preserve">onate (40-65). </w:t>
      </w:r>
      <w:r w:rsidR="00E1692E">
        <w:rPr>
          <w:rFonts w:cs="Arial"/>
        </w:rPr>
        <w:t xml:space="preserve">Even detecting </w:t>
      </w:r>
      <w:r w:rsidR="00E1692E" w:rsidRPr="00E1692E">
        <w:rPr>
          <w:rFonts w:cs="Arial"/>
        </w:rPr>
        <w:t xml:space="preserve">lignosulphonate </w:t>
      </w:r>
      <w:r w:rsidR="00E1692E">
        <w:rPr>
          <w:rFonts w:cs="Arial"/>
        </w:rPr>
        <w:t>and lignin in the wood pulp and paper pulp industry is complicated. This is the case even when the substance occurs in relatively high levels and the matrix is relatively simple compared to the complexity in food.</w:t>
      </w:r>
    </w:p>
    <w:p w:rsidR="001C49BB" w:rsidRDefault="001C49BB" w:rsidP="00DD0BB2">
      <w:pPr>
        <w:rPr>
          <w:rFonts w:cs="Arial"/>
        </w:rPr>
      </w:pPr>
    </w:p>
    <w:p w:rsidR="00B23AF5" w:rsidRDefault="003F5372" w:rsidP="00DD0BB2">
      <w:pPr>
        <w:rPr>
          <w:rFonts w:cs="Arial"/>
        </w:rPr>
      </w:pPr>
      <w:r>
        <w:rPr>
          <w:rFonts w:cs="Arial"/>
        </w:rPr>
        <w:t xml:space="preserve">Since the permission for </w:t>
      </w:r>
      <w:r w:rsidRPr="003F5372">
        <w:rPr>
          <w:rFonts w:cs="Arial"/>
        </w:rPr>
        <w:t xml:space="preserve">calcium lignosulphonate (40-65) </w:t>
      </w:r>
      <w:r>
        <w:rPr>
          <w:rFonts w:cs="Arial"/>
        </w:rPr>
        <w:t>is as a GMP food additive</w:t>
      </w:r>
      <w:r w:rsidR="007754D7">
        <w:rPr>
          <w:rFonts w:cs="Arial"/>
        </w:rPr>
        <w:t>,</w:t>
      </w:r>
      <w:r>
        <w:rPr>
          <w:rFonts w:cs="Arial"/>
        </w:rPr>
        <w:t xml:space="preserve"> there is no maximum permitted level to check compliance against.</w:t>
      </w:r>
    </w:p>
    <w:p w:rsidR="003F5372" w:rsidRPr="00801404" w:rsidRDefault="003F5372" w:rsidP="00DD0BB2">
      <w:pPr>
        <w:rPr>
          <w:rFonts w:cs="Arial"/>
        </w:rPr>
      </w:pPr>
    </w:p>
    <w:p w:rsidR="00DD0BB2" w:rsidRDefault="00DD0BB2" w:rsidP="00DD0BB2">
      <w:pPr>
        <w:rPr>
          <w:rFonts w:cs="Arial"/>
        </w:rPr>
      </w:pPr>
      <w:r w:rsidRPr="00801404">
        <w:rPr>
          <w:rFonts w:cs="Arial"/>
        </w:rPr>
        <w:t>Various analytical methods are</w:t>
      </w:r>
      <w:r w:rsidR="007754D7">
        <w:rPr>
          <w:rFonts w:cs="Arial"/>
        </w:rPr>
        <w:t>,</w:t>
      </w:r>
      <w:r w:rsidRPr="00801404">
        <w:rPr>
          <w:rFonts w:cs="Arial"/>
        </w:rPr>
        <w:t xml:space="preserve"> however</w:t>
      </w:r>
      <w:r w:rsidR="007754D7">
        <w:rPr>
          <w:rFonts w:cs="Arial"/>
        </w:rPr>
        <w:t>,</w:t>
      </w:r>
      <w:r w:rsidRPr="00801404">
        <w:rPr>
          <w:rFonts w:cs="Arial"/>
        </w:rPr>
        <w:t xml:space="preserve"> available to determine the presence of the active ingredient (e</w:t>
      </w:r>
      <w:r>
        <w:rPr>
          <w:rFonts w:cs="Arial"/>
        </w:rPr>
        <w:t>.</w:t>
      </w:r>
      <w:r w:rsidRPr="00801404">
        <w:rPr>
          <w:rFonts w:cs="Arial"/>
        </w:rPr>
        <w:t>g</w:t>
      </w:r>
      <w:r>
        <w:rPr>
          <w:rFonts w:cs="Arial"/>
        </w:rPr>
        <w:t>.</w:t>
      </w:r>
      <w:r w:rsidRPr="00801404">
        <w:rPr>
          <w:rFonts w:cs="Arial"/>
        </w:rPr>
        <w:t xml:space="preserve"> the </w:t>
      </w:r>
      <w:r w:rsidR="005D365E">
        <w:rPr>
          <w:rFonts w:cs="Arial"/>
        </w:rPr>
        <w:t>fat-soluble</w:t>
      </w:r>
      <w:r w:rsidRPr="00801404">
        <w:rPr>
          <w:rFonts w:cs="Arial"/>
        </w:rPr>
        <w:t xml:space="preserve"> vitamin or carotenoid) encapsulated using calcium lignosul</w:t>
      </w:r>
      <w:r>
        <w:rPr>
          <w:rFonts w:cs="Arial"/>
        </w:rPr>
        <w:t>ph</w:t>
      </w:r>
      <w:r w:rsidRPr="00801404">
        <w:rPr>
          <w:rFonts w:cs="Arial"/>
        </w:rPr>
        <w:t>onate (40-65).</w:t>
      </w:r>
      <w:r>
        <w:rPr>
          <w:rFonts w:cs="Arial"/>
        </w:rPr>
        <w:t xml:space="preserve"> It is possible that the analytical methods to check for compliance with the JECFA specification could be adapted to check for the presence of the substance in the food, but </w:t>
      </w:r>
      <w:r w:rsidR="000F51B1">
        <w:rPr>
          <w:rFonts w:cs="Arial"/>
        </w:rPr>
        <w:t>it may not</w:t>
      </w:r>
      <w:r w:rsidR="00A81889">
        <w:rPr>
          <w:rFonts w:cs="Arial"/>
        </w:rPr>
        <w:t xml:space="preserve"> </w:t>
      </w:r>
      <w:r>
        <w:rPr>
          <w:rFonts w:cs="Arial"/>
        </w:rPr>
        <w:t>be a practical method to discriminate the substance from a complex food matrix.</w:t>
      </w:r>
    </w:p>
    <w:p w:rsidR="00DD0BB2" w:rsidRDefault="00DD0BB2" w:rsidP="00DD0BB2">
      <w:pPr>
        <w:rPr>
          <w:rFonts w:cs="Arial"/>
        </w:rPr>
      </w:pPr>
    </w:p>
    <w:p w:rsidR="0068631F" w:rsidRDefault="00DD0BB2" w:rsidP="0068631F">
      <w:r>
        <w:t xml:space="preserve">FSANZ concludes that an analytical method to determine the presence (or to quantify the amount) of the substance in the final food is </w:t>
      </w:r>
      <w:r w:rsidR="00E1692E">
        <w:t>not currently available</w:t>
      </w:r>
      <w:r>
        <w:t>.</w:t>
      </w:r>
      <w:r w:rsidR="007E57B4">
        <w:t xml:space="preserve"> </w:t>
      </w:r>
      <w:r w:rsidR="00E1692E">
        <w:t xml:space="preserve">However, FSANZ does not believe this issue is a concern since other analytical methods exist to check for the presence of the active nutrients, and the safety assessment for </w:t>
      </w:r>
      <w:r w:rsidR="00E1692E" w:rsidRPr="00E1692E">
        <w:t xml:space="preserve">calcium lignosulphonate (40-65) </w:t>
      </w:r>
      <w:r w:rsidR="00E1692E">
        <w:t>indicates there are no safety concerns with adding the substance to food.</w:t>
      </w:r>
      <w:r w:rsidR="0068631F">
        <w:br w:type="page"/>
      </w:r>
    </w:p>
    <w:p w:rsidR="00DD0BB2" w:rsidRDefault="007E57B4" w:rsidP="007E57B4">
      <w:pPr>
        <w:keepNext/>
        <w:keepLines/>
        <w:widowControl/>
        <w:rPr>
          <w:rFonts w:cs="Arial"/>
        </w:rPr>
      </w:pPr>
      <w:r>
        <w:rPr>
          <w:rFonts w:cs="Arial"/>
        </w:rPr>
        <w:lastRenderedPageBreak/>
        <w:t xml:space="preserve">More detail is supplied in section 11.2.4 where FSANZ addresses a submitter’s issue over concern that no analytical method is available for the presence of </w:t>
      </w:r>
      <w:r w:rsidRPr="007E57B4">
        <w:rPr>
          <w:rFonts w:cs="Arial"/>
        </w:rPr>
        <w:t xml:space="preserve">calcium lignosulphonate (40-65) </w:t>
      </w:r>
      <w:r>
        <w:rPr>
          <w:rFonts w:cs="Arial"/>
        </w:rPr>
        <w:t>in treated food.</w:t>
      </w:r>
    </w:p>
    <w:p w:rsidR="00DD0BB2" w:rsidRDefault="00DD0BB2" w:rsidP="00DD0BB2">
      <w:pPr>
        <w:rPr>
          <w:rFonts w:cs="Arial"/>
        </w:rPr>
      </w:pPr>
    </w:p>
    <w:p w:rsidR="003C4969" w:rsidRPr="00DC6570" w:rsidRDefault="00C262A9" w:rsidP="001C27A3">
      <w:pPr>
        <w:pStyle w:val="Heading2"/>
      </w:pPr>
      <w:bookmarkStart w:id="75" w:name="_Toc288490768"/>
      <w:r>
        <w:t>8</w:t>
      </w:r>
      <w:r w:rsidR="001C27A3">
        <w:t>.</w:t>
      </w:r>
      <w:r w:rsidR="003C4969" w:rsidRPr="00DC6570">
        <w:tab/>
        <w:t>Options</w:t>
      </w:r>
      <w:bookmarkEnd w:id="63"/>
      <w:bookmarkEnd w:id="64"/>
      <w:bookmarkEnd w:id="65"/>
      <w:bookmarkEnd w:id="66"/>
      <w:bookmarkEnd w:id="67"/>
      <w:bookmarkEnd w:id="75"/>
      <w:r w:rsidR="003C4969" w:rsidRPr="00DC6570">
        <w:t xml:space="preserve"> </w:t>
      </w:r>
    </w:p>
    <w:p w:rsidR="00C262A9" w:rsidRDefault="00C262A9" w:rsidP="00C262A9">
      <w:pPr>
        <w:pStyle w:val="Header"/>
        <w:keepNext/>
        <w:keepLines/>
        <w:widowControl/>
        <w:rPr>
          <w:rFonts w:cs="Arial"/>
          <w:lang w:val="en-AU"/>
        </w:rPr>
      </w:pPr>
      <w:bookmarkStart w:id="76" w:name="_Toc11735637"/>
      <w:bookmarkStart w:id="77" w:name="_Toc29883122"/>
      <w:bookmarkStart w:id="78" w:name="_Toc41906809"/>
      <w:bookmarkStart w:id="79" w:name="_Toc41907556"/>
      <w:bookmarkStart w:id="80" w:name="_Toc120358587"/>
    </w:p>
    <w:p w:rsidR="00C262A9" w:rsidRDefault="00C262A9" w:rsidP="00C262A9">
      <w:pPr>
        <w:pStyle w:val="Header"/>
        <w:keepNext/>
        <w:keepLines/>
        <w:widowControl/>
        <w:rPr>
          <w:rFonts w:cs="Arial"/>
          <w:lang w:val="en-AU"/>
        </w:rPr>
      </w:pPr>
      <w:r>
        <w:rPr>
          <w:rFonts w:cs="Arial"/>
          <w:lang w:val="en-AU"/>
        </w:rPr>
        <w:t xml:space="preserve">Food additives require a pre-market approval under Standard 1.3.1 before they can be used in food manufacture. Therefore, it is not appropriate to consider non-regulatory options. Consequently, </w:t>
      </w:r>
      <w:r w:rsidRPr="00253BC5">
        <w:rPr>
          <w:rFonts w:cs="Arial"/>
          <w:lang w:val="en-AU"/>
        </w:rPr>
        <w:t>two</w:t>
      </w:r>
      <w:r>
        <w:rPr>
          <w:rFonts w:cs="Arial"/>
          <w:lang w:val="en-AU"/>
        </w:rPr>
        <w:t xml:space="preserve"> regulatory options are considered for this Application. They are:</w:t>
      </w:r>
    </w:p>
    <w:p w:rsidR="00C262A9" w:rsidRDefault="00C262A9" w:rsidP="00C262A9">
      <w:pPr>
        <w:pStyle w:val="Header"/>
        <w:rPr>
          <w:rFonts w:cs="Arial"/>
          <w:lang w:val="en-AU"/>
        </w:rPr>
      </w:pPr>
    </w:p>
    <w:p w:rsidR="00C262A9" w:rsidRDefault="00C262A9" w:rsidP="00C262A9">
      <w:pPr>
        <w:pStyle w:val="Header"/>
        <w:rPr>
          <w:rFonts w:cs="Arial"/>
          <w:lang w:val="en-AU"/>
        </w:rPr>
      </w:pPr>
      <w:r>
        <w:rPr>
          <w:rFonts w:cs="Arial"/>
          <w:b/>
          <w:i/>
          <w:lang w:val="en-AU"/>
        </w:rPr>
        <w:t>Option 1</w:t>
      </w:r>
      <w:r>
        <w:rPr>
          <w:rFonts w:cs="Arial"/>
          <w:b/>
          <w:i/>
          <w:lang w:val="en-AU"/>
        </w:rPr>
        <w:tab/>
      </w:r>
      <w:r>
        <w:rPr>
          <w:rFonts w:cs="Arial"/>
          <w:lang w:val="en-AU"/>
        </w:rPr>
        <w:t>Reject the Application</w:t>
      </w:r>
    </w:p>
    <w:p w:rsidR="00C262A9" w:rsidRDefault="00C262A9" w:rsidP="00C262A9">
      <w:pPr>
        <w:pStyle w:val="Header"/>
        <w:rPr>
          <w:rFonts w:cs="Arial"/>
          <w:lang w:val="en-AU"/>
        </w:rPr>
      </w:pPr>
    </w:p>
    <w:p w:rsidR="00C262A9" w:rsidRDefault="00C262A9" w:rsidP="00C262A9">
      <w:pPr>
        <w:pStyle w:val="Header"/>
        <w:ind w:left="1134" w:hanging="1134"/>
        <w:rPr>
          <w:rFonts w:cs="Arial"/>
          <w:lang w:val="en-AU"/>
        </w:rPr>
      </w:pPr>
      <w:r w:rsidRPr="00253BC5">
        <w:rPr>
          <w:rFonts w:cs="Arial"/>
          <w:b/>
          <w:i/>
          <w:lang w:val="en-AU"/>
        </w:rPr>
        <w:t>Option 2</w:t>
      </w:r>
      <w:r>
        <w:rPr>
          <w:rFonts w:cs="Arial"/>
          <w:b/>
          <w:i/>
          <w:lang w:val="en-AU"/>
        </w:rPr>
        <w:tab/>
      </w:r>
      <w:r w:rsidR="005E5C0B">
        <w:rPr>
          <w:rFonts w:cs="Arial"/>
          <w:lang w:val="en-AU"/>
        </w:rPr>
        <w:t>Approve</w:t>
      </w:r>
      <w:r>
        <w:rPr>
          <w:rFonts w:cs="Arial"/>
          <w:lang w:val="en-AU"/>
        </w:rPr>
        <w:t xml:space="preserve"> the </w:t>
      </w:r>
      <w:r w:rsidR="00471EE7">
        <w:rPr>
          <w:rFonts w:cs="Arial"/>
          <w:lang w:val="en-AU"/>
        </w:rPr>
        <w:t>draft</w:t>
      </w:r>
      <w:r w:rsidR="003A2489">
        <w:rPr>
          <w:rFonts w:cs="Arial"/>
          <w:lang w:val="en-AU"/>
        </w:rPr>
        <w:t xml:space="preserve"> variations</w:t>
      </w:r>
      <w:r>
        <w:rPr>
          <w:rFonts w:cs="Arial"/>
          <w:lang w:val="en-AU"/>
        </w:rPr>
        <w:t xml:space="preserve"> and permit the use of </w:t>
      </w:r>
      <w:r w:rsidRPr="00253BC5">
        <w:rPr>
          <w:rFonts w:cs="Arial"/>
          <w:lang w:val="en-AU"/>
        </w:rPr>
        <w:t xml:space="preserve">calcium </w:t>
      </w:r>
      <w:r>
        <w:rPr>
          <w:rFonts w:cs="Arial"/>
          <w:lang w:val="en-AU"/>
        </w:rPr>
        <w:t>lignosulphonate</w:t>
      </w:r>
      <w:r w:rsidRPr="00253BC5">
        <w:rPr>
          <w:rFonts w:cs="Arial"/>
          <w:lang w:val="en-AU"/>
        </w:rPr>
        <w:t xml:space="preserve"> (40-65) </w:t>
      </w:r>
      <w:r>
        <w:rPr>
          <w:rFonts w:cs="Arial"/>
          <w:lang w:val="en-AU"/>
        </w:rPr>
        <w:t xml:space="preserve">as a food additive </w:t>
      </w:r>
    </w:p>
    <w:p w:rsidR="00C262A9" w:rsidRPr="00253BC5" w:rsidRDefault="00C262A9" w:rsidP="00C262A9">
      <w:pPr>
        <w:pStyle w:val="Header"/>
        <w:ind w:left="1134" w:hanging="1134"/>
        <w:rPr>
          <w:rFonts w:cs="Arial"/>
          <w:lang w:val="en-AU"/>
        </w:rPr>
      </w:pPr>
    </w:p>
    <w:p w:rsidR="003C4969" w:rsidRPr="00DC6570" w:rsidRDefault="00C262A9" w:rsidP="001C27A3">
      <w:pPr>
        <w:pStyle w:val="Heading2"/>
      </w:pPr>
      <w:bookmarkStart w:id="81" w:name="_Toc288490769"/>
      <w:r>
        <w:t>9</w:t>
      </w:r>
      <w:r w:rsidR="001C27A3">
        <w:t>.</w:t>
      </w:r>
      <w:r w:rsidR="003C4969" w:rsidRPr="00DC6570">
        <w:tab/>
        <w:t>Impact Analysis</w:t>
      </w:r>
      <w:bookmarkEnd w:id="76"/>
      <w:bookmarkEnd w:id="77"/>
      <w:bookmarkEnd w:id="78"/>
      <w:bookmarkEnd w:id="79"/>
      <w:bookmarkEnd w:id="80"/>
      <w:r w:rsidR="00486793" w:rsidRPr="00DC6570">
        <w:t xml:space="preserve"> (RIS ID:  </w:t>
      </w:r>
      <w:r>
        <w:t>11376</w:t>
      </w:r>
      <w:r w:rsidR="00486793" w:rsidRPr="00DC6570">
        <w:t>)</w:t>
      </w:r>
      <w:bookmarkEnd w:id="81"/>
    </w:p>
    <w:p w:rsidR="003C4969" w:rsidRPr="00DC6570" w:rsidRDefault="003C4969">
      <w:pPr>
        <w:pStyle w:val="Header"/>
        <w:rPr>
          <w:rFonts w:cs="Arial"/>
        </w:rPr>
      </w:pPr>
    </w:p>
    <w:p w:rsidR="00C262A9" w:rsidRDefault="00C262A9" w:rsidP="00C262A9">
      <w:r>
        <w:t>FSANZ is required to consider the impact of various regulatory and non-regulatory options on all sectors of the community, especially relevant stakeholders who may be affected by this Application. The benefits and costs associated with the proposed amendments to the Code have been analysed using regulatory impact principles.</w:t>
      </w:r>
    </w:p>
    <w:p w:rsidR="00C262A9" w:rsidRDefault="00C262A9" w:rsidP="00C262A9"/>
    <w:p w:rsidR="00C262A9" w:rsidRDefault="00C262A9" w:rsidP="00C262A9">
      <w:pPr>
        <w:widowControl/>
      </w:pPr>
      <w:r>
        <w:t xml:space="preserve">In accordance with the Best Practice Regulation Guidelines, completion of a preliminary assessment for this Application indicated a low or negligible impact. </w:t>
      </w:r>
    </w:p>
    <w:p w:rsidR="00C262A9" w:rsidRDefault="00C262A9" w:rsidP="00C262A9">
      <w:pPr>
        <w:widowControl/>
      </w:pPr>
    </w:p>
    <w:p w:rsidR="00C262A9" w:rsidRDefault="00C262A9" w:rsidP="00C262A9">
      <w:r>
        <w:t xml:space="preserve">The Office of Best Practice Regulation </w:t>
      </w:r>
      <w:r w:rsidR="006C5EE7">
        <w:t xml:space="preserve">(OBPR) </w:t>
      </w:r>
      <w:r>
        <w:t xml:space="preserve">has advised that the Application appears to have no to low regulatory impacts on business and individuals and no further regulatory impact analysis, in the form of a Business Cost Calculator or Regulation Impact Statement, is required. </w:t>
      </w:r>
    </w:p>
    <w:p w:rsidR="00C262A9" w:rsidRDefault="00C262A9" w:rsidP="00C262A9">
      <w:pPr>
        <w:keepNext/>
        <w:keepLines/>
        <w:widowControl/>
      </w:pPr>
    </w:p>
    <w:p w:rsidR="00C262A9" w:rsidRPr="00DC6570" w:rsidRDefault="00C262A9" w:rsidP="00C262A9">
      <w:pPr>
        <w:pStyle w:val="Heading3"/>
        <w:keepLines/>
        <w:widowControl/>
      </w:pPr>
      <w:bookmarkStart w:id="82" w:name="_Toc277080459"/>
      <w:bookmarkStart w:id="83" w:name="_Toc288490770"/>
      <w:r>
        <w:t>9.1</w:t>
      </w:r>
      <w:r w:rsidRPr="00DC6570">
        <w:tab/>
        <w:t>Affected Parties</w:t>
      </w:r>
      <w:bookmarkEnd w:id="82"/>
      <w:bookmarkEnd w:id="83"/>
    </w:p>
    <w:p w:rsidR="00C262A9" w:rsidRDefault="00C262A9" w:rsidP="00C262A9">
      <w:pPr>
        <w:keepNext/>
        <w:keepLines/>
        <w:widowControl/>
        <w:rPr>
          <w:rFonts w:cs="Arial"/>
        </w:rPr>
      </w:pPr>
    </w:p>
    <w:p w:rsidR="00C262A9" w:rsidRDefault="00C262A9" w:rsidP="00C262A9">
      <w:pPr>
        <w:keepNext/>
        <w:keepLines/>
        <w:widowControl/>
        <w:rPr>
          <w:rFonts w:cs="Arial"/>
        </w:rPr>
      </w:pPr>
      <w:r>
        <w:rPr>
          <w:rFonts w:cs="Arial"/>
        </w:rPr>
        <w:t>The affected parties for this Application may include:</w:t>
      </w:r>
    </w:p>
    <w:p w:rsidR="00C262A9" w:rsidRDefault="00C262A9" w:rsidP="00C262A9">
      <w:pPr>
        <w:keepNext/>
        <w:keepLines/>
        <w:widowControl/>
        <w:rPr>
          <w:rFonts w:cs="Arial"/>
        </w:rPr>
      </w:pPr>
    </w:p>
    <w:p w:rsidR="00C262A9" w:rsidRDefault="00C262A9" w:rsidP="00C262A9">
      <w:pPr>
        <w:pStyle w:val="FSBullet"/>
      </w:pPr>
      <w:r>
        <w:t>those sectors of the food manufacturing industry who wish to use calcium lignosulphonate (40-65) to incorporate oil-soluble vitamins and carotenoids to water</w:t>
      </w:r>
      <w:r w:rsidR="004925F4">
        <w:t>-</w:t>
      </w:r>
      <w:r>
        <w:t>based foods</w:t>
      </w:r>
    </w:p>
    <w:p w:rsidR="00C262A9" w:rsidRDefault="00C262A9" w:rsidP="00C262A9"/>
    <w:p w:rsidR="00C262A9" w:rsidRDefault="00C262A9" w:rsidP="00C262A9">
      <w:pPr>
        <w:pStyle w:val="FSBullet"/>
      </w:pPr>
      <w:r>
        <w:t>consumers of food produced using calcium lignosulphonate (40-65) as a food additive</w:t>
      </w:r>
    </w:p>
    <w:p w:rsidR="00C262A9" w:rsidRDefault="00C262A9" w:rsidP="00C262A9"/>
    <w:p w:rsidR="00C262A9" w:rsidRPr="00F901EF" w:rsidRDefault="00C262A9" w:rsidP="00C262A9">
      <w:pPr>
        <w:pStyle w:val="FSBullet"/>
      </w:pPr>
      <w:r>
        <w:t>Government agencies with responsibility for compliance and enforcement of the Code.</w:t>
      </w:r>
    </w:p>
    <w:p w:rsidR="00C262A9" w:rsidRPr="00DC6570" w:rsidRDefault="00C262A9" w:rsidP="00C262A9">
      <w:pPr>
        <w:rPr>
          <w:rFonts w:cs="Arial"/>
        </w:rPr>
      </w:pPr>
    </w:p>
    <w:p w:rsidR="00C262A9" w:rsidRPr="00DC6570" w:rsidRDefault="00C262A9" w:rsidP="00C262A9">
      <w:pPr>
        <w:pStyle w:val="Heading3"/>
      </w:pPr>
      <w:bookmarkStart w:id="84" w:name="_Toc11735638"/>
      <w:bookmarkStart w:id="85" w:name="_Toc29883123"/>
      <w:bookmarkStart w:id="86" w:name="_Toc41906810"/>
      <w:bookmarkStart w:id="87" w:name="_Toc41907557"/>
      <w:bookmarkStart w:id="88" w:name="_Toc120358589"/>
      <w:bookmarkStart w:id="89" w:name="_Toc277080460"/>
      <w:bookmarkStart w:id="90" w:name="_Toc288490771"/>
      <w:r>
        <w:t>9.2</w:t>
      </w:r>
      <w:r w:rsidRPr="00DC6570">
        <w:tab/>
        <w:t>Benefit Cost Analysis</w:t>
      </w:r>
      <w:bookmarkEnd w:id="84"/>
      <w:bookmarkEnd w:id="85"/>
      <w:bookmarkEnd w:id="86"/>
      <w:bookmarkEnd w:id="87"/>
      <w:bookmarkEnd w:id="88"/>
      <w:bookmarkEnd w:id="89"/>
      <w:bookmarkEnd w:id="90"/>
    </w:p>
    <w:p w:rsidR="00C262A9" w:rsidRDefault="00C262A9" w:rsidP="00C262A9">
      <w:bookmarkStart w:id="91" w:name="_Toc120358590"/>
    </w:p>
    <w:p w:rsidR="00C262A9" w:rsidRPr="00AC0BE3" w:rsidRDefault="00C262A9" w:rsidP="00C262A9">
      <w:pPr>
        <w:rPr>
          <w:rFonts w:cs="Arial"/>
        </w:rPr>
      </w:pPr>
      <w:r w:rsidRPr="00AC0BE3">
        <w:rPr>
          <w:rFonts w:cs="Arial"/>
        </w:rPr>
        <w:t xml:space="preserve">OBPR has deemed that a cost benefit analysis for this </w:t>
      </w:r>
      <w:r>
        <w:rPr>
          <w:rFonts w:cs="Arial"/>
        </w:rPr>
        <w:t>A</w:t>
      </w:r>
      <w:r w:rsidRPr="00AC0BE3">
        <w:rPr>
          <w:rFonts w:cs="Arial"/>
        </w:rPr>
        <w:t>pplication is not required.</w:t>
      </w:r>
    </w:p>
    <w:p w:rsidR="00C262A9" w:rsidRDefault="00C262A9" w:rsidP="00C262A9"/>
    <w:p w:rsidR="0029227B" w:rsidRDefault="00C262A9" w:rsidP="00832B65">
      <w:pPr>
        <w:keepNext/>
        <w:keepLines/>
        <w:widowControl/>
      </w:pPr>
      <w:r>
        <w:t xml:space="preserve">However, FSANZ notes that the permission of </w:t>
      </w:r>
      <w:r w:rsidRPr="003B4C62">
        <w:rPr>
          <w:rFonts w:cs="Arial"/>
        </w:rPr>
        <w:t>calcium lignosul</w:t>
      </w:r>
      <w:r>
        <w:rPr>
          <w:rFonts w:cs="Arial"/>
        </w:rPr>
        <w:t>ph</w:t>
      </w:r>
      <w:r w:rsidRPr="003B4C62">
        <w:rPr>
          <w:rFonts w:cs="Arial"/>
        </w:rPr>
        <w:t xml:space="preserve">onate (40-65) </w:t>
      </w:r>
      <w:r>
        <w:t xml:space="preserve">proposed as a food additive is as an alternative to currently permitted and used substances for the same proposed purpose. That indicates that use of </w:t>
      </w:r>
      <w:r w:rsidRPr="003B4C62">
        <w:rPr>
          <w:rFonts w:cs="Arial"/>
        </w:rPr>
        <w:t>calcium lignosul</w:t>
      </w:r>
      <w:r>
        <w:rPr>
          <w:rFonts w:cs="Arial"/>
        </w:rPr>
        <w:t>ph</w:t>
      </w:r>
      <w:r w:rsidRPr="003B4C62">
        <w:rPr>
          <w:rFonts w:cs="Arial"/>
        </w:rPr>
        <w:t xml:space="preserve">onate (40-65) </w:t>
      </w:r>
      <w:r>
        <w:t>for the purposed purpose is voluntary. Food manufacturers will use a range of factors to determine which substance they use</w:t>
      </w:r>
      <w:r w:rsidR="0029227B">
        <w:t>.</w:t>
      </w:r>
      <w:r>
        <w:t xml:space="preserve"> Such factors will include cost, suitability for the desired purpose, any labelling requirements and the benefit of adding the nutrients to the food product. </w:t>
      </w:r>
    </w:p>
    <w:p w:rsidR="00C262A9" w:rsidRDefault="00C262A9" w:rsidP="00C262A9"/>
    <w:p w:rsidR="0068631F" w:rsidRDefault="0068631F" w:rsidP="00C262A9">
      <w:r>
        <w:br w:type="page"/>
      </w:r>
    </w:p>
    <w:p w:rsidR="00C262A9" w:rsidRDefault="00C262A9" w:rsidP="00C262A9">
      <w:r>
        <w:lastRenderedPageBreak/>
        <w:t>Approving a new food additive may impose an added modest cost to government enforcement agencies, to widen the scope of their activities.</w:t>
      </w:r>
    </w:p>
    <w:p w:rsidR="00C262A9" w:rsidRDefault="00C262A9" w:rsidP="00C262A9"/>
    <w:p w:rsidR="00C262A9" w:rsidRDefault="00C262A9" w:rsidP="00C262A9">
      <w:r>
        <w:t xml:space="preserve">On balance, there is expected to be a net benefit to stakeholders from approving </w:t>
      </w:r>
      <w:r w:rsidRPr="003B4C62">
        <w:rPr>
          <w:rFonts w:cs="Arial"/>
        </w:rPr>
        <w:t>calcium lignosul</w:t>
      </w:r>
      <w:r>
        <w:rPr>
          <w:rFonts w:cs="Arial"/>
        </w:rPr>
        <w:t>ph</w:t>
      </w:r>
      <w:r w:rsidRPr="003B4C62">
        <w:rPr>
          <w:rFonts w:cs="Arial"/>
        </w:rPr>
        <w:t xml:space="preserve">onate (40-65) </w:t>
      </w:r>
      <w:r>
        <w:t>as a new food additive.</w:t>
      </w:r>
    </w:p>
    <w:p w:rsidR="00C262A9" w:rsidRDefault="00C262A9" w:rsidP="00C262A9"/>
    <w:p w:rsidR="00C262A9" w:rsidRPr="00DC6570" w:rsidRDefault="00C262A9" w:rsidP="00C262A9">
      <w:pPr>
        <w:pStyle w:val="Heading3"/>
        <w:rPr>
          <w:rFonts w:cs="Arial"/>
        </w:rPr>
      </w:pPr>
      <w:bookmarkStart w:id="92" w:name="_Toc277080461"/>
      <w:bookmarkStart w:id="93" w:name="_Toc288490772"/>
      <w:r>
        <w:rPr>
          <w:rFonts w:cs="Arial"/>
        </w:rPr>
        <w:t>9.3</w:t>
      </w:r>
      <w:r w:rsidRPr="00DC6570">
        <w:rPr>
          <w:rFonts w:cs="Arial"/>
        </w:rPr>
        <w:tab/>
        <w:t>Comparison of Options</w:t>
      </w:r>
      <w:bookmarkEnd w:id="91"/>
      <w:bookmarkEnd w:id="92"/>
      <w:bookmarkEnd w:id="93"/>
    </w:p>
    <w:p w:rsidR="00C262A9" w:rsidRDefault="00C262A9" w:rsidP="00C262A9"/>
    <w:p w:rsidR="00C262A9" w:rsidRDefault="00C262A9" w:rsidP="00C262A9">
      <w:r>
        <w:rPr>
          <w:rFonts w:cs="Arial"/>
        </w:rPr>
        <w:t xml:space="preserve">Given that the acceptance of this Application imposes no financial burden on any sector of the community, and given that </w:t>
      </w:r>
      <w:r>
        <w:t>the use of this substance raises no public health and safety issues, option 2 is the preferred option.</w:t>
      </w:r>
    </w:p>
    <w:p w:rsidR="00C262A9" w:rsidRDefault="00C262A9" w:rsidP="00C262A9"/>
    <w:p w:rsidR="003C4969" w:rsidRPr="00DC6570" w:rsidRDefault="00807559" w:rsidP="007A44B4">
      <w:pPr>
        <w:pStyle w:val="Heading1"/>
      </w:pPr>
      <w:bookmarkStart w:id="94" w:name="_Toc288490773"/>
      <w:r>
        <w:t>C</w:t>
      </w:r>
      <w:r w:rsidR="003C4969" w:rsidRPr="00DC6570">
        <w:t>ommunication</w:t>
      </w:r>
      <w:r w:rsidR="00A74FD1" w:rsidRPr="00DC6570">
        <w:t xml:space="preserve"> and Consultation Strategy</w:t>
      </w:r>
      <w:bookmarkEnd w:id="94"/>
    </w:p>
    <w:p w:rsidR="003C4969" w:rsidRPr="00DC6570" w:rsidRDefault="003C4969">
      <w:pPr>
        <w:rPr>
          <w:rFonts w:cs="Arial"/>
        </w:rPr>
      </w:pPr>
    </w:p>
    <w:p w:rsidR="003C4969" w:rsidRPr="00DC6570" w:rsidRDefault="00C262A9" w:rsidP="00D859F2">
      <w:pPr>
        <w:pStyle w:val="Heading2"/>
      </w:pPr>
      <w:bookmarkStart w:id="95" w:name="_Toc120358592"/>
      <w:bookmarkStart w:id="96" w:name="_Toc288490774"/>
      <w:r>
        <w:t>10</w:t>
      </w:r>
      <w:r w:rsidR="007A44B4">
        <w:t>.</w:t>
      </w:r>
      <w:r w:rsidR="003C4969" w:rsidRPr="00DC6570">
        <w:tab/>
        <w:t>Communication</w:t>
      </w:r>
      <w:bookmarkEnd w:id="95"/>
      <w:bookmarkEnd w:id="96"/>
    </w:p>
    <w:p w:rsidR="003C4969" w:rsidRPr="00DC6570" w:rsidRDefault="003C4969">
      <w:pPr>
        <w:rPr>
          <w:rFonts w:cs="Arial"/>
        </w:rPr>
      </w:pPr>
    </w:p>
    <w:p w:rsidR="00C262A9" w:rsidRDefault="00C262A9" w:rsidP="00C262A9">
      <w:pPr>
        <w:rPr>
          <w:lang w:val="en-AU"/>
        </w:rPr>
      </w:pPr>
      <w:bookmarkStart w:id="97" w:name="_Toc11735640"/>
      <w:bookmarkStart w:id="98" w:name="_Toc29883125"/>
      <w:bookmarkStart w:id="99" w:name="_Toc41906812"/>
      <w:bookmarkStart w:id="100" w:name="_Toc41907559"/>
      <w:bookmarkStart w:id="101" w:name="_Toc120358593"/>
      <w:r>
        <w:rPr>
          <w:rFonts w:cs="Arial"/>
        </w:rPr>
        <w:t xml:space="preserve">FSANZ has developed and applied a basic communication strategy to this Application. </w:t>
      </w:r>
      <w:r w:rsidRPr="00C65959">
        <w:rPr>
          <w:lang w:val="en-AU"/>
        </w:rPr>
        <w:t>Th</w:t>
      </w:r>
      <w:r>
        <w:rPr>
          <w:lang w:val="en-AU"/>
        </w:rPr>
        <w:t>e strategy involved</w:t>
      </w:r>
      <w:r w:rsidRPr="00C65959">
        <w:rPr>
          <w:lang w:val="en-AU"/>
        </w:rPr>
        <w:t xml:space="preserve"> </w:t>
      </w:r>
      <w:r>
        <w:rPr>
          <w:lang w:val="en-AU"/>
        </w:rPr>
        <w:t xml:space="preserve">notifying subscribers and any interested parties of </w:t>
      </w:r>
      <w:r w:rsidRPr="005D2B7C">
        <w:rPr>
          <w:lang w:val="en-AU"/>
        </w:rPr>
        <w:t>the availability</w:t>
      </w:r>
      <w:r w:rsidRPr="00C65959">
        <w:rPr>
          <w:lang w:val="en-AU"/>
        </w:rPr>
        <w:t xml:space="preserve"> of </w:t>
      </w:r>
      <w:r>
        <w:rPr>
          <w:lang w:val="en-AU"/>
        </w:rPr>
        <w:t xml:space="preserve">the assessment </w:t>
      </w:r>
      <w:r w:rsidR="007754D7">
        <w:rPr>
          <w:lang w:val="en-AU"/>
        </w:rPr>
        <w:t>r</w:t>
      </w:r>
      <w:r w:rsidRPr="00C65959">
        <w:rPr>
          <w:lang w:val="en-AU"/>
        </w:rPr>
        <w:t>eport</w:t>
      </w:r>
      <w:r>
        <w:rPr>
          <w:lang w:val="en-AU"/>
        </w:rPr>
        <w:t>s for public comment</w:t>
      </w:r>
      <w:r w:rsidRPr="00C65959">
        <w:rPr>
          <w:lang w:val="en-AU"/>
        </w:rPr>
        <w:t xml:space="preserve"> </w:t>
      </w:r>
      <w:r>
        <w:rPr>
          <w:lang w:val="en-AU"/>
        </w:rPr>
        <w:t xml:space="preserve">and placing the </w:t>
      </w:r>
      <w:r w:rsidR="007754D7">
        <w:rPr>
          <w:lang w:val="en-AU"/>
        </w:rPr>
        <w:t>r</w:t>
      </w:r>
      <w:r>
        <w:rPr>
          <w:lang w:val="en-AU"/>
        </w:rPr>
        <w:t>eports on</w:t>
      </w:r>
      <w:r w:rsidRPr="00C65959">
        <w:rPr>
          <w:lang w:val="en-AU"/>
        </w:rPr>
        <w:t xml:space="preserve"> the FSANZ website. </w:t>
      </w:r>
    </w:p>
    <w:p w:rsidR="00C262A9" w:rsidRDefault="00C262A9" w:rsidP="00C262A9"/>
    <w:p w:rsidR="00C262A9" w:rsidRDefault="00C262A9" w:rsidP="00C262A9">
      <w:pPr>
        <w:widowControl/>
      </w:pPr>
      <w:r>
        <w:t xml:space="preserve">The process by which FSANZ considers standard matters is open, accountable, consultative and transparent. The purpose of inviting public submissions is to obtain the views of interested parties on the issues raised by the Application and the impacts of regulatory options. </w:t>
      </w:r>
    </w:p>
    <w:p w:rsidR="00C262A9" w:rsidRDefault="00C262A9" w:rsidP="00C262A9">
      <w:pPr>
        <w:widowControl/>
      </w:pPr>
    </w:p>
    <w:p w:rsidR="00C262A9" w:rsidRDefault="00C262A9" w:rsidP="00C262A9">
      <w:r>
        <w:t>The issues raised in the public submis</w:t>
      </w:r>
      <w:r w:rsidR="0068631F">
        <w:t>sions to the Assessment Report we</w:t>
      </w:r>
      <w:r>
        <w:t xml:space="preserve">re evaluated and addressed in </w:t>
      </w:r>
      <w:r w:rsidR="006C5EE7">
        <w:t xml:space="preserve">Section 11.2 of this </w:t>
      </w:r>
      <w:r>
        <w:t>Approval Report.</w:t>
      </w:r>
    </w:p>
    <w:p w:rsidR="00C262A9" w:rsidRDefault="00C262A9" w:rsidP="00C262A9">
      <w:pPr>
        <w:rPr>
          <w:rFonts w:cs="Arial"/>
        </w:rPr>
      </w:pPr>
    </w:p>
    <w:p w:rsidR="00C262A9" w:rsidRDefault="00C262A9" w:rsidP="00C262A9">
      <w:r>
        <w:t>The Applicant, individuals and organisations making submissions on this Application w</w:t>
      </w:r>
      <w:r w:rsidR="003A2489">
        <w:t>ere</w:t>
      </w:r>
      <w:r w:rsidR="00A81889">
        <w:t xml:space="preserve"> </w:t>
      </w:r>
      <w:r>
        <w:t xml:space="preserve">notified at each stage of the consideration of the Application. </w:t>
      </w:r>
      <w:r w:rsidR="0068631F">
        <w:t xml:space="preserve">The FSANZ Board’s decision to approve the draft variations has been notified </w:t>
      </w:r>
      <w:r>
        <w:t>to the Ministerial Council. The Applicant and stakeholders, including the public, will be notified of the gazetted changes to the Code in the national press and on the FSANZ website.</w:t>
      </w:r>
    </w:p>
    <w:p w:rsidR="00C262A9" w:rsidRDefault="00C262A9" w:rsidP="00C262A9"/>
    <w:p w:rsidR="003C4969" w:rsidRDefault="007A44B4" w:rsidP="00D93C77">
      <w:pPr>
        <w:pStyle w:val="Heading2"/>
        <w:keepLines/>
        <w:widowControl/>
      </w:pPr>
      <w:bookmarkStart w:id="102" w:name="_Toc288490775"/>
      <w:r>
        <w:t>1</w:t>
      </w:r>
      <w:r w:rsidR="00D859F2">
        <w:t>1</w:t>
      </w:r>
      <w:r>
        <w:t>.</w:t>
      </w:r>
      <w:r w:rsidR="003C4969" w:rsidRPr="00DC6570">
        <w:tab/>
        <w:t>Consultation</w:t>
      </w:r>
      <w:bookmarkEnd w:id="97"/>
      <w:bookmarkEnd w:id="98"/>
      <w:bookmarkEnd w:id="99"/>
      <w:bookmarkEnd w:id="100"/>
      <w:bookmarkEnd w:id="101"/>
      <w:bookmarkEnd w:id="102"/>
    </w:p>
    <w:p w:rsidR="00696C35" w:rsidRDefault="00696C35" w:rsidP="00D93C77">
      <w:pPr>
        <w:keepNext/>
        <w:keepLines/>
        <w:widowControl/>
      </w:pPr>
    </w:p>
    <w:p w:rsidR="00D859F2" w:rsidRDefault="00D859F2" w:rsidP="00D93C77">
      <w:pPr>
        <w:pStyle w:val="Heading3"/>
        <w:keepLines/>
        <w:widowControl/>
      </w:pPr>
      <w:bookmarkStart w:id="103" w:name="_Toc288490776"/>
      <w:r>
        <w:t>11.1</w:t>
      </w:r>
      <w:r>
        <w:tab/>
        <w:t>Public Consultation</w:t>
      </w:r>
      <w:bookmarkEnd w:id="103"/>
    </w:p>
    <w:p w:rsidR="00D859F2" w:rsidRDefault="00D859F2" w:rsidP="00D93C77">
      <w:pPr>
        <w:keepNext/>
        <w:keepLines/>
        <w:widowControl/>
      </w:pPr>
    </w:p>
    <w:p w:rsidR="00AA65AD" w:rsidRDefault="00AA65AD" w:rsidP="00D93C77">
      <w:pPr>
        <w:keepNext/>
        <w:keepLines/>
        <w:widowControl/>
      </w:pPr>
      <w:r>
        <w:t xml:space="preserve">The Assessment Report for this Application was </w:t>
      </w:r>
      <w:r w:rsidR="0068631F">
        <w:t>released</w:t>
      </w:r>
      <w:r>
        <w:t xml:space="preserve"> for public comment between </w:t>
      </w:r>
      <w:r>
        <w:br/>
        <w:t>15 December 2010 and 9 February 2011. Comments were specifically sought on the scientific and technical aspects of the assessment, as well as the proposed drafting to the Code. In particular</w:t>
      </w:r>
      <w:r w:rsidR="003A2489">
        <w:t>,</w:t>
      </w:r>
      <w:r>
        <w:t xml:space="preserve"> these related to the risk assessment questions contained in </w:t>
      </w:r>
      <w:r w:rsidR="00D93C77">
        <w:t>S</w:t>
      </w:r>
      <w:r>
        <w:t>ection 5 of the Report</w:t>
      </w:r>
      <w:r w:rsidR="003A2489">
        <w:t xml:space="preserve"> in regard to</w:t>
      </w:r>
      <w:r w:rsidR="00A81889">
        <w:t xml:space="preserve"> </w:t>
      </w:r>
      <w:r>
        <w:t xml:space="preserve">the technological function of the substance as proposed to be used by the Applicant, any safety or nutrition concerns over its use and the dietary exposure assessment </w:t>
      </w:r>
      <w:r w:rsidR="00BD1373">
        <w:t>performed</w:t>
      </w:r>
      <w:r w:rsidR="001A3F28">
        <w:t>.</w:t>
      </w:r>
      <w:r w:rsidR="00BD1373">
        <w:t xml:space="preserve"> As this Application was assessed under a General Procedure, only one round of public comment was applicable.</w:t>
      </w:r>
    </w:p>
    <w:p w:rsidR="00BD1373" w:rsidRDefault="00BD1373" w:rsidP="00696C35"/>
    <w:p w:rsidR="0068631F" w:rsidRDefault="00644CAB" w:rsidP="00696C35">
      <w:r>
        <w:t>Five</w:t>
      </w:r>
      <w:r w:rsidR="00D859F2">
        <w:t xml:space="preserve"> submissions were received during the public consultation period. A summary of these submissions is provided in Attachment 2.</w:t>
      </w:r>
      <w:r>
        <w:t xml:space="preserve"> Four submissions were received from jurisdictions while one was received from an industry association. Four submissions supported approving the Application. One submission did not express any explicit decision though it indicated that if the substance is to be approved as a food additive then an analytical method for the presence of the substance in food is highly appropriate and necessary, which is different to the position of FSANZ (issue addressed in Section 11.2.4). </w:t>
      </w:r>
      <w:r w:rsidR="0068631F">
        <w:br w:type="page"/>
      </w:r>
    </w:p>
    <w:p w:rsidR="00BD1373" w:rsidRDefault="00644CAB" w:rsidP="00696C35">
      <w:r>
        <w:lastRenderedPageBreak/>
        <w:t>One submitter has a different view to that of FSANZ</w:t>
      </w:r>
      <w:r w:rsidR="0068631F">
        <w:t>, where they concluded that</w:t>
      </w:r>
      <w:r>
        <w:t xml:space="preserve"> the technological function of the </w:t>
      </w:r>
      <w:r w:rsidRPr="003B4C62">
        <w:rPr>
          <w:rFonts w:cs="Arial"/>
        </w:rPr>
        <w:t>calcium lignosul</w:t>
      </w:r>
      <w:r>
        <w:rPr>
          <w:rFonts w:cs="Arial"/>
        </w:rPr>
        <w:t>ph</w:t>
      </w:r>
      <w:r w:rsidRPr="003B4C62">
        <w:rPr>
          <w:rFonts w:cs="Arial"/>
        </w:rPr>
        <w:t xml:space="preserve">onate (40-65) </w:t>
      </w:r>
      <w:r w:rsidR="0068631F">
        <w:t>as proposed by the Applicant was</w:t>
      </w:r>
      <w:r>
        <w:t xml:space="preserve"> as a processing aid and not as a food additive. </w:t>
      </w:r>
    </w:p>
    <w:p w:rsidR="00D859F2" w:rsidRDefault="00D859F2" w:rsidP="00696C35"/>
    <w:p w:rsidR="00D859F2" w:rsidRDefault="00D859F2" w:rsidP="00696C35">
      <w:r>
        <w:t>FSANZ has taken submitters’ comments into account in finalising this Approval Report.</w:t>
      </w:r>
    </w:p>
    <w:p w:rsidR="00D859F2" w:rsidRDefault="00D859F2" w:rsidP="00696C35"/>
    <w:p w:rsidR="00D859F2" w:rsidRDefault="00D859F2" w:rsidP="00696C35">
      <w:r>
        <w:t>FSANZ’s responses to issues raised in submissions are provided in the following section.</w:t>
      </w:r>
    </w:p>
    <w:p w:rsidR="00D859F2" w:rsidRDefault="00D859F2" w:rsidP="00696C35"/>
    <w:p w:rsidR="00D859F2" w:rsidRDefault="00D859F2" w:rsidP="00D859F2">
      <w:pPr>
        <w:pStyle w:val="Heading3"/>
      </w:pPr>
      <w:bookmarkStart w:id="104" w:name="_Toc288490777"/>
      <w:r>
        <w:t>11.2</w:t>
      </w:r>
      <w:r>
        <w:tab/>
        <w:t>Issues raised in Submissions</w:t>
      </w:r>
      <w:bookmarkEnd w:id="104"/>
    </w:p>
    <w:p w:rsidR="00AA65AD" w:rsidRDefault="00AA65AD" w:rsidP="00696C35"/>
    <w:p w:rsidR="00D859F2" w:rsidRDefault="00D859F2" w:rsidP="00D859F2">
      <w:pPr>
        <w:pStyle w:val="Heading4"/>
      </w:pPr>
      <w:r>
        <w:t>11.2.1</w:t>
      </w:r>
      <w:r>
        <w:tab/>
      </w:r>
      <w:r w:rsidR="002C36EF">
        <w:t>Technological function</w:t>
      </w:r>
    </w:p>
    <w:p w:rsidR="00D859F2" w:rsidRDefault="00D859F2" w:rsidP="00D859F2"/>
    <w:p w:rsidR="00D859F2" w:rsidRDefault="002C36EF" w:rsidP="00D859F2">
      <w:r>
        <w:t xml:space="preserve">One submitter disagreed with FSANZ’s conclusion that the technological function of </w:t>
      </w:r>
      <w:r w:rsidRPr="003B4C62">
        <w:rPr>
          <w:rFonts w:cs="Arial"/>
        </w:rPr>
        <w:t>calcium lignosul</w:t>
      </w:r>
      <w:r>
        <w:rPr>
          <w:rFonts w:cs="Arial"/>
        </w:rPr>
        <w:t>ph</w:t>
      </w:r>
      <w:r w:rsidRPr="003B4C62">
        <w:rPr>
          <w:rFonts w:cs="Arial"/>
        </w:rPr>
        <w:t xml:space="preserve">onate (40-65) </w:t>
      </w:r>
      <w:r>
        <w:t xml:space="preserve">as proposed to be used to incorporate </w:t>
      </w:r>
      <w:r w:rsidR="005D365E">
        <w:t>fat-soluble</w:t>
      </w:r>
      <w:r>
        <w:t xml:space="preserve"> vitamins and carotenoids in water-based foods is as a food additive. The submitter believed it is more appropriate to be considered as a processing aid </w:t>
      </w:r>
      <w:r w:rsidR="00400ECA">
        <w:t xml:space="preserve">and thus </w:t>
      </w:r>
      <w:r w:rsidR="00CB6DBD">
        <w:t>regulated</w:t>
      </w:r>
      <w:r w:rsidR="00400ECA">
        <w:t xml:space="preserve"> in Standard 1.3.3</w:t>
      </w:r>
      <w:r>
        <w:t>.</w:t>
      </w:r>
    </w:p>
    <w:p w:rsidR="002C36EF" w:rsidRDefault="002C36EF" w:rsidP="00D859F2"/>
    <w:p w:rsidR="00D859F2" w:rsidRDefault="00733673" w:rsidP="00D859F2">
      <w:r>
        <w:t xml:space="preserve">Schedule 5 of Standard 1.3.1 defines the function of an emulsifier food additive that ‘facilitates the formation or maintenance of an emulsion between two or more immiscible phases’. The submitter </w:t>
      </w:r>
      <w:proofErr w:type="gramStart"/>
      <w:r>
        <w:t>disagrees</w:t>
      </w:r>
      <w:proofErr w:type="gramEnd"/>
      <w:r>
        <w:t xml:space="preserve"> that using </w:t>
      </w:r>
      <w:r w:rsidRPr="003B4C62">
        <w:rPr>
          <w:rFonts w:cs="Arial"/>
        </w:rPr>
        <w:t>calcium lignosul</w:t>
      </w:r>
      <w:r>
        <w:rPr>
          <w:rFonts w:cs="Arial"/>
        </w:rPr>
        <w:t>ph</w:t>
      </w:r>
      <w:r w:rsidRPr="003B4C62">
        <w:rPr>
          <w:rFonts w:cs="Arial"/>
        </w:rPr>
        <w:t xml:space="preserve">onate (40-65) </w:t>
      </w:r>
      <w:r>
        <w:t xml:space="preserve">for the stated purpose of the Application would meet this definition. </w:t>
      </w:r>
      <w:r w:rsidR="00FC0BB5">
        <w:t xml:space="preserve"> </w:t>
      </w:r>
    </w:p>
    <w:p w:rsidR="00D859F2" w:rsidRDefault="00D859F2" w:rsidP="00D859F2"/>
    <w:p w:rsidR="00D859F2" w:rsidRPr="00D859F2" w:rsidRDefault="00D859F2" w:rsidP="00D859F2">
      <w:pPr>
        <w:pStyle w:val="Heading5"/>
      </w:pPr>
      <w:r>
        <w:t>11.2.1.1</w:t>
      </w:r>
      <w:r>
        <w:tab/>
        <w:t>FSANZ Response</w:t>
      </w:r>
    </w:p>
    <w:p w:rsidR="00D859F2" w:rsidRDefault="00D859F2" w:rsidP="00696C35"/>
    <w:p w:rsidR="00D859F2" w:rsidRDefault="002727DD" w:rsidP="00696C35">
      <w:r>
        <w:t xml:space="preserve">FSANZ notes the different view of </w:t>
      </w:r>
      <w:r w:rsidR="004D68D4">
        <w:t xml:space="preserve">a submitter regarding </w:t>
      </w:r>
      <w:r>
        <w:t xml:space="preserve">the technological function of </w:t>
      </w:r>
      <w:r w:rsidRPr="003B4C62">
        <w:rPr>
          <w:rFonts w:cs="Arial"/>
        </w:rPr>
        <w:t>calcium lignosul</w:t>
      </w:r>
      <w:r>
        <w:rPr>
          <w:rFonts w:cs="Arial"/>
        </w:rPr>
        <w:t>ph</w:t>
      </w:r>
      <w:r w:rsidRPr="003B4C62">
        <w:rPr>
          <w:rFonts w:cs="Arial"/>
        </w:rPr>
        <w:t xml:space="preserve">onate (40-65) </w:t>
      </w:r>
      <w:r w:rsidR="004D68D4">
        <w:rPr>
          <w:rFonts w:cs="Arial"/>
        </w:rPr>
        <w:t xml:space="preserve">for the purpose </w:t>
      </w:r>
      <w:r w:rsidR="004D68D4">
        <w:t xml:space="preserve">as proposed by the Applicant. </w:t>
      </w:r>
    </w:p>
    <w:p w:rsidR="00CC1242" w:rsidRDefault="00CC1242" w:rsidP="00696C35"/>
    <w:p w:rsidR="00CC1242" w:rsidRDefault="00CC1242" w:rsidP="00696C35">
      <w:r>
        <w:t>FSANZ</w:t>
      </w:r>
      <w:r w:rsidR="0098345D">
        <w:t xml:space="preserve"> </w:t>
      </w:r>
      <w:r w:rsidR="000220BA">
        <w:t>has detailed how</w:t>
      </w:r>
      <w:r w:rsidR="0098345D">
        <w:t xml:space="preserve"> </w:t>
      </w:r>
      <w:r w:rsidR="0098345D" w:rsidRPr="003B4C62">
        <w:rPr>
          <w:rFonts w:cs="Arial"/>
        </w:rPr>
        <w:t>calcium lignosul</w:t>
      </w:r>
      <w:r w:rsidR="0098345D">
        <w:rPr>
          <w:rFonts w:cs="Arial"/>
        </w:rPr>
        <w:t>ph</w:t>
      </w:r>
      <w:r w:rsidR="0098345D" w:rsidRPr="003B4C62">
        <w:rPr>
          <w:rFonts w:cs="Arial"/>
        </w:rPr>
        <w:t xml:space="preserve">onate (40-65) </w:t>
      </w:r>
      <w:r w:rsidR="0098345D">
        <w:t xml:space="preserve">functions for the proposed purpose in Section 4.1 of </w:t>
      </w:r>
      <w:r w:rsidR="00D93C77">
        <w:t xml:space="preserve">the </w:t>
      </w:r>
      <w:r w:rsidR="0098345D">
        <w:t xml:space="preserve">Risk Assessment Report (SD1). Understanding the technological function was important for FSANZ to determine whether </w:t>
      </w:r>
      <w:r w:rsidR="0098345D" w:rsidRPr="003B4C62">
        <w:rPr>
          <w:rFonts w:cs="Arial"/>
        </w:rPr>
        <w:t>calcium lignosul</w:t>
      </w:r>
      <w:r w:rsidR="0098345D">
        <w:rPr>
          <w:rFonts w:cs="Arial"/>
        </w:rPr>
        <w:t>ph</w:t>
      </w:r>
      <w:r w:rsidR="0098345D" w:rsidRPr="003B4C62">
        <w:rPr>
          <w:rFonts w:cs="Arial"/>
        </w:rPr>
        <w:t xml:space="preserve">onate (40-65) </w:t>
      </w:r>
      <w:r w:rsidR="0098345D">
        <w:t xml:space="preserve">should be regulated as a food additive or a processing aid, if it was approved for the purpose requested. This consideration </w:t>
      </w:r>
      <w:r w:rsidR="0029227B">
        <w:t xml:space="preserve">is </w:t>
      </w:r>
      <w:r w:rsidR="0098345D">
        <w:t>explained in Section 4.2 of SD1.</w:t>
      </w:r>
    </w:p>
    <w:p w:rsidR="0098345D" w:rsidRDefault="0098345D" w:rsidP="00696C35"/>
    <w:p w:rsidR="007B2AC5" w:rsidRDefault="007B2AC5" w:rsidP="005E7C50">
      <w:pPr>
        <w:keepNext/>
        <w:keepLines/>
        <w:widowControl/>
        <w:rPr>
          <w:rFonts w:cs="Arial"/>
        </w:rPr>
      </w:pPr>
      <w:r>
        <w:rPr>
          <w:rFonts w:cs="Arial"/>
        </w:rPr>
        <w:t>C</w:t>
      </w:r>
      <w:r w:rsidRPr="0053373C">
        <w:rPr>
          <w:rFonts w:cs="Arial"/>
        </w:rPr>
        <w:t xml:space="preserve">alcium lignosulphonate (40-65) </w:t>
      </w:r>
      <w:r>
        <w:rPr>
          <w:rFonts w:cs="Arial"/>
        </w:rPr>
        <w:t>has a function of an emulsifier since it ensures the incorporated oil droplets containing the added nutrients are emulsified in the final water-based foods. That is</w:t>
      </w:r>
      <w:r w:rsidR="0051610E">
        <w:rPr>
          <w:rFonts w:cs="Arial"/>
        </w:rPr>
        <w:t>,</w:t>
      </w:r>
      <w:r>
        <w:rPr>
          <w:rFonts w:cs="Arial"/>
        </w:rPr>
        <w:t xml:space="preserve"> it ensures an emulsion between water insoluble nutrients and the water</w:t>
      </w:r>
      <w:r w:rsidR="0051610E">
        <w:rPr>
          <w:rFonts w:cs="Arial"/>
        </w:rPr>
        <w:t>-</w:t>
      </w:r>
      <w:r>
        <w:rPr>
          <w:rFonts w:cs="Arial"/>
        </w:rPr>
        <w:t>based food</w:t>
      </w:r>
      <w:r w:rsidR="00953C09">
        <w:rPr>
          <w:rFonts w:cs="Arial"/>
        </w:rPr>
        <w:t xml:space="preserve"> is formed and maintained so it directly meets the technological function of an emulsifier in Schedule 5 of Standard 1.3.1. </w:t>
      </w:r>
      <w:r>
        <w:rPr>
          <w:rFonts w:cs="Arial"/>
        </w:rPr>
        <w:t>This technological function continues in the final food, so the substance acts as a food additive; not just during the production of the food, which is the function of a processing aid.</w:t>
      </w:r>
    </w:p>
    <w:p w:rsidR="007B2AC5" w:rsidRDefault="007B2AC5" w:rsidP="007B2AC5">
      <w:pPr>
        <w:rPr>
          <w:rFonts w:cs="Arial"/>
        </w:rPr>
      </w:pPr>
    </w:p>
    <w:p w:rsidR="00EF34F2" w:rsidRDefault="00EF34F2" w:rsidP="00696C35">
      <w:r>
        <w:t xml:space="preserve">Both the Applicant’s explanation and various sections in the relevant literature use the term </w:t>
      </w:r>
      <w:r w:rsidR="007754D7">
        <w:t>‘</w:t>
      </w:r>
      <w:r>
        <w:t>emulsifier</w:t>
      </w:r>
      <w:r w:rsidR="007754D7">
        <w:t>’</w:t>
      </w:r>
      <w:r>
        <w:t xml:space="preserve"> to explain the function of </w:t>
      </w:r>
      <w:r w:rsidRPr="003B4C62">
        <w:rPr>
          <w:rFonts w:cs="Arial"/>
        </w:rPr>
        <w:t>calcium lignosul</w:t>
      </w:r>
      <w:r>
        <w:rPr>
          <w:rFonts w:cs="Arial"/>
        </w:rPr>
        <w:t>ph</w:t>
      </w:r>
      <w:r w:rsidRPr="003B4C62">
        <w:rPr>
          <w:rFonts w:cs="Arial"/>
        </w:rPr>
        <w:t xml:space="preserve">onate (40-65) </w:t>
      </w:r>
      <w:r>
        <w:t>and other comparable substances for the proposed purpose.</w:t>
      </w:r>
    </w:p>
    <w:p w:rsidR="00D859F2" w:rsidRDefault="00D859F2" w:rsidP="00696C35"/>
    <w:p w:rsidR="009142DC" w:rsidRDefault="009142DC" w:rsidP="00832B65">
      <w:pPr>
        <w:keepNext/>
        <w:keepLines/>
        <w:widowControl/>
        <w:rPr>
          <w:rFonts w:cs="Arial"/>
        </w:rPr>
      </w:pPr>
      <w:r>
        <w:t xml:space="preserve">The Applicant’s explanation of how </w:t>
      </w:r>
      <w:r w:rsidRPr="003B4C62">
        <w:rPr>
          <w:rFonts w:cs="Arial"/>
        </w:rPr>
        <w:t>calcium lignosul</w:t>
      </w:r>
      <w:r>
        <w:rPr>
          <w:rFonts w:cs="Arial"/>
        </w:rPr>
        <w:t>ph</w:t>
      </w:r>
      <w:r w:rsidRPr="003B4C62">
        <w:rPr>
          <w:rFonts w:cs="Arial"/>
        </w:rPr>
        <w:t xml:space="preserve">onate (40-65) </w:t>
      </w:r>
      <w:r>
        <w:t xml:space="preserve">is used for the purpose explains that the usual process involves a fat-soluble substance (e.g. corn oil), water soluble substance and emulsifiers. It lists a range of suitable emulsifiers, such as smaller molecules being Tween (commercial type of detergent emulsifier), lipids (diacylglycerols), proteins (e.g. gelatine, casein) and polysaccharides such as gum </w:t>
      </w:r>
      <w:r w:rsidR="00AD3FBB">
        <w:t>arabic</w:t>
      </w:r>
      <w:r>
        <w:t xml:space="preserve">, agar and </w:t>
      </w:r>
      <w:r w:rsidRPr="00953C09">
        <w:rPr>
          <w:rFonts w:cs="Arial"/>
          <w:u w:val="single"/>
        </w:rPr>
        <w:t>calcium lignosulphonate (40-65)</w:t>
      </w:r>
      <w:r>
        <w:rPr>
          <w:rFonts w:cs="Arial"/>
        </w:rPr>
        <w:t>.</w:t>
      </w:r>
    </w:p>
    <w:p w:rsidR="0053373C" w:rsidRDefault="0053373C" w:rsidP="00696C35">
      <w:pPr>
        <w:rPr>
          <w:rFonts w:cs="Arial"/>
        </w:rPr>
      </w:pPr>
    </w:p>
    <w:p w:rsidR="00EB5F9A" w:rsidRDefault="009142DC" w:rsidP="00696C35">
      <w:pPr>
        <w:rPr>
          <w:rFonts w:cs="Arial"/>
        </w:rPr>
      </w:pPr>
      <w:r>
        <w:rPr>
          <w:rFonts w:cs="Arial"/>
        </w:rPr>
        <w:t xml:space="preserve">The Applicant also explains that </w:t>
      </w:r>
      <w:r w:rsidRPr="009142DC">
        <w:rPr>
          <w:rFonts w:cs="Arial"/>
        </w:rPr>
        <w:t xml:space="preserve">calcium lignosulphonate (40-65) </w:t>
      </w:r>
      <w:r w:rsidR="00E12A78">
        <w:rPr>
          <w:rFonts w:cs="Arial"/>
        </w:rPr>
        <w:t xml:space="preserve">also acts as a stabiliser to prevent the small oil droplets from aggregating or coagulating to produce larger droplets or films of oil on the water surface. </w:t>
      </w:r>
      <w:r w:rsidR="00EB5F9A">
        <w:rPr>
          <w:rFonts w:cs="Arial"/>
        </w:rPr>
        <w:br w:type="page"/>
      </w:r>
    </w:p>
    <w:p w:rsidR="009142DC" w:rsidRDefault="00E12A78" w:rsidP="00696C35">
      <w:pPr>
        <w:rPr>
          <w:rFonts w:cs="Arial"/>
        </w:rPr>
      </w:pPr>
      <w:r>
        <w:rPr>
          <w:rFonts w:cs="Arial"/>
        </w:rPr>
        <w:lastRenderedPageBreak/>
        <w:t>It is important that the small oil droplets remain uniformly distributed throughout the water-based food.</w:t>
      </w:r>
    </w:p>
    <w:p w:rsidR="00E12A78" w:rsidRDefault="00E12A78" w:rsidP="00696C35">
      <w:pPr>
        <w:rPr>
          <w:rFonts w:cs="Arial"/>
        </w:rPr>
      </w:pPr>
    </w:p>
    <w:p w:rsidR="00E12A78" w:rsidRDefault="00E12A78" w:rsidP="00D93C77">
      <w:pPr>
        <w:keepNext/>
        <w:keepLines/>
        <w:widowControl/>
      </w:pPr>
      <w:r>
        <w:rPr>
          <w:rFonts w:cs="Arial"/>
        </w:rPr>
        <w:t xml:space="preserve">FSANZ </w:t>
      </w:r>
      <w:r w:rsidR="00475AC5">
        <w:rPr>
          <w:rFonts w:cs="Arial"/>
        </w:rPr>
        <w:t xml:space="preserve">concludes </w:t>
      </w:r>
      <w:r>
        <w:rPr>
          <w:rFonts w:cs="Arial"/>
        </w:rPr>
        <w:t xml:space="preserve">that both the food additive technological functions of emulsifier and stabiliser are appropriate as the functions performed by </w:t>
      </w:r>
      <w:r w:rsidRPr="00E12A78">
        <w:rPr>
          <w:rFonts w:cs="Arial"/>
        </w:rPr>
        <w:t xml:space="preserve">calcium lignosulphonate (40-65) </w:t>
      </w:r>
      <w:r>
        <w:rPr>
          <w:rFonts w:cs="Arial"/>
        </w:rPr>
        <w:t xml:space="preserve">for the purpose proposed by the Applicant. Which </w:t>
      </w:r>
      <w:r w:rsidR="00D93C77">
        <w:rPr>
          <w:rFonts w:cs="Arial"/>
        </w:rPr>
        <w:t>technological function</w:t>
      </w:r>
      <w:r>
        <w:rPr>
          <w:rFonts w:cs="Arial"/>
        </w:rPr>
        <w:t xml:space="preserve"> is the most appropriate for individual food manufacturers </w:t>
      </w:r>
      <w:r w:rsidR="00D93C77">
        <w:rPr>
          <w:rFonts w:cs="Arial"/>
        </w:rPr>
        <w:t>for their products</w:t>
      </w:r>
      <w:r w:rsidR="00475AC5">
        <w:rPr>
          <w:rFonts w:cs="Arial"/>
        </w:rPr>
        <w:t xml:space="preserve">, </w:t>
      </w:r>
      <w:r>
        <w:rPr>
          <w:rFonts w:cs="Arial"/>
        </w:rPr>
        <w:t xml:space="preserve">is a </w:t>
      </w:r>
      <w:r w:rsidR="00D93C77">
        <w:rPr>
          <w:rFonts w:cs="Arial"/>
        </w:rPr>
        <w:t>decision they need to make and be able to explain and justify</w:t>
      </w:r>
      <w:r>
        <w:rPr>
          <w:rFonts w:cs="Arial"/>
        </w:rPr>
        <w:t xml:space="preserve">. </w:t>
      </w:r>
    </w:p>
    <w:p w:rsidR="009142DC" w:rsidRDefault="009142DC" w:rsidP="00696C35"/>
    <w:p w:rsidR="00D859F2" w:rsidRDefault="00D859F2" w:rsidP="00D859F2">
      <w:pPr>
        <w:pStyle w:val="Heading4"/>
      </w:pPr>
      <w:r>
        <w:t>11.2.2</w:t>
      </w:r>
      <w:r>
        <w:tab/>
      </w:r>
      <w:r w:rsidR="00733673">
        <w:t>Labelling</w:t>
      </w:r>
    </w:p>
    <w:p w:rsidR="00D859F2" w:rsidRDefault="00D859F2" w:rsidP="00D859F2"/>
    <w:p w:rsidR="002369DA" w:rsidRDefault="002369DA" w:rsidP="002369DA">
      <w:r>
        <w:t>One submitter questioned the name of the substance to be used on labels should it be classified as a food additive by FSANZ. The submitter believes the numbers at the end of the name of the substance proposed by FSANZ (calcium lignosulphonate (40-65)) may be misread as a food additive INS number. The submitter proposes that it would be simpler to use the term ‘calcium lignosulphonate’ for labelling purposes.</w:t>
      </w:r>
    </w:p>
    <w:p w:rsidR="00D859F2" w:rsidRDefault="00D859F2" w:rsidP="00D859F2"/>
    <w:p w:rsidR="00D859F2" w:rsidRPr="00D859F2" w:rsidRDefault="00D859F2" w:rsidP="00D859F2">
      <w:pPr>
        <w:pStyle w:val="Heading5"/>
      </w:pPr>
      <w:r>
        <w:t>11.2.2.1</w:t>
      </w:r>
      <w:r>
        <w:tab/>
        <w:t>FSANZ Response</w:t>
      </w:r>
    </w:p>
    <w:p w:rsidR="00D859F2" w:rsidRDefault="00D859F2" w:rsidP="00D859F2"/>
    <w:p w:rsidR="003D397A" w:rsidRDefault="003D397A" w:rsidP="003D397A">
      <w:r>
        <w:t xml:space="preserve">The numbers (40-65) refer to the range of weight-average molecular weight (being between 40 to 65 kDa) of the specific calcium lignosulphonate considered in this Application. This molecular weight range is the key differentiator between this </w:t>
      </w:r>
      <w:r>
        <w:rPr>
          <w:color w:val="1F497D"/>
        </w:rPr>
        <w:t xml:space="preserve">substance </w:t>
      </w:r>
      <w:r>
        <w:t>and other food-grade calcium lignosulphonates. As explained in th</w:t>
      </w:r>
      <w:r w:rsidR="004E7E3E">
        <w:t>e Introduction of this</w:t>
      </w:r>
      <w:r>
        <w:t xml:space="preserve"> </w:t>
      </w:r>
      <w:r w:rsidR="004E7E3E">
        <w:t>R</w:t>
      </w:r>
      <w:r>
        <w:t xml:space="preserve">eport and in </w:t>
      </w:r>
      <w:r w:rsidR="004E7E3E">
        <w:t>S</w:t>
      </w:r>
      <w:r>
        <w:t xml:space="preserve">ection 2.2 (chemical identification) of </w:t>
      </w:r>
      <w:r w:rsidR="004E7E3E">
        <w:t xml:space="preserve">the </w:t>
      </w:r>
      <w:r>
        <w:t xml:space="preserve">Risk Assessment Report (SD1), the </w:t>
      </w:r>
      <w:r w:rsidR="00472992">
        <w:t>name ‘calcium</w:t>
      </w:r>
      <w:r>
        <w:t xml:space="preserve"> lignosulphonate (40-65)’ has been used by JECFA and Codex. JECFA </w:t>
      </w:r>
      <w:r w:rsidR="004D5C81">
        <w:t xml:space="preserve">established </w:t>
      </w:r>
      <w:r>
        <w:t>specifications for this specific product</w:t>
      </w:r>
      <w:r w:rsidR="00471EE7">
        <w:t>; namely,</w:t>
      </w:r>
      <w:r w:rsidR="00A81889">
        <w:t xml:space="preserve"> </w:t>
      </w:r>
      <w:r>
        <w:t>calcium lignosulphonate (40-65). The Codex Committee on Food Additives (CCFA) assigned the food additive INS number of 1522 to this specific food additive. Therefore</w:t>
      </w:r>
      <w:r w:rsidR="007754D7">
        <w:t>,</w:t>
      </w:r>
      <w:r>
        <w:t xml:space="preserve"> FSANZ has used the name calcium lignosulphonate (40-65) to maintain the differentiation between this substance and other food-grade calcium lignosulphonates and to be consistent with the approach taken internationally.</w:t>
      </w:r>
    </w:p>
    <w:p w:rsidR="003D397A" w:rsidRDefault="003D397A" w:rsidP="003D397A"/>
    <w:p w:rsidR="003D397A" w:rsidRDefault="003D397A" w:rsidP="003D397A">
      <w:r>
        <w:t>Food suppliers have the option of declaring this food additive on the label of the treated food as [class</w:t>
      </w:r>
      <w:proofErr w:type="gramStart"/>
      <w:r>
        <w:t>](</w:t>
      </w:r>
      <w:proofErr w:type="gramEnd"/>
      <w:r>
        <w:t>calcium lignosulphonate (40-65)</w:t>
      </w:r>
      <w:r w:rsidR="00916D7B">
        <w:t>)</w:t>
      </w:r>
      <w:r>
        <w:t xml:space="preserve"> or use the INS number to declare it as [class](1522). </w:t>
      </w:r>
    </w:p>
    <w:p w:rsidR="00D859F2" w:rsidRDefault="00D859F2" w:rsidP="00D859F2"/>
    <w:p w:rsidR="00D859F2" w:rsidRDefault="00D859F2" w:rsidP="00D859F2">
      <w:pPr>
        <w:pStyle w:val="Heading4"/>
      </w:pPr>
      <w:r>
        <w:t>11.2.3</w:t>
      </w:r>
      <w:r>
        <w:tab/>
      </w:r>
      <w:r w:rsidR="006D6E76">
        <w:t>Nutritional matters</w:t>
      </w:r>
    </w:p>
    <w:p w:rsidR="00D859F2" w:rsidRDefault="00D859F2" w:rsidP="00D859F2"/>
    <w:p w:rsidR="00C05328" w:rsidRPr="00085D42" w:rsidRDefault="00C05328" w:rsidP="00C05328">
      <w:pPr>
        <w:rPr>
          <w:rFonts w:cs="Arial"/>
        </w:rPr>
      </w:pPr>
      <w:r w:rsidRPr="00085D42">
        <w:rPr>
          <w:rFonts w:cs="Arial"/>
        </w:rPr>
        <w:t xml:space="preserve">One submitter </w:t>
      </w:r>
      <w:r>
        <w:rPr>
          <w:rFonts w:cs="Arial"/>
        </w:rPr>
        <w:t>noted</w:t>
      </w:r>
      <w:r w:rsidRPr="00085D42">
        <w:rPr>
          <w:rFonts w:cs="Arial"/>
        </w:rPr>
        <w:t xml:space="preserve"> FSANZ’s nutritional assessment conclusion (Section 6.4 of the Assessment Report, and Section 7 of SD1) that </w:t>
      </w:r>
      <w:r w:rsidR="00BD422C">
        <w:rPr>
          <w:rFonts w:cs="Arial"/>
        </w:rPr>
        <w:t xml:space="preserve">the </w:t>
      </w:r>
      <w:r w:rsidRPr="00085D42">
        <w:rPr>
          <w:rFonts w:cs="Arial"/>
        </w:rPr>
        <w:t xml:space="preserve">use of calcium lignosulphonate (40-65) for the stated purpose is likely to result in the same gastrointestinal absorption of nutrients as for other comparable </w:t>
      </w:r>
      <w:r w:rsidR="005E7C50">
        <w:rPr>
          <w:rFonts w:cs="Arial"/>
        </w:rPr>
        <w:t>food additives</w:t>
      </w:r>
      <w:r w:rsidRPr="00085D42">
        <w:rPr>
          <w:rFonts w:cs="Arial"/>
        </w:rPr>
        <w:t xml:space="preserve">. </w:t>
      </w:r>
      <w:r>
        <w:rPr>
          <w:rFonts w:cs="Arial"/>
        </w:rPr>
        <w:t>However</w:t>
      </w:r>
      <w:r w:rsidR="007754D7">
        <w:rPr>
          <w:rFonts w:cs="Arial"/>
        </w:rPr>
        <w:t>,</w:t>
      </w:r>
      <w:r>
        <w:rPr>
          <w:rFonts w:cs="Arial"/>
        </w:rPr>
        <w:t xml:space="preserve"> the submitter commented that</w:t>
      </w:r>
      <w:r w:rsidRPr="00085D42">
        <w:rPr>
          <w:rFonts w:cs="Arial"/>
        </w:rPr>
        <w:t xml:space="preserve"> there could be a risk </w:t>
      </w:r>
      <w:r>
        <w:rPr>
          <w:rFonts w:cs="Arial"/>
        </w:rPr>
        <w:t xml:space="preserve">from increasing </w:t>
      </w:r>
      <w:r w:rsidRPr="00085D42">
        <w:rPr>
          <w:rFonts w:cs="Arial"/>
        </w:rPr>
        <w:t>fat</w:t>
      </w:r>
      <w:r>
        <w:rPr>
          <w:rFonts w:cs="Arial"/>
        </w:rPr>
        <w:t>-</w:t>
      </w:r>
      <w:r w:rsidRPr="00085D42">
        <w:rPr>
          <w:rFonts w:cs="Arial"/>
        </w:rPr>
        <w:t>soluble vitamins</w:t>
      </w:r>
      <w:r>
        <w:rPr>
          <w:rFonts w:cs="Arial"/>
        </w:rPr>
        <w:t xml:space="preserve"> (</w:t>
      </w:r>
      <w:r w:rsidRPr="00085D42">
        <w:rPr>
          <w:rFonts w:cs="Arial"/>
        </w:rPr>
        <w:t>in particular vitamin A</w:t>
      </w:r>
      <w:r>
        <w:rPr>
          <w:rFonts w:cs="Arial"/>
        </w:rPr>
        <w:t>/carotenoids)</w:t>
      </w:r>
      <w:r w:rsidRPr="00085D42">
        <w:rPr>
          <w:rFonts w:cs="Arial"/>
        </w:rPr>
        <w:t xml:space="preserve"> </w:t>
      </w:r>
      <w:r>
        <w:rPr>
          <w:rFonts w:cs="Arial"/>
        </w:rPr>
        <w:t>in the diet, which FSANZ has interpreted to mean that there would be increased gastrointestinal absorption of these vitamins. The submitter further commented that this</w:t>
      </w:r>
      <w:r w:rsidRPr="00085D42">
        <w:rPr>
          <w:rFonts w:cs="Arial"/>
        </w:rPr>
        <w:t xml:space="preserve"> </w:t>
      </w:r>
      <w:r>
        <w:rPr>
          <w:rFonts w:cs="Arial"/>
        </w:rPr>
        <w:t>situation could potentially increase</w:t>
      </w:r>
      <w:r w:rsidRPr="00085D42">
        <w:rPr>
          <w:rFonts w:cs="Arial"/>
        </w:rPr>
        <w:t xml:space="preserve"> the risk of vitamin A toxicity </w:t>
      </w:r>
      <w:r>
        <w:rPr>
          <w:rFonts w:cs="Arial"/>
        </w:rPr>
        <w:t>for</w:t>
      </w:r>
      <w:r w:rsidRPr="00085D42">
        <w:rPr>
          <w:rFonts w:cs="Arial"/>
        </w:rPr>
        <w:t xml:space="preserve"> vulnerable consumers.</w:t>
      </w:r>
    </w:p>
    <w:p w:rsidR="00D859F2" w:rsidRDefault="00D859F2" w:rsidP="00D859F2"/>
    <w:p w:rsidR="00D859F2" w:rsidRPr="00D859F2" w:rsidRDefault="00D859F2" w:rsidP="00D859F2">
      <w:pPr>
        <w:pStyle w:val="Heading5"/>
      </w:pPr>
      <w:r>
        <w:t>11.2.3.1</w:t>
      </w:r>
      <w:r>
        <w:tab/>
        <w:t>FSANZ Response</w:t>
      </w:r>
    </w:p>
    <w:p w:rsidR="00D859F2" w:rsidRDefault="00D859F2" w:rsidP="00D859F2"/>
    <w:p w:rsidR="00EB5F9A" w:rsidRDefault="00C05328" w:rsidP="00C05328">
      <w:pPr>
        <w:rPr>
          <w:rFonts w:cs="Arial"/>
        </w:rPr>
      </w:pPr>
      <w:r w:rsidRPr="00085D42">
        <w:rPr>
          <w:rFonts w:cs="Arial"/>
        </w:rPr>
        <w:t xml:space="preserve">FSANZ </w:t>
      </w:r>
      <w:r w:rsidRPr="0068617D">
        <w:rPr>
          <w:rFonts w:cs="Arial"/>
        </w:rPr>
        <w:t xml:space="preserve">previously reported that data from a suitable animal model showed that the use of calcium lignosulphonate (40-65) </w:t>
      </w:r>
      <w:r w:rsidR="005E7C50">
        <w:rPr>
          <w:rFonts w:cs="Arial"/>
        </w:rPr>
        <w:t>to incorporate</w:t>
      </w:r>
      <w:r w:rsidRPr="0068617D">
        <w:rPr>
          <w:rFonts w:cs="Arial"/>
        </w:rPr>
        <w:t xml:space="preserve"> fat-soluble nutrients was likely to result in the same gastrointestinal absorption of these nutrients as occurs with the use </w:t>
      </w:r>
      <w:r>
        <w:rPr>
          <w:rFonts w:cs="Arial"/>
        </w:rPr>
        <w:t>of gelatine (</w:t>
      </w:r>
      <w:r w:rsidRPr="0068617D">
        <w:rPr>
          <w:rFonts w:cs="Arial"/>
        </w:rPr>
        <w:t xml:space="preserve">commonly used </w:t>
      </w:r>
      <w:r w:rsidR="005E7C50">
        <w:rPr>
          <w:rFonts w:cs="Arial"/>
        </w:rPr>
        <w:t>to incorporate</w:t>
      </w:r>
      <w:r w:rsidRPr="0068617D">
        <w:rPr>
          <w:rFonts w:cs="Arial"/>
        </w:rPr>
        <w:t xml:space="preserve"> colours and </w:t>
      </w:r>
      <w:r>
        <w:rPr>
          <w:rFonts w:cs="Arial"/>
        </w:rPr>
        <w:t>vitamins)</w:t>
      </w:r>
      <w:r w:rsidRPr="0068617D">
        <w:rPr>
          <w:rFonts w:cs="Arial"/>
        </w:rPr>
        <w:t>.</w:t>
      </w:r>
      <w:r>
        <w:rPr>
          <w:rFonts w:cs="Arial"/>
        </w:rPr>
        <w:t xml:space="preserve"> </w:t>
      </w:r>
      <w:r w:rsidRPr="0068617D">
        <w:rPr>
          <w:rFonts w:cs="Arial"/>
        </w:rPr>
        <w:t xml:space="preserve">Because of the similarities in gastrointestinal absorption, FSANZ previously concluded that the use of calcium lignosulphonate (40-65) </w:t>
      </w:r>
      <w:r w:rsidR="005E7C50">
        <w:rPr>
          <w:rFonts w:cs="Arial"/>
        </w:rPr>
        <w:t>to incorporate</w:t>
      </w:r>
      <w:r w:rsidRPr="0068617D">
        <w:rPr>
          <w:rFonts w:cs="Arial"/>
        </w:rPr>
        <w:t xml:space="preserve"> fat-soluble nutrients would be unlikely to result in any adverse nutritional outcomes. </w:t>
      </w:r>
      <w:r w:rsidR="00EB5F9A">
        <w:rPr>
          <w:rFonts w:cs="Arial"/>
        </w:rPr>
        <w:br w:type="page"/>
      </w:r>
    </w:p>
    <w:p w:rsidR="00C05328" w:rsidRDefault="00C05328" w:rsidP="00EB5F9A">
      <w:pPr>
        <w:ind w:right="-330"/>
      </w:pPr>
      <w:r>
        <w:lastRenderedPageBreak/>
        <w:t xml:space="preserve">FSANZ reaffirms this conclusion. We expect that the consumption of fat-soluble vitamins from foods with added calcium lignosulphonate (40-65) will have the same effect on circulating vitamin biomarkers and storage levels as the consumption of these vitamins from other sources, because of the similarities in gastrointestinal absorption that were previously identified.  </w:t>
      </w:r>
    </w:p>
    <w:p w:rsidR="00C05328" w:rsidRDefault="00C05328" w:rsidP="00C05328">
      <w:pPr>
        <w:rPr>
          <w:rFonts w:cs="Arial"/>
        </w:rPr>
      </w:pPr>
    </w:p>
    <w:p w:rsidR="00D859F2" w:rsidRDefault="008A3809" w:rsidP="008A3809">
      <w:pPr>
        <w:pStyle w:val="Heading4"/>
      </w:pPr>
      <w:r>
        <w:t>11.2.4</w:t>
      </w:r>
      <w:r>
        <w:tab/>
        <w:t>Analytical method</w:t>
      </w:r>
    </w:p>
    <w:p w:rsidR="00D859F2" w:rsidRDefault="00D859F2" w:rsidP="00696C35"/>
    <w:p w:rsidR="00D859F2" w:rsidRPr="00C447AE" w:rsidRDefault="00C447AE" w:rsidP="00696C35">
      <w:r>
        <w:t xml:space="preserve">One submitter expressed its concern with FSANZ’s conclusion (in Section 7.3 of the Assessment Report) that an analytical method to determine the presence of the substance in the final food is neither appropriate nor necessary. The submitter commented that it is never inappropriate to have an analytical method for a food </w:t>
      </w:r>
      <w:r w:rsidR="002F333A">
        <w:t xml:space="preserve">additive </w:t>
      </w:r>
      <w:r w:rsidR="00BF0422">
        <w:t>available.</w:t>
      </w:r>
    </w:p>
    <w:p w:rsidR="008A3809" w:rsidRDefault="008A3809" w:rsidP="00696C35"/>
    <w:p w:rsidR="008A3809" w:rsidRDefault="008A3809" w:rsidP="008A3809">
      <w:pPr>
        <w:pStyle w:val="Heading5"/>
      </w:pPr>
      <w:r>
        <w:t>11.2.4.1</w:t>
      </w:r>
      <w:r>
        <w:tab/>
        <w:t>FSANZ Response</w:t>
      </w:r>
    </w:p>
    <w:p w:rsidR="008A3809" w:rsidRDefault="008A3809" w:rsidP="00696C35"/>
    <w:p w:rsidR="00BF0422" w:rsidRPr="00DA45AD" w:rsidRDefault="00BF0422" w:rsidP="00696C35">
      <w:r w:rsidRPr="00DA45AD">
        <w:t>FSANZ addressed this issue in the Assessment Report and also in this Approval Report in Section 7.3.</w:t>
      </w:r>
    </w:p>
    <w:p w:rsidR="00BF0422" w:rsidRPr="00DA45AD" w:rsidRDefault="00BF0422" w:rsidP="00696C35"/>
    <w:p w:rsidR="008274CF" w:rsidRPr="00D6577B" w:rsidRDefault="008274CF" w:rsidP="008274CF">
      <w:pPr>
        <w:rPr>
          <w:rFonts w:cs="Arial"/>
          <w:szCs w:val="22"/>
          <w:lang w:val="en-AU"/>
        </w:rPr>
      </w:pPr>
      <w:r w:rsidRPr="00D6577B">
        <w:rPr>
          <w:rFonts w:cs="Arial"/>
          <w:szCs w:val="22"/>
          <w:lang w:val="en-AU"/>
        </w:rPr>
        <w:t xml:space="preserve">FSANZ </w:t>
      </w:r>
      <w:r>
        <w:rPr>
          <w:rFonts w:cs="Arial"/>
          <w:szCs w:val="22"/>
          <w:lang w:val="en-AU"/>
        </w:rPr>
        <w:t xml:space="preserve">has agreed at a recent meeting of </w:t>
      </w:r>
      <w:r w:rsidR="0094602A">
        <w:rPr>
          <w:rFonts w:cs="Arial"/>
          <w:szCs w:val="22"/>
        </w:rPr>
        <w:t>the Implementation Sub-Committee</w:t>
      </w:r>
      <w:r w:rsidR="0094602A">
        <w:rPr>
          <w:rStyle w:val="FootnoteReference"/>
          <w:rFonts w:cs="Arial"/>
          <w:szCs w:val="22"/>
        </w:rPr>
        <w:footnoteReference w:id="3"/>
      </w:r>
      <w:r w:rsidR="0094602A">
        <w:rPr>
          <w:rFonts w:cs="Arial"/>
          <w:szCs w:val="22"/>
        </w:rPr>
        <w:t xml:space="preserve"> (ISC)</w:t>
      </w:r>
      <w:r>
        <w:rPr>
          <w:rFonts w:cs="Arial"/>
          <w:szCs w:val="22"/>
          <w:lang w:val="en-AU"/>
        </w:rPr>
        <w:t xml:space="preserve">, to be </w:t>
      </w:r>
      <w:r w:rsidRPr="00D6577B">
        <w:rPr>
          <w:rFonts w:cs="Arial"/>
          <w:szCs w:val="22"/>
          <w:lang w:val="en-AU"/>
        </w:rPr>
        <w:t>more stringent on th</w:t>
      </w:r>
      <w:r w:rsidR="003811D4">
        <w:rPr>
          <w:rFonts w:cs="Arial"/>
          <w:szCs w:val="22"/>
          <w:lang w:val="en-AU"/>
        </w:rPr>
        <w:t>e</w:t>
      </w:r>
      <w:r w:rsidRPr="00D6577B">
        <w:rPr>
          <w:rFonts w:cs="Arial"/>
          <w:szCs w:val="22"/>
          <w:lang w:val="en-AU"/>
        </w:rPr>
        <w:t xml:space="preserve"> requirement</w:t>
      </w:r>
      <w:r w:rsidR="003811D4">
        <w:rPr>
          <w:rFonts w:cs="Arial"/>
          <w:szCs w:val="22"/>
          <w:lang w:val="en-AU"/>
        </w:rPr>
        <w:t xml:space="preserve"> for an appropriate method of analysis for new substances</w:t>
      </w:r>
      <w:r w:rsidRPr="00D6577B">
        <w:rPr>
          <w:rFonts w:cs="Arial"/>
          <w:szCs w:val="22"/>
          <w:lang w:val="en-AU"/>
        </w:rPr>
        <w:t xml:space="preserve">, ensuring that the </w:t>
      </w:r>
      <w:r w:rsidR="00D86E11" w:rsidRPr="00D6577B">
        <w:rPr>
          <w:rFonts w:cs="Arial"/>
          <w:szCs w:val="22"/>
          <w:lang w:val="en-AU"/>
        </w:rPr>
        <w:t>method of analysis section is</w:t>
      </w:r>
      <w:r w:rsidRPr="00D6577B">
        <w:rPr>
          <w:rFonts w:cs="Arial"/>
          <w:szCs w:val="22"/>
          <w:lang w:val="en-AU"/>
        </w:rPr>
        <w:t xml:space="preserve"> adequately addressed in </w:t>
      </w:r>
      <w:r>
        <w:rPr>
          <w:rFonts w:cs="Arial"/>
          <w:szCs w:val="22"/>
          <w:lang w:val="en-AU"/>
        </w:rPr>
        <w:t xml:space="preserve">all new applications. </w:t>
      </w:r>
    </w:p>
    <w:p w:rsidR="008274CF" w:rsidRDefault="008274CF" w:rsidP="008274CF">
      <w:pPr>
        <w:rPr>
          <w:rFonts w:cs="Arial"/>
          <w:szCs w:val="22"/>
        </w:rPr>
      </w:pPr>
    </w:p>
    <w:p w:rsidR="008274CF" w:rsidRPr="008274CF" w:rsidRDefault="0007447B" w:rsidP="008274CF">
      <w:pPr>
        <w:rPr>
          <w:rFonts w:cs="Arial"/>
          <w:szCs w:val="22"/>
          <w:lang w:val="en-AU"/>
        </w:rPr>
      </w:pPr>
      <w:r>
        <w:rPr>
          <w:rFonts w:cs="Arial"/>
          <w:szCs w:val="22"/>
          <w:lang w:val="en-AU"/>
        </w:rPr>
        <w:t>Where</w:t>
      </w:r>
      <w:r w:rsidRPr="008274CF">
        <w:rPr>
          <w:rFonts w:cs="Arial"/>
          <w:szCs w:val="22"/>
          <w:lang w:val="en-AU"/>
        </w:rPr>
        <w:t xml:space="preserve"> </w:t>
      </w:r>
      <w:r w:rsidR="008274CF" w:rsidRPr="008274CF">
        <w:rPr>
          <w:rFonts w:cs="Arial"/>
          <w:szCs w:val="22"/>
          <w:lang w:val="en-AU"/>
        </w:rPr>
        <w:t>applications do not adequately address this requirement, FSANZ will either request additional information from the applicant to ensure this is addressed within the administrative assessment period of 15 working days, or reject the application.  This decision will be made on a case-by-case basis and remains at the discretion of FSANZ.</w:t>
      </w:r>
    </w:p>
    <w:p w:rsidR="008274CF" w:rsidRDefault="008274CF" w:rsidP="008274CF">
      <w:pPr>
        <w:rPr>
          <w:rFonts w:cs="Arial"/>
          <w:szCs w:val="22"/>
        </w:rPr>
      </w:pPr>
    </w:p>
    <w:p w:rsidR="008274CF" w:rsidRPr="004001BB" w:rsidRDefault="008274CF" w:rsidP="0051610E">
      <w:pPr>
        <w:keepNext/>
        <w:keepLines/>
        <w:widowControl/>
        <w:rPr>
          <w:rFonts w:cs="Arial"/>
          <w:szCs w:val="22"/>
          <w:lang w:val="en-AU"/>
        </w:rPr>
      </w:pPr>
      <w:r>
        <w:rPr>
          <w:rFonts w:cs="Arial"/>
          <w:szCs w:val="22"/>
          <w:lang w:val="en-AU"/>
        </w:rPr>
        <w:t>However, i</w:t>
      </w:r>
      <w:r w:rsidRPr="004001BB">
        <w:rPr>
          <w:rFonts w:cs="Arial"/>
          <w:szCs w:val="22"/>
          <w:lang w:val="en-AU"/>
        </w:rPr>
        <w:t>t should be noted that the provision of an analytical method may not be required in all circumstances.</w:t>
      </w:r>
      <w:r w:rsidR="00702499">
        <w:rPr>
          <w:rFonts w:cs="Arial"/>
          <w:szCs w:val="22"/>
          <w:lang w:val="en-AU"/>
        </w:rPr>
        <w:t xml:space="preserve"> F</w:t>
      </w:r>
      <w:r w:rsidRPr="004001BB">
        <w:rPr>
          <w:rFonts w:cs="Arial"/>
          <w:szCs w:val="22"/>
          <w:lang w:val="en-AU"/>
        </w:rPr>
        <w:t xml:space="preserve">or </w:t>
      </w:r>
      <w:r w:rsidR="00702499">
        <w:rPr>
          <w:rFonts w:cs="Arial"/>
          <w:szCs w:val="22"/>
          <w:lang w:val="en-AU"/>
        </w:rPr>
        <w:t>example</w:t>
      </w:r>
      <w:r w:rsidR="007754D7">
        <w:rPr>
          <w:rFonts w:cs="Arial"/>
          <w:szCs w:val="22"/>
          <w:lang w:val="en-AU"/>
        </w:rPr>
        <w:t>,</w:t>
      </w:r>
      <w:r w:rsidR="00702499">
        <w:rPr>
          <w:rFonts w:cs="Arial"/>
          <w:szCs w:val="22"/>
          <w:lang w:val="en-AU"/>
        </w:rPr>
        <w:t xml:space="preserve"> </w:t>
      </w:r>
      <w:r w:rsidRPr="004001BB">
        <w:rPr>
          <w:rFonts w:cs="Arial"/>
          <w:szCs w:val="22"/>
          <w:lang w:val="en-AU"/>
        </w:rPr>
        <w:t>where processing aids and food additives are requested to be permitted according to good manufacturing practice (GMP)</w:t>
      </w:r>
      <w:r w:rsidR="00702499">
        <w:rPr>
          <w:rFonts w:cs="Arial"/>
          <w:szCs w:val="22"/>
          <w:lang w:val="en-AU"/>
        </w:rPr>
        <w:t xml:space="preserve"> and therefore there is no maximum limit to </w:t>
      </w:r>
      <w:r w:rsidR="00146E0E">
        <w:rPr>
          <w:rFonts w:cs="Arial"/>
          <w:szCs w:val="22"/>
          <w:lang w:val="en-AU"/>
        </w:rPr>
        <w:t>measure</w:t>
      </w:r>
      <w:r w:rsidR="00702499">
        <w:rPr>
          <w:rFonts w:cs="Arial"/>
          <w:szCs w:val="22"/>
          <w:lang w:val="en-AU"/>
        </w:rPr>
        <w:t xml:space="preserve"> compliance against</w:t>
      </w:r>
      <w:r w:rsidRPr="004001BB">
        <w:rPr>
          <w:rFonts w:cs="Arial"/>
          <w:szCs w:val="22"/>
          <w:lang w:val="en-AU"/>
        </w:rPr>
        <w:t xml:space="preserve">, the provision of an analytical method </w:t>
      </w:r>
      <w:r w:rsidR="00702499">
        <w:rPr>
          <w:rFonts w:cs="Arial"/>
          <w:szCs w:val="22"/>
          <w:lang w:val="en-AU"/>
        </w:rPr>
        <w:t>may</w:t>
      </w:r>
      <w:r w:rsidRPr="004001BB">
        <w:rPr>
          <w:rFonts w:cs="Arial"/>
          <w:szCs w:val="22"/>
          <w:lang w:val="en-AU"/>
        </w:rPr>
        <w:t xml:space="preserve"> not </w:t>
      </w:r>
      <w:r w:rsidR="00702499">
        <w:rPr>
          <w:rFonts w:cs="Arial"/>
          <w:szCs w:val="22"/>
          <w:lang w:val="en-AU"/>
        </w:rPr>
        <w:t xml:space="preserve">be deemed </w:t>
      </w:r>
      <w:r w:rsidRPr="004001BB">
        <w:rPr>
          <w:rFonts w:cs="Arial"/>
          <w:szCs w:val="22"/>
          <w:lang w:val="en-AU"/>
        </w:rPr>
        <w:t>necessary. In these cases, a short explanation or statement from the applicant regarding this is sufficient.</w:t>
      </w:r>
    </w:p>
    <w:p w:rsidR="008274CF" w:rsidRDefault="008274CF" w:rsidP="008274CF">
      <w:pPr>
        <w:rPr>
          <w:rFonts w:cs="Arial"/>
          <w:szCs w:val="22"/>
        </w:rPr>
      </w:pPr>
    </w:p>
    <w:p w:rsidR="008274CF" w:rsidRDefault="008274CF" w:rsidP="00EB5F9A">
      <w:pPr>
        <w:ind w:right="-330"/>
        <w:rPr>
          <w:rFonts w:cs="Arial"/>
          <w:szCs w:val="22"/>
        </w:rPr>
      </w:pPr>
      <w:r>
        <w:rPr>
          <w:rFonts w:cs="Arial"/>
          <w:szCs w:val="22"/>
        </w:rPr>
        <w:t xml:space="preserve">ISC is currently considering the establishment of an Expert Advisory Group (EAG) to provide expert advice on analytical methodology as required during the standards development process. It </w:t>
      </w:r>
      <w:r w:rsidRPr="004001BB">
        <w:rPr>
          <w:rFonts w:cs="Arial"/>
          <w:szCs w:val="22"/>
          <w:lang w:val="en-AU"/>
        </w:rPr>
        <w:t xml:space="preserve">is envisaged that </w:t>
      </w:r>
      <w:r>
        <w:rPr>
          <w:rFonts w:cs="Arial"/>
          <w:szCs w:val="22"/>
          <w:lang w:val="en-AU"/>
        </w:rPr>
        <w:t xml:space="preserve">the EAG </w:t>
      </w:r>
      <w:r w:rsidRPr="004001BB">
        <w:rPr>
          <w:rFonts w:cs="Arial"/>
          <w:szCs w:val="22"/>
          <w:lang w:val="en-AU"/>
        </w:rPr>
        <w:t>would work alongside the standards development process to provide any expert advice on analytical methodology as required. This advice could then be incorporated into the assessment reports so it is clear to jurisdictions what methods are fit-for-purpose and are available for enforcement purposes.</w:t>
      </w:r>
      <w:r>
        <w:rPr>
          <w:rFonts w:cs="Arial"/>
          <w:szCs w:val="22"/>
          <w:lang w:val="en-AU"/>
        </w:rPr>
        <w:t xml:space="preserve"> </w:t>
      </w:r>
      <w:r>
        <w:rPr>
          <w:rFonts w:cs="Arial"/>
          <w:szCs w:val="22"/>
        </w:rPr>
        <w:t>If needed, this may be an area where advice is sought from the EAG</w:t>
      </w:r>
      <w:r w:rsidR="0094602A">
        <w:rPr>
          <w:rFonts w:cs="Arial"/>
          <w:szCs w:val="22"/>
        </w:rPr>
        <w:t xml:space="preserve"> by FSANZ,</w:t>
      </w:r>
      <w:r>
        <w:rPr>
          <w:rFonts w:cs="Arial"/>
          <w:szCs w:val="22"/>
        </w:rPr>
        <w:t xml:space="preserve"> if and when the ISC EAG </w:t>
      </w:r>
      <w:r w:rsidR="0094602A">
        <w:rPr>
          <w:rFonts w:cs="Arial"/>
          <w:szCs w:val="22"/>
        </w:rPr>
        <w:t>i</w:t>
      </w:r>
      <w:r>
        <w:rPr>
          <w:rFonts w:cs="Arial"/>
          <w:szCs w:val="22"/>
        </w:rPr>
        <w:t>s established.</w:t>
      </w:r>
    </w:p>
    <w:p w:rsidR="0094602A" w:rsidRPr="00EC313A" w:rsidRDefault="0094602A" w:rsidP="008274CF">
      <w:pPr>
        <w:rPr>
          <w:rFonts w:cs="Arial"/>
          <w:szCs w:val="22"/>
        </w:rPr>
      </w:pPr>
    </w:p>
    <w:p w:rsidR="00BF0422" w:rsidRPr="00DA45AD" w:rsidRDefault="008274CF" w:rsidP="00696C35">
      <w:r>
        <w:t xml:space="preserve">In light of the above, </w:t>
      </w:r>
      <w:r w:rsidR="00BF0422" w:rsidRPr="00DA45AD">
        <w:t>FSANZ communicated with the Applicant with respect to the submitter</w:t>
      </w:r>
      <w:r w:rsidR="00D27D3A" w:rsidRPr="00DA45AD">
        <w:t>’</w:t>
      </w:r>
      <w:r w:rsidR="00BF0422" w:rsidRPr="00DA45AD">
        <w:t xml:space="preserve">s comment and concern that no analytical method is available to determine the presence of </w:t>
      </w:r>
      <w:r w:rsidR="00BF0422" w:rsidRPr="00DA45AD">
        <w:rPr>
          <w:rFonts w:cs="Arial"/>
        </w:rPr>
        <w:t xml:space="preserve">calcium lignosulphonate (40-65) </w:t>
      </w:r>
      <w:r w:rsidR="00BF0422" w:rsidRPr="00DA45AD">
        <w:t xml:space="preserve">in any treated food. </w:t>
      </w:r>
    </w:p>
    <w:p w:rsidR="00BF0422" w:rsidRPr="00DA45AD" w:rsidRDefault="00BF0422" w:rsidP="00696C35"/>
    <w:p w:rsidR="00BD422C" w:rsidRDefault="005B32DC" w:rsidP="00DA45AD">
      <w:pPr>
        <w:keepNext/>
        <w:keepLines/>
        <w:widowControl/>
      </w:pPr>
      <w:r w:rsidRPr="00DA45AD">
        <w:t xml:space="preserve">FSANZ </w:t>
      </w:r>
      <w:r w:rsidR="000C5C22">
        <w:t>i</w:t>
      </w:r>
      <w:r w:rsidR="00A81889">
        <w:t>s</w:t>
      </w:r>
      <w:r w:rsidR="000C5C22">
        <w:t xml:space="preserve"> of the </w:t>
      </w:r>
      <w:r w:rsidR="002F333A">
        <w:t>understand</w:t>
      </w:r>
      <w:r w:rsidR="000C5C22">
        <w:t xml:space="preserve">ing that </w:t>
      </w:r>
      <w:r w:rsidRPr="00DA45AD">
        <w:t xml:space="preserve">it is not practical to require an analytical method for determining the </w:t>
      </w:r>
      <w:r w:rsidR="00710AF4" w:rsidRPr="00DA45AD">
        <w:t xml:space="preserve">presence </w:t>
      </w:r>
      <w:r w:rsidR="00BD422C">
        <w:t xml:space="preserve">of </w:t>
      </w:r>
      <w:r w:rsidR="00BD422C" w:rsidRPr="00DA45AD">
        <w:rPr>
          <w:rFonts w:cs="Arial"/>
        </w:rPr>
        <w:t xml:space="preserve">calcium lignosulphonate (40-65) </w:t>
      </w:r>
      <w:r w:rsidR="00710AF4" w:rsidRPr="00DA45AD">
        <w:t>for the follow</w:t>
      </w:r>
      <w:r w:rsidR="00BD422C">
        <w:t>ing</w:t>
      </w:r>
      <w:r w:rsidR="005A4C54">
        <w:t xml:space="preserve"> </w:t>
      </w:r>
      <w:r w:rsidR="00710AF4" w:rsidRPr="00DA45AD">
        <w:t>reasons</w:t>
      </w:r>
      <w:r w:rsidR="00BD422C">
        <w:t>:</w:t>
      </w:r>
    </w:p>
    <w:p w:rsidR="00D92DC6" w:rsidRDefault="00D92DC6" w:rsidP="00DA45AD">
      <w:pPr>
        <w:keepNext/>
        <w:keepLines/>
        <w:widowControl/>
      </w:pPr>
    </w:p>
    <w:p w:rsidR="00D92DC6" w:rsidRDefault="00F66406">
      <w:pPr>
        <w:pStyle w:val="FSBullet"/>
      </w:pPr>
      <w:r w:rsidRPr="00F66406">
        <w:t xml:space="preserve">the relatively low concentration of the substance in the final treated food </w:t>
      </w:r>
    </w:p>
    <w:p w:rsidR="00D92DC6" w:rsidRDefault="00F66406">
      <w:pPr>
        <w:pStyle w:val="FSBullet"/>
      </w:pPr>
      <w:r w:rsidRPr="00F66406">
        <w:t>the complex nature of the calcium lignosulphonate</w:t>
      </w:r>
      <w:r w:rsidR="00093F3E" w:rsidRPr="00093F3E">
        <w:t xml:space="preserve"> (40-65) polymer which has varying composition and size </w:t>
      </w:r>
    </w:p>
    <w:p w:rsidR="00F5223D" w:rsidRDefault="00093F3E">
      <w:pPr>
        <w:pStyle w:val="FSBullet"/>
      </w:pPr>
      <w:proofErr w:type="gramStart"/>
      <w:r w:rsidRPr="00093F3E">
        <w:t>as</w:t>
      </w:r>
      <w:proofErr w:type="gramEnd"/>
      <w:r w:rsidRPr="00093F3E">
        <w:t xml:space="preserve"> well as the complex nature of the differing food matrices</w:t>
      </w:r>
      <w:r w:rsidR="000C5C22">
        <w:t>.</w:t>
      </w:r>
    </w:p>
    <w:p w:rsidR="00EB5F9A" w:rsidRDefault="00EB5F9A">
      <w:pPr>
        <w:pStyle w:val="FSBullet"/>
        <w:numPr>
          <w:ilvl w:val="0"/>
          <w:numId w:val="0"/>
        </w:numPr>
      </w:pPr>
      <w:r>
        <w:br w:type="page"/>
      </w:r>
    </w:p>
    <w:p w:rsidR="00D92DC6" w:rsidRDefault="00D92DC6" w:rsidP="00EB5F9A">
      <w:r>
        <w:lastRenderedPageBreak/>
        <w:t>Other reasons why FSANZ does not believe an analytical method is required for this Application are:</w:t>
      </w:r>
    </w:p>
    <w:p w:rsidR="00D92DC6" w:rsidRDefault="00D92DC6" w:rsidP="00D92DC6">
      <w:pPr>
        <w:keepNext/>
        <w:keepLines/>
        <w:widowControl/>
      </w:pPr>
    </w:p>
    <w:p w:rsidR="00D92DC6" w:rsidRPr="00DA45AD" w:rsidRDefault="00D92DC6" w:rsidP="00D92DC6">
      <w:pPr>
        <w:pStyle w:val="FSBullet"/>
      </w:pPr>
      <w:r w:rsidRPr="00DA45AD">
        <w:t>calcium lignosulphonate (40-65) is a</w:t>
      </w:r>
      <w:r>
        <w:t xml:space="preserve"> </w:t>
      </w:r>
      <w:r w:rsidRPr="00DA45AD">
        <w:t>safe food additive that is relatively inert in the final food and also once the food has been consumed</w:t>
      </w:r>
    </w:p>
    <w:p w:rsidR="00D92DC6" w:rsidRDefault="00D92DC6" w:rsidP="00D92DC6">
      <w:pPr>
        <w:pStyle w:val="FSBullet"/>
      </w:pPr>
      <w:proofErr w:type="gramStart"/>
      <w:r w:rsidRPr="00051DB2">
        <w:t>permissions</w:t>
      </w:r>
      <w:proofErr w:type="gramEnd"/>
      <w:r w:rsidRPr="00051DB2">
        <w:t xml:space="preserve"> for calcium lignosulphonate is at GMP; hence there is no permitted level to </w:t>
      </w:r>
      <w:r w:rsidR="00146E0E">
        <w:t>measure</w:t>
      </w:r>
      <w:r w:rsidRPr="00051DB2">
        <w:t xml:space="preserve"> compliance </w:t>
      </w:r>
      <w:r w:rsidRPr="00F66406">
        <w:t>against</w:t>
      </w:r>
      <w:r>
        <w:t>.</w:t>
      </w:r>
    </w:p>
    <w:p w:rsidR="00D92DC6" w:rsidRPr="00D92DC6" w:rsidRDefault="00D92DC6" w:rsidP="00D92DC6"/>
    <w:p w:rsidR="00F5223D" w:rsidRDefault="000C5C22">
      <w:pPr>
        <w:pStyle w:val="FSBullet"/>
        <w:numPr>
          <w:ilvl w:val="0"/>
          <w:numId w:val="0"/>
        </w:numPr>
      </w:pPr>
      <w:r>
        <w:t xml:space="preserve">However, FSANZ notes that </w:t>
      </w:r>
      <w:r w:rsidR="005A4C54">
        <w:t xml:space="preserve">the </w:t>
      </w:r>
      <w:r w:rsidR="005A4C54" w:rsidRPr="00DA45AD">
        <w:t xml:space="preserve">JECFA specification for </w:t>
      </w:r>
      <w:r w:rsidR="005A4C54" w:rsidRPr="005A4C54">
        <w:t xml:space="preserve">calcium lignosulphonate (40-65) </w:t>
      </w:r>
      <w:r w:rsidR="005A4C54" w:rsidRPr="00DA45AD">
        <w:t xml:space="preserve">contains a number of analytical tests to determine the purity of the substance itself. These identification tests are used to determine weight-average molecular weight, degree of sulphonation, determination of inorganic sulphur and organic sulphur, reducing sugars, sulphite and total ash. It is </w:t>
      </w:r>
      <w:r w:rsidR="005A4C54">
        <w:t xml:space="preserve">possible, although </w:t>
      </w:r>
      <w:r w:rsidR="005A4C54" w:rsidRPr="00DA45AD">
        <w:t xml:space="preserve">not </w:t>
      </w:r>
      <w:r w:rsidR="005A4C54">
        <w:t xml:space="preserve">specifically </w:t>
      </w:r>
      <w:r w:rsidR="005A4C54" w:rsidRPr="00DA45AD">
        <w:t>clear</w:t>
      </w:r>
      <w:r>
        <w:t>,</w:t>
      </w:r>
      <w:r w:rsidR="005A4C54" w:rsidRPr="00DA45AD">
        <w:t xml:space="preserve"> </w:t>
      </w:r>
      <w:r w:rsidR="005A4C54">
        <w:t xml:space="preserve">that these </w:t>
      </w:r>
      <w:r w:rsidR="005A4C54" w:rsidRPr="00DA45AD">
        <w:t xml:space="preserve">analytical methods could be modified and used as a method to test for the presence of </w:t>
      </w:r>
      <w:r w:rsidR="005A4C54" w:rsidRPr="005A4C54">
        <w:t>calcium lignosulphonate (40-65) in the final treated food</w:t>
      </w:r>
      <w:r w:rsidR="005A4C54">
        <w:t>, should there be a need by enforcement agencies</w:t>
      </w:r>
      <w:r w:rsidR="001171D3">
        <w:t>.</w:t>
      </w:r>
    </w:p>
    <w:p w:rsidR="00F66406" w:rsidRDefault="00F66406"/>
    <w:p w:rsidR="00F5223D" w:rsidRDefault="008274CF">
      <w:pPr>
        <w:pStyle w:val="FSBullet"/>
        <w:numPr>
          <w:ilvl w:val="0"/>
          <w:numId w:val="0"/>
        </w:numPr>
      </w:pPr>
      <w:r>
        <w:t xml:space="preserve">In conclusion, </w:t>
      </w:r>
      <w:r w:rsidR="00D92DC6">
        <w:t xml:space="preserve">FSANZ believes there are appropriate reasons why </w:t>
      </w:r>
      <w:r w:rsidR="00417F1A">
        <w:t xml:space="preserve">no analytical method for the presence of </w:t>
      </w:r>
      <w:r w:rsidR="00417F1A" w:rsidRPr="003B4C62">
        <w:t>calcium lignosul</w:t>
      </w:r>
      <w:r w:rsidR="00417F1A">
        <w:t>ph</w:t>
      </w:r>
      <w:r w:rsidR="00417F1A" w:rsidRPr="003B4C62">
        <w:t xml:space="preserve">onate (40-65) </w:t>
      </w:r>
      <w:r w:rsidR="00417F1A">
        <w:t xml:space="preserve">in food is required. </w:t>
      </w:r>
      <w:r>
        <w:t xml:space="preserve">However, </w:t>
      </w:r>
      <w:r w:rsidR="000C5C22">
        <w:t>i</w:t>
      </w:r>
      <w:r w:rsidR="005A4C54" w:rsidRPr="00DA45AD">
        <w:t xml:space="preserve">f there are any enforcement concerns about the presence of </w:t>
      </w:r>
      <w:r w:rsidR="000C5C22">
        <w:t xml:space="preserve">calcium lignosulphonate (40-65) added to food, it may </w:t>
      </w:r>
      <w:r w:rsidR="005A4C54" w:rsidRPr="00DA45AD">
        <w:t xml:space="preserve">be more appropriate and practical to analyse for the actual active </w:t>
      </w:r>
      <w:r w:rsidR="005A4C54">
        <w:t>nutrient</w:t>
      </w:r>
      <w:r w:rsidR="005A4C54" w:rsidRPr="00DA45AD">
        <w:t xml:space="preserve">, being either the </w:t>
      </w:r>
      <w:r w:rsidR="005D365E">
        <w:t>fat-soluble</w:t>
      </w:r>
      <w:r w:rsidR="005A4C54" w:rsidRPr="00DA45AD">
        <w:t xml:space="preserve"> vitamin or carot</w:t>
      </w:r>
      <w:r w:rsidR="005A4C54">
        <w:t xml:space="preserve">enoid, for which there are </w:t>
      </w:r>
      <w:r w:rsidR="00114C44">
        <w:t xml:space="preserve">currently available </w:t>
      </w:r>
      <w:r w:rsidR="005A4C54" w:rsidRPr="00DA45AD">
        <w:t>analyti</w:t>
      </w:r>
      <w:r w:rsidR="00114C44">
        <w:t>cal methods.</w:t>
      </w:r>
    </w:p>
    <w:p w:rsidR="005A4C54" w:rsidRDefault="005A4C54" w:rsidP="005A4C54"/>
    <w:p w:rsidR="003C4969" w:rsidRPr="00DC6570" w:rsidRDefault="007A44B4" w:rsidP="001171D3">
      <w:pPr>
        <w:pStyle w:val="Heading3"/>
        <w:keepLines/>
        <w:widowControl/>
      </w:pPr>
      <w:bookmarkStart w:id="105" w:name="_Toc15456903"/>
      <w:bookmarkStart w:id="106" w:name="_Toc20727764"/>
      <w:bookmarkStart w:id="107" w:name="_Toc29727729"/>
      <w:bookmarkStart w:id="108" w:name="_Toc29883126"/>
      <w:bookmarkStart w:id="109" w:name="_Toc41906813"/>
      <w:bookmarkStart w:id="110" w:name="_Toc41907560"/>
      <w:bookmarkStart w:id="111" w:name="_Toc120358594"/>
      <w:bookmarkStart w:id="112" w:name="_Toc288490778"/>
      <w:r>
        <w:t>1</w:t>
      </w:r>
      <w:r w:rsidR="00D859F2">
        <w:t>1</w:t>
      </w:r>
      <w:r>
        <w:t>.</w:t>
      </w:r>
      <w:r w:rsidR="00D859F2">
        <w:t>3</w:t>
      </w:r>
      <w:r w:rsidR="003C4969" w:rsidRPr="00DC6570">
        <w:tab/>
        <w:t>World Trade Organization (WTO)</w:t>
      </w:r>
      <w:bookmarkEnd w:id="105"/>
      <w:bookmarkEnd w:id="106"/>
      <w:bookmarkEnd w:id="107"/>
      <w:bookmarkEnd w:id="108"/>
      <w:bookmarkEnd w:id="109"/>
      <w:bookmarkEnd w:id="110"/>
      <w:bookmarkEnd w:id="111"/>
      <w:bookmarkEnd w:id="112"/>
    </w:p>
    <w:p w:rsidR="00D859F2" w:rsidRDefault="00D859F2" w:rsidP="001171D3">
      <w:pPr>
        <w:keepNext/>
        <w:keepLines/>
        <w:widowControl/>
        <w:rPr>
          <w:rFonts w:cs="Arial"/>
          <w:color w:val="000000"/>
        </w:rPr>
      </w:pPr>
    </w:p>
    <w:p w:rsidR="00F52C45" w:rsidRPr="00DC6570" w:rsidRDefault="00F52C45" w:rsidP="001171D3">
      <w:pPr>
        <w:keepNext/>
        <w:keepLines/>
        <w:widowControl/>
        <w:rPr>
          <w:rFonts w:cs="Arial"/>
          <w:color w:val="000000"/>
        </w:rPr>
      </w:pPr>
      <w:r w:rsidRPr="00DC6570">
        <w:rPr>
          <w:rFonts w:cs="Arial"/>
          <w:color w:val="000000"/>
        </w:rPr>
        <w:t>As members of the World Trade Organization (WTO), Australia and New Zealand are obligated to notify WTO member nations where proposed mandatory regulatory measures are inconsistent with any existing or imminent international standards and the proposed measure may have a significant effect on trade.</w:t>
      </w:r>
    </w:p>
    <w:p w:rsidR="00F52C45" w:rsidRPr="00DC6570" w:rsidRDefault="00F52C45" w:rsidP="00F52C45">
      <w:pPr>
        <w:rPr>
          <w:rFonts w:cs="Arial"/>
          <w:color w:val="000000"/>
        </w:rPr>
      </w:pPr>
    </w:p>
    <w:p w:rsidR="00F52C45" w:rsidRDefault="00F52C45" w:rsidP="00E46453">
      <w:pPr>
        <w:tabs>
          <w:tab w:val="left" w:pos="1560"/>
        </w:tabs>
        <w:rPr>
          <w:rFonts w:cs="Arial"/>
        </w:rPr>
      </w:pPr>
      <w:r w:rsidRPr="00DC6570">
        <w:rPr>
          <w:rFonts w:cs="Arial"/>
        </w:rPr>
        <w:t xml:space="preserve">There </w:t>
      </w:r>
      <w:r w:rsidRPr="00937362">
        <w:rPr>
          <w:rFonts w:cs="Arial"/>
        </w:rPr>
        <w:t>are no</w:t>
      </w:r>
      <w:r w:rsidRPr="00DC6570">
        <w:rPr>
          <w:rFonts w:cs="Arial"/>
        </w:rPr>
        <w:t xml:space="preserve"> relevant international standards </w:t>
      </w:r>
      <w:r>
        <w:rPr>
          <w:rFonts w:cs="Arial"/>
        </w:rPr>
        <w:t xml:space="preserve">directly related to </w:t>
      </w:r>
      <w:r w:rsidRPr="00100E5A">
        <w:rPr>
          <w:rFonts w:cs="Arial"/>
        </w:rPr>
        <w:t xml:space="preserve">calcium </w:t>
      </w:r>
      <w:r>
        <w:rPr>
          <w:rFonts w:cs="Arial"/>
        </w:rPr>
        <w:t>lignosulphonate</w:t>
      </w:r>
      <w:r w:rsidRPr="00100E5A">
        <w:rPr>
          <w:rFonts w:cs="Arial"/>
        </w:rPr>
        <w:t xml:space="preserve"> (40-65)</w:t>
      </w:r>
      <w:r>
        <w:rPr>
          <w:rFonts w:cs="Arial"/>
        </w:rPr>
        <w:t xml:space="preserve"> use in food.</w:t>
      </w:r>
      <w:r w:rsidRPr="00100E5A">
        <w:rPr>
          <w:rFonts w:cs="Arial"/>
        </w:rPr>
        <w:t xml:space="preserve"> </w:t>
      </w:r>
      <w:r>
        <w:rPr>
          <w:rFonts w:cs="Arial"/>
        </w:rPr>
        <w:t>A</w:t>
      </w:r>
      <w:r w:rsidRPr="00DC6570">
        <w:rPr>
          <w:rFonts w:cs="Arial"/>
        </w:rPr>
        <w:t xml:space="preserve">mending the Code to allow </w:t>
      </w:r>
      <w:r w:rsidRPr="00937362">
        <w:rPr>
          <w:rFonts w:cs="Arial"/>
        </w:rPr>
        <w:t xml:space="preserve">calcium </w:t>
      </w:r>
      <w:r>
        <w:rPr>
          <w:rFonts w:cs="Arial"/>
        </w:rPr>
        <w:t>lignosulphonate</w:t>
      </w:r>
      <w:r w:rsidRPr="00937362">
        <w:rPr>
          <w:rFonts w:cs="Arial"/>
        </w:rPr>
        <w:t xml:space="preserve"> (40-65) </w:t>
      </w:r>
      <w:r>
        <w:rPr>
          <w:rFonts w:cs="Arial"/>
        </w:rPr>
        <w:t xml:space="preserve">to be used to incorporate oil-soluble </w:t>
      </w:r>
      <w:r w:rsidR="0082697C">
        <w:rPr>
          <w:rFonts w:cs="Arial"/>
        </w:rPr>
        <w:t xml:space="preserve">and dispersible </w:t>
      </w:r>
      <w:r>
        <w:rPr>
          <w:rFonts w:cs="Arial"/>
        </w:rPr>
        <w:t>vitamins and carotenoids to water</w:t>
      </w:r>
      <w:r w:rsidR="004925F4">
        <w:rPr>
          <w:rFonts w:cs="Arial"/>
        </w:rPr>
        <w:t>-</w:t>
      </w:r>
      <w:r>
        <w:rPr>
          <w:rFonts w:cs="Arial"/>
        </w:rPr>
        <w:t xml:space="preserve">based foods </w:t>
      </w:r>
      <w:r w:rsidRPr="00DC6570">
        <w:rPr>
          <w:rFonts w:cs="Arial"/>
        </w:rPr>
        <w:t xml:space="preserve">is unlikely to have a significant effect on international </w:t>
      </w:r>
      <w:r>
        <w:rPr>
          <w:rFonts w:cs="Arial"/>
        </w:rPr>
        <w:t>trade. C</w:t>
      </w:r>
      <w:r w:rsidRPr="00EF54F5">
        <w:rPr>
          <w:rFonts w:cs="Arial"/>
        </w:rPr>
        <w:t xml:space="preserve">alcium lignosulphonate (40-65) </w:t>
      </w:r>
      <w:r>
        <w:rPr>
          <w:rFonts w:cs="Arial"/>
        </w:rPr>
        <w:t>is not permitted as a food additive in the Codex General Standard for Food Additives, but it has been assessed and approved as a food additive by the Codex Committee on Food Additives and assigned a food additive number. Therefore, notification to WTO under Australia’s and New Zealand’s obligations under the WTO Technical Barriers to Trade or Sanitary and Phytosanitary Measures Agreements was not considered necessary.</w:t>
      </w:r>
    </w:p>
    <w:p w:rsidR="00F52C45" w:rsidRDefault="00F52C45" w:rsidP="00F52C45">
      <w:pPr>
        <w:keepNext/>
        <w:keepLines/>
        <w:widowControl/>
        <w:tabs>
          <w:tab w:val="left" w:pos="1560"/>
        </w:tabs>
        <w:rPr>
          <w:rFonts w:cs="Arial"/>
        </w:rPr>
      </w:pPr>
    </w:p>
    <w:p w:rsidR="005F7342" w:rsidRPr="00DC6570" w:rsidRDefault="005F7342" w:rsidP="00E46453">
      <w:pPr>
        <w:pStyle w:val="Heading1"/>
        <w:keepLines/>
        <w:widowControl/>
      </w:pPr>
      <w:bookmarkStart w:id="113" w:name="_Toc288490779"/>
      <w:r w:rsidRPr="00DC6570">
        <w:t>Conclusion</w:t>
      </w:r>
      <w:bookmarkEnd w:id="113"/>
    </w:p>
    <w:p w:rsidR="005F7342" w:rsidRPr="00365F5F" w:rsidRDefault="005F7342" w:rsidP="00E46453">
      <w:pPr>
        <w:keepNext/>
        <w:keepLines/>
        <w:widowControl/>
        <w:rPr>
          <w:rFonts w:cs="Arial"/>
        </w:rPr>
      </w:pPr>
    </w:p>
    <w:p w:rsidR="005F7342" w:rsidRPr="00DC6570" w:rsidRDefault="007A44B4" w:rsidP="00E46453">
      <w:pPr>
        <w:pStyle w:val="Heading2"/>
        <w:keepLines/>
        <w:widowControl/>
      </w:pPr>
      <w:bookmarkStart w:id="114" w:name="_Toc288490780"/>
      <w:r>
        <w:t>1</w:t>
      </w:r>
      <w:r w:rsidR="00F52C45">
        <w:t>2</w:t>
      </w:r>
      <w:r w:rsidR="005F7342" w:rsidRPr="00DC6570">
        <w:t>.</w:t>
      </w:r>
      <w:r w:rsidR="005F7342" w:rsidRPr="00DC6570">
        <w:tab/>
        <w:t xml:space="preserve">Conclusion and </w:t>
      </w:r>
      <w:r w:rsidR="00EC30E1" w:rsidRPr="00DC6570">
        <w:rPr>
          <w:bCs w:val="0"/>
        </w:rPr>
        <w:t>Decision</w:t>
      </w:r>
      <w:bookmarkEnd w:id="114"/>
    </w:p>
    <w:p w:rsidR="00F52C45" w:rsidRDefault="00F52C45" w:rsidP="00E46453">
      <w:pPr>
        <w:keepNext/>
        <w:keepLines/>
        <w:widowControl/>
        <w:rPr>
          <w:rFonts w:cs="Arial"/>
        </w:rPr>
      </w:pPr>
    </w:p>
    <w:p w:rsidR="00704F0A" w:rsidRDefault="00704F0A" w:rsidP="00E46453">
      <w:pPr>
        <w:keepNext/>
        <w:keepLines/>
        <w:widowControl/>
        <w:rPr>
          <w:rFonts w:cs="Arial"/>
        </w:rPr>
      </w:pPr>
      <w:r>
        <w:rPr>
          <w:rFonts w:cs="Arial"/>
        </w:rPr>
        <w:t>This Application has been assessed against the requirements of section 29 of the FSANZ Act</w:t>
      </w:r>
      <w:r w:rsidR="00FC53AC">
        <w:rPr>
          <w:rFonts w:cs="Arial"/>
        </w:rPr>
        <w:t>.</w:t>
      </w:r>
      <w:r>
        <w:rPr>
          <w:rFonts w:cs="Arial"/>
        </w:rPr>
        <w:t xml:space="preserve"> </w:t>
      </w:r>
    </w:p>
    <w:p w:rsidR="00704F0A" w:rsidRDefault="00704F0A" w:rsidP="00E04062">
      <w:pPr>
        <w:rPr>
          <w:rFonts w:cs="Arial"/>
        </w:rPr>
      </w:pPr>
    </w:p>
    <w:p w:rsidR="00FC53AC" w:rsidRDefault="00FC53AC" w:rsidP="00FC53AC">
      <w:r>
        <w:t xml:space="preserve">The Approval Report concludes that </w:t>
      </w:r>
      <w:r w:rsidRPr="003B4C62">
        <w:rPr>
          <w:rFonts w:cs="Arial"/>
        </w:rPr>
        <w:t>calcium lignosul</w:t>
      </w:r>
      <w:r>
        <w:rPr>
          <w:rFonts w:cs="Arial"/>
        </w:rPr>
        <w:t>ph</w:t>
      </w:r>
      <w:r w:rsidRPr="003B4C62">
        <w:rPr>
          <w:rFonts w:cs="Arial"/>
        </w:rPr>
        <w:t xml:space="preserve">onate (40-65) </w:t>
      </w:r>
      <w:r>
        <w:t xml:space="preserve">is technologically justified as a food additive for the purpose of incorporating </w:t>
      </w:r>
      <w:r w:rsidRPr="0082697C">
        <w:t>oil</w:t>
      </w:r>
      <w:r w:rsidR="000B2949">
        <w:t>-</w:t>
      </w:r>
      <w:r w:rsidRPr="0082697C">
        <w:t>soluble</w:t>
      </w:r>
      <w:r>
        <w:t xml:space="preserve"> and dispersible nutrients (</w:t>
      </w:r>
      <w:r w:rsidR="005D365E">
        <w:t>fat-soluble</w:t>
      </w:r>
      <w:r w:rsidRPr="0082697C">
        <w:t xml:space="preserve"> vitamins</w:t>
      </w:r>
      <w:r>
        <w:t xml:space="preserve"> and carotenoids) in </w:t>
      </w:r>
      <w:r w:rsidR="00E46453">
        <w:t>water-</w:t>
      </w:r>
      <w:r>
        <w:t xml:space="preserve">based foods. Use of </w:t>
      </w:r>
      <w:r w:rsidRPr="003B4C62">
        <w:rPr>
          <w:rFonts w:cs="Arial"/>
        </w:rPr>
        <w:t>calcium lignosul</w:t>
      </w:r>
      <w:r>
        <w:rPr>
          <w:rFonts w:cs="Arial"/>
        </w:rPr>
        <w:t>ph</w:t>
      </w:r>
      <w:r w:rsidRPr="003B4C62">
        <w:rPr>
          <w:rFonts w:cs="Arial"/>
        </w:rPr>
        <w:t xml:space="preserve">onate (40-65) </w:t>
      </w:r>
      <w:r>
        <w:rPr>
          <w:rFonts w:cs="Arial"/>
        </w:rPr>
        <w:t xml:space="preserve">for this purpose </w:t>
      </w:r>
      <w:r>
        <w:t>does not pose a public health and safety risk.</w:t>
      </w:r>
    </w:p>
    <w:p w:rsidR="00EB5F9A" w:rsidRDefault="00EB5F9A" w:rsidP="00FC53AC"/>
    <w:p w:rsidR="00EB5F9A" w:rsidRDefault="00EB5F9A" w:rsidP="00EB5F9A">
      <w:r>
        <w:br w:type="page"/>
      </w:r>
    </w:p>
    <w:p w:rsidR="00D64F03" w:rsidRDefault="00D64F03" w:rsidP="00EB5F9A">
      <w:r>
        <w:lastRenderedPageBreak/>
        <w:t>A</w:t>
      </w:r>
      <w:r w:rsidRPr="00D64F03">
        <w:t>pproving the substance as a food additive requires the presence of the substance to be listed in ingredient lists on food packages. This labelling requirement enables consumers to have adequate information to make informed purchase choices</w:t>
      </w:r>
      <w:r w:rsidR="000B2949">
        <w:t>.</w:t>
      </w:r>
      <w:r w:rsidRPr="00D64F03">
        <w:t xml:space="preserve"> </w:t>
      </w:r>
    </w:p>
    <w:p w:rsidR="00D64F03" w:rsidRPr="00D64F03" w:rsidRDefault="00D64F03" w:rsidP="00D64F03">
      <w:pPr>
        <w:keepNext/>
        <w:keepLines/>
        <w:widowControl/>
        <w:rPr>
          <w:rFonts w:cs="Arial"/>
        </w:rPr>
      </w:pPr>
    </w:p>
    <w:p w:rsidR="00D64F03" w:rsidRPr="00D64F03" w:rsidRDefault="00D64F03" w:rsidP="00D64F03">
      <w:pPr>
        <w:keepNext/>
        <w:keepLines/>
        <w:widowControl/>
        <w:rPr>
          <w:rFonts w:cs="Arial"/>
        </w:rPr>
      </w:pPr>
      <w:r w:rsidRPr="00D64F03">
        <w:rPr>
          <w:rFonts w:cs="Arial"/>
        </w:rPr>
        <w:t>FSANZ has concluded there are no misleading or deceptive conduct aspects to this assessment.</w:t>
      </w:r>
    </w:p>
    <w:p w:rsidR="00D64F03" w:rsidRDefault="00D64F03" w:rsidP="00FC53AC"/>
    <w:p w:rsidR="00D64F03" w:rsidRDefault="00D64F03" w:rsidP="00D64F03">
      <w:pPr>
        <w:rPr>
          <w:rFonts w:cs="Arial"/>
        </w:rPr>
      </w:pPr>
      <w:r>
        <w:rPr>
          <w:rFonts w:cs="Arial"/>
        </w:rPr>
        <w:t>The Ministerial Council Policy Guidelines have been addressed in this assessment. The technological function of using the substance has been articulated and assessed as being met. Its use as proposed has been assessed as being safe and suitable.</w:t>
      </w:r>
    </w:p>
    <w:p w:rsidR="00D64F03" w:rsidRDefault="00D64F03" w:rsidP="00FC53AC"/>
    <w:p w:rsidR="00FC53AC" w:rsidRDefault="00FC53AC" w:rsidP="007E7DA4">
      <w:pPr>
        <w:keepNext/>
        <w:keepLines/>
        <w:widowControl/>
      </w:pPr>
      <w:r>
        <w:t xml:space="preserve">Therefore the preferred option, based on the available scientific information, is to prepare draft variations to the Code giving permission for </w:t>
      </w:r>
      <w:r w:rsidRPr="003B4C62">
        <w:rPr>
          <w:rFonts w:cs="Arial"/>
        </w:rPr>
        <w:t>calcium lignosul</w:t>
      </w:r>
      <w:r>
        <w:rPr>
          <w:rFonts w:cs="Arial"/>
        </w:rPr>
        <w:t>ph</w:t>
      </w:r>
      <w:r w:rsidRPr="003B4C62">
        <w:rPr>
          <w:rFonts w:cs="Arial"/>
        </w:rPr>
        <w:t xml:space="preserve">onate (40-65) </w:t>
      </w:r>
      <w:r>
        <w:t>as a Schedule 2 food additive in Standard 1.3.1, and consequential draft variations to Standard 1.2.4.</w:t>
      </w:r>
    </w:p>
    <w:p w:rsidR="00FC53AC" w:rsidRPr="002A5051" w:rsidRDefault="00FC53AC" w:rsidP="00FC53AC"/>
    <w:p w:rsidR="00FC53AC" w:rsidRDefault="00FC53AC" w:rsidP="00FC53AC">
      <w:r>
        <w:t xml:space="preserve">The draft variations are provided in </w:t>
      </w:r>
      <w:r w:rsidRPr="005561B6">
        <w:rPr>
          <w:b/>
        </w:rPr>
        <w:t>Attachment 1</w:t>
      </w:r>
      <w:r>
        <w:t>.</w:t>
      </w:r>
    </w:p>
    <w:p w:rsidR="00AC15D6" w:rsidRDefault="00AC15D6" w:rsidP="00AC15D6">
      <w:pPr>
        <w:rPr>
          <w:rFonts w:cs="Arial"/>
        </w:rPr>
      </w:pPr>
      <w:bookmarkStart w:id="115" w:name="_Toc11735642"/>
      <w:bookmarkStart w:id="116" w:name="_Toc29883129"/>
      <w:bookmarkStart w:id="117" w:name="_Toc41906816"/>
      <w:bookmarkStart w:id="118" w:name="_Toc41907563"/>
      <w:bookmarkStart w:id="119" w:name="_Toc120358595"/>
    </w:p>
    <w:p w:rsidR="008A55C7" w:rsidRPr="00DA45AD" w:rsidRDefault="008A55C7" w:rsidP="008A55C7">
      <w:pPr>
        <w:rPr>
          <w:lang w:val="en-AU"/>
        </w:rPr>
      </w:pPr>
      <w:r w:rsidRPr="00DA45AD">
        <w:rPr>
          <w:lang w:val="en-AU"/>
        </w:rPr>
        <w:t>Because FSANZ had assessed the technological function of calcium lignosulphonate (40-65) as being different from that requested in the Application, FSANZ was required by section 30 of the FSANZ Act to notify the Applicant of this</w:t>
      </w:r>
      <w:r w:rsidR="00E46453">
        <w:rPr>
          <w:lang w:val="en-AU"/>
        </w:rPr>
        <w:t xml:space="preserve"> conclusion</w:t>
      </w:r>
      <w:r w:rsidRPr="00DA45AD">
        <w:rPr>
          <w:lang w:val="en-AU"/>
        </w:rPr>
        <w:t>. The Applicant had 10 working days to decide whether to accept the decision</w:t>
      </w:r>
      <w:r w:rsidR="00F777C8">
        <w:rPr>
          <w:lang w:val="en-AU"/>
        </w:rPr>
        <w:t>,</w:t>
      </w:r>
      <w:r w:rsidR="00E46453">
        <w:rPr>
          <w:lang w:val="en-AU"/>
        </w:rPr>
        <w:t xml:space="preserve"> which it did</w:t>
      </w:r>
      <w:r w:rsidRPr="00DA45AD">
        <w:rPr>
          <w:lang w:val="en-AU"/>
        </w:rPr>
        <w:t>.</w:t>
      </w:r>
    </w:p>
    <w:p w:rsidR="008A55C7" w:rsidRPr="00DA45AD" w:rsidRDefault="008A55C7" w:rsidP="00AC15D6">
      <w:pPr>
        <w:rPr>
          <w:rFonts w:cs="Arial"/>
        </w:rPr>
      </w:pPr>
    </w:p>
    <w:p w:rsidR="00AC15D6" w:rsidRPr="00D60568" w:rsidRDefault="00AC15D6" w:rsidP="00FC53AC">
      <w:pPr>
        <w:pStyle w:val="FSDecisionHeading"/>
        <w:keepNext/>
        <w:widowControl/>
      </w:pPr>
      <w:r w:rsidRPr="00D60568">
        <w:t>Decision</w:t>
      </w:r>
    </w:p>
    <w:p w:rsidR="00AC15D6" w:rsidRPr="00DC6570" w:rsidRDefault="00AC15D6" w:rsidP="00FC53AC">
      <w:pPr>
        <w:pStyle w:val="FSDecisiontext"/>
        <w:keepNext/>
        <w:widowControl/>
        <w:rPr>
          <w:rFonts w:cs="Arial"/>
        </w:rPr>
      </w:pPr>
    </w:p>
    <w:p w:rsidR="00AC15D6" w:rsidRPr="00DC6570" w:rsidRDefault="00AC15D6" w:rsidP="00FC53AC">
      <w:pPr>
        <w:pStyle w:val="FSDecisiontext"/>
        <w:keepNext/>
        <w:widowControl/>
        <w:rPr>
          <w:rFonts w:cs="Arial"/>
        </w:rPr>
      </w:pPr>
      <w:proofErr w:type="gramStart"/>
      <w:r>
        <w:rPr>
          <w:rFonts w:cs="Arial"/>
        </w:rPr>
        <w:t xml:space="preserve">To </w:t>
      </w:r>
      <w:r w:rsidR="00B660E8">
        <w:rPr>
          <w:rFonts w:cs="Arial"/>
        </w:rPr>
        <w:t>approve</w:t>
      </w:r>
      <w:r>
        <w:rPr>
          <w:rFonts w:cs="Arial"/>
        </w:rPr>
        <w:t xml:space="preserve"> draft variations to Standards 1.2.4 and 1.3.1 to allow the use of calcium </w:t>
      </w:r>
      <w:r>
        <w:rPr>
          <w:rFonts w:cs="Arial" w:hint="eastAsia"/>
        </w:rPr>
        <w:t>lignosulphonate</w:t>
      </w:r>
      <w:r>
        <w:rPr>
          <w:rFonts w:cs="Arial"/>
        </w:rPr>
        <w:t xml:space="preserve"> (40-65) as a GMP food additive.</w:t>
      </w:r>
      <w:proofErr w:type="gramEnd"/>
    </w:p>
    <w:p w:rsidR="00AC15D6" w:rsidRPr="00DC6570" w:rsidRDefault="00AC15D6" w:rsidP="00AC15D6">
      <w:pPr>
        <w:rPr>
          <w:rFonts w:cs="Arial"/>
        </w:rPr>
      </w:pPr>
    </w:p>
    <w:p w:rsidR="00AC15D6" w:rsidRPr="00D60568" w:rsidRDefault="00AC15D6" w:rsidP="00AC15D6">
      <w:pPr>
        <w:keepNext/>
        <w:keepLines/>
        <w:widowControl/>
        <w:rPr>
          <w:rFonts w:cs="Arial"/>
          <w:b/>
          <w:bCs/>
        </w:rPr>
      </w:pPr>
      <w:r w:rsidRPr="00D60568">
        <w:rPr>
          <w:rFonts w:cs="Arial"/>
          <w:b/>
          <w:bCs/>
        </w:rPr>
        <w:t>Reasons for Decision</w:t>
      </w:r>
    </w:p>
    <w:p w:rsidR="00AC15D6" w:rsidRPr="00AE244A" w:rsidRDefault="00AC15D6" w:rsidP="00AC15D6">
      <w:pPr>
        <w:keepNext/>
        <w:keepLines/>
        <w:widowControl/>
        <w:rPr>
          <w:rFonts w:cs="Arial"/>
        </w:rPr>
      </w:pPr>
    </w:p>
    <w:p w:rsidR="00AC15D6" w:rsidRPr="00AE244A" w:rsidRDefault="00AC15D6" w:rsidP="00EB5F9A">
      <w:pPr>
        <w:pStyle w:val="FSBullet"/>
      </w:pPr>
      <w:r w:rsidRPr="00AE244A">
        <w:t xml:space="preserve">The </w:t>
      </w:r>
      <w:r>
        <w:t>R</w:t>
      </w:r>
      <w:r w:rsidRPr="00AE244A">
        <w:t xml:space="preserve">isk </w:t>
      </w:r>
      <w:r>
        <w:t>A</w:t>
      </w:r>
      <w:r w:rsidRPr="00AE244A">
        <w:t xml:space="preserve">ssessment </w:t>
      </w:r>
      <w:r>
        <w:t>R</w:t>
      </w:r>
      <w:r w:rsidRPr="00AE244A">
        <w:t xml:space="preserve">eport concludes that for the purpose proposed by the </w:t>
      </w:r>
      <w:r>
        <w:t>Applicant,</w:t>
      </w:r>
      <w:r w:rsidRPr="00AE244A">
        <w:t xml:space="preserve"> the substance has a technological function as a food additive and not as a processing aid as requested by the </w:t>
      </w:r>
      <w:r>
        <w:t>Applicant</w:t>
      </w:r>
      <w:r w:rsidRPr="00AE244A">
        <w:t>.</w:t>
      </w:r>
    </w:p>
    <w:p w:rsidR="00AC15D6" w:rsidRDefault="00AC15D6" w:rsidP="00AC15D6">
      <w:pPr>
        <w:widowControl/>
      </w:pPr>
    </w:p>
    <w:p w:rsidR="00AC15D6" w:rsidRPr="00AE244A" w:rsidRDefault="00AC15D6" w:rsidP="00AC15D6">
      <w:pPr>
        <w:pStyle w:val="FSBullet"/>
        <w:keepNext/>
        <w:keepLines/>
        <w:widowControl/>
      </w:pPr>
      <w:r w:rsidRPr="00AE244A">
        <w:t xml:space="preserve">The </w:t>
      </w:r>
      <w:r>
        <w:t>risk</w:t>
      </w:r>
      <w:r w:rsidRPr="00AE244A">
        <w:t xml:space="preserve"> assessment concluded that there is a need to establish an ADI </w:t>
      </w:r>
      <w:r>
        <w:t xml:space="preserve">for the substance </w:t>
      </w:r>
      <w:r w:rsidRPr="00AE244A">
        <w:t xml:space="preserve">but the </w:t>
      </w:r>
      <w:r>
        <w:t>d</w:t>
      </w:r>
      <w:r w:rsidRPr="00AE244A">
        <w:t xml:space="preserve">ietary </w:t>
      </w:r>
      <w:r>
        <w:t>e</w:t>
      </w:r>
      <w:r w:rsidRPr="00AE244A">
        <w:t xml:space="preserve">xposure </w:t>
      </w:r>
      <w:r>
        <w:t>a</w:t>
      </w:r>
      <w:r w:rsidRPr="00AE244A">
        <w:t>ssessment concluded that it is safe to be added to water</w:t>
      </w:r>
      <w:r w:rsidR="00E46453">
        <w:t>-</w:t>
      </w:r>
      <w:r w:rsidRPr="00AE244A">
        <w:t>based foods in accordance with GMP</w:t>
      </w:r>
      <w:r>
        <w:t>. This is because</w:t>
      </w:r>
      <w:r w:rsidRPr="00AE244A">
        <w:t xml:space="preserve"> there would not be any risk of exceeding this reference health standard for the Australia and New Zealand populations.</w:t>
      </w:r>
    </w:p>
    <w:p w:rsidR="00AC15D6" w:rsidRPr="00AE244A" w:rsidRDefault="00AC15D6" w:rsidP="00AC15D6">
      <w:pPr>
        <w:pStyle w:val="FSBullet"/>
        <w:numPr>
          <w:ilvl w:val="0"/>
          <w:numId w:val="0"/>
        </w:numPr>
        <w:ind w:left="567"/>
      </w:pPr>
    </w:p>
    <w:p w:rsidR="00AC15D6" w:rsidRPr="00AE244A" w:rsidRDefault="00AC15D6" w:rsidP="00EB5F9A">
      <w:pPr>
        <w:pStyle w:val="FSBullet"/>
      </w:pPr>
      <w:r w:rsidRPr="00AE244A">
        <w:t xml:space="preserve">The </w:t>
      </w:r>
      <w:r>
        <w:t>risk assessment</w:t>
      </w:r>
      <w:r w:rsidRPr="00AE244A">
        <w:t xml:space="preserve"> concludes that there are no detrimental nutritional </w:t>
      </w:r>
      <w:r>
        <w:t>outcomes from</w:t>
      </w:r>
      <w:r w:rsidRPr="00AE244A">
        <w:t xml:space="preserve"> adding the substance to food.</w:t>
      </w:r>
    </w:p>
    <w:p w:rsidR="00AC15D6" w:rsidRPr="00AE244A" w:rsidRDefault="00AC15D6" w:rsidP="00AC15D6">
      <w:pPr>
        <w:rPr>
          <w:rFonts w:cs="Arial"/>
        </w:rPr>
      </w:pPr>
    </w:p>
    <w:p w:rsidR="00AC15D6" w:rsidRDefault="00AC15D6" w:rsidP="00EB5F9A">
      <w:pPr>
        <w:pStyle w:val="FSBullet"/>
      </w:pPr>
      <w:r w:rsidRPr="00AE244A">
        <w:t>Permitting use of the substance would not impose significant</w:t>
      </w:r>
      <w:r w:rsidRPr="00B731D0">
        <w:t xml:space="preserve"> costs for government agencies, consumers or manufacturers.</w:t>
      </w:r>
    </w:p>
    <w:p w:rsidR="00AC15D6" w:rsidRPr="008826A6" w:rsidRDefault="00AC15D6" w:rsidP="00AC15D6">
      <w:pPr>
        <w:pStyle w:val="FSBullet"/>
        <w:numPr>
          <w:ilvl w:val="0"/>
          <w:numId w:val="0"/>
        </w:numPr>
        <w:ind w:left="567"/>
      </w:pPr>
    </w:p>
    <w:p w:rsidR="00AC15D6" w:rsidRDefault="00AC15D6" w:rsidP="00AC15D6">
      <w:pPr>
        <w:pStyle w:val="FSBullet"/>
      </w:pPr>
      <w:r w:rsidRPr="00B731D0">
        <w:t>The draft variation</w:t>
      </w:r>
      <w:r>
        <w:t>s</w:t>
      </w:r>
      <w:r w:rsidRPr="00B731D0">
        <w:t xml:space="preserve"> to the Code </w:t>
      </w:r>
      <w:r>
        <w:t>are</w:t>
      </w:r>
      <w:r w:rsidRPr="00B731D0">
        <w:t xml:space="preserve"> consistent with the section 18 objectives of the FSANZ Act. </w:t>
      </w:r>
    </w:p>
    <w:p w:rsidR="00AC15D6" w:rsidRPr="008826A6" w:rsidRDefault="00AC15D6" w:rsidP="00AC15D6">
      <w:pPr>
        <w:pStyle w:val="FSBullet"/>
        <w:numPr>
          <w:ilvl w:val="0"/>
          <w:numId w:val="0"/>
        </w:numPr>
        <w:ind w:left="567"/>
      </w:pPr>
    </w:p>
    <w:p w:rsidR="00AC15D6" w:rsidRDefault="00AC15D6" w:rsidP="00AC15D6">
      <w:pPr>
        <w:pStyle w:val="FSBullet"/>
      </w:pPr>
      <w:r w:rsidRPr="00B731D0">
        <w:t>There are no relevant New Zealand standards.</w:t>
      </w:r>
    </w:p>
    <w:p w:rsidR="00AC15D6" w:rsidRPr="00AC15D6" w:rsidRDefault="00AC15D6" w:rsidP="00AC15D6"/>
    <w:p w:rsidR="00EB5F9A" w:rsidRDefault="00EB5F9A">
      <w:pPr>
        <w:pStyle w:val="Heading2"/>
        <w:rPr>
          <w:rFonts w:cs="Arial"/>
        </w:rPr>
      </w:pPr>
      <w:bookmarkStart w:id="120" w:name="_Toc288490781"/>
      <w:r>
        <w:rPr>
          <w:rFonts w:cs="Arial"/>
        </w:rPr>
        <w:br w:type="page"/>
      </w:r>
    </w:p>
    <w:p w:rsidR="003C4969" w:rsidRPr="00DC6570" w:rsidRDefault="007A44B4">
      <w:pPr>
        <w:pStyle w:val="Heading2"/>
        <w:rPr>
          <w:rFonts w:cs="Arial"/>
        </w:rPr>
      </w:pPr>
      <w:r>
        <w:rPr>
          <w:rFonts w:cs="Arial"/>
        </w:rPr>
        <w:lastRenderedPageBreak/>
        <w:t>1</w:t>
      </w:r>
      <w:r w:rsidR="0066339E">
        <w:rPr>
          <w:rFonts w:cs="Arial"/>
        </w:rPr>
        <w:t>3</w:t>
      </w:r>
      <w:r w:rsidR="003C4969" w:rsidRPr="00DC6570">
        <w:rPr>
          <w:rFonts w:cs="Arial"/>
        </w:rPr>
        <w:t>.</w:t>
      </w:r>
      <w:r w:rsidR="003C4969" w:rsidRPr="00DC6570">
        <w:rPr>
          <w:rFonts w:cs="Arial"/>
        </w:rPr>
        <w:tab/>
        <w:t>Implementation and Review</w:t>
      </w:r>
      <w:bookmarkEnd w:id="115"/>
      <w:bookmarkEnd w:id="116"/>
      <w:bookmarkEnd w:id="117"/>
      <w:bookmarkEnd w:id="118"/>
      <w:bookmarkEnd w:id="119"/>
      <w:bookmarkEnd w:id="120"/>
    </w:p>
    <w:p w:rsidR="003C4969" w:rsidRPr="00DC6570" w:rsidRDefault="003C4969">
      <w:pPr>
        <w:pStyle w:val="Header"/>
        <w:rPr>
          <w:rFonts w:cs="Arial"/>
        </w:rPr>
      </w:pPr>
    </w:p>
    <w:p w:rsidR="003C4969" w:rsidRDefault="00AD663D">
      <w:pPr>
        <w:pStyle w:val="Header"/>
        <w:rPr>
          <w:rFonts w:cs="Arial"/>
        </w:rPr>
      </w:pPr>
      <w:r>
        <w:rPr>
          <w:rFonts w:cs="Arial"/>
        </w:rPr>
        <w:t xml:space="preserve">If no review of the Board’s decision is requested by the Ministerial Council, the draft variations to the Code </w:t>
      </w:r>
      <w:r w:rsidR="00EB5F9A">
        <w:rPr>
          <w:rFonts w:cs="Arial"/>
        </w:rPr>
        <w:t>will</w:t>
      </w:r>
      <w:r>
        <w:rPr>
          <w:rFonts w:cs="Arial"/>
        </w:rPr>
        <w:t xml:space="preserve"> come into effect on gazettal.</w:t>
      </w:r>
    </w:p>
    <w:p w:rsidR="005E5C0B" w:rsidRDefault="005E5C0B" w:rsidP="00FC53AC">
      <w:pPr>
        <w:pStyle w:val="Header"/>
        <w:rPr>
          <w:b/>
        </w:rPr>
      </w:pPr>
    </w:p>
    <w:p w:rsidR="00FC53AC" w:rsidRPr="00FC53AC" w:rsidRDefault="00FC53AC" w:rsidP="00FC53AC">
      <w:pPr>
        <w:pStyle w:val="Header"/>
        <w:rPr>
          <w:b/>
        </w:rPr>
      </w:pPr>
      <w:r w:rsidRPr="00FC53AC">
        <w:rPr>
          <w:b/>
        </w:rPr>
        <w:t>References</w:t>
      </w:r>
    </w:p>
    <w:p w:rsidR="00FC53AC" w:rsidRDefault="00FC53AC" w:rsidP="00FC53AC">
      <w:pPr>
        <w:pStyle w:val="Header"/>
        <w:rPr>
          <w:rFonts w:cs="Arial"/>
        </w:rPr>
      </w:pPr>
    </w:p>
    <w:p w:rsidR="00FC53AC" w:rsidRPr="0011204A" w:rsidRDefault="00FC53AC" w:rsidP="00FC53AC">
      <w:pPr>
        <w:pStyle w:val="Header"/>
        <w:rPr>
          <w:rFonts w:cs="Arial"/>
          <w:sz w:val="20"/>
          <w:szCs w:val="20"/>
        </w:rPr>
      </w:pPr>
      <w:r w:rsidRPr="0011204A">
        <w:rPr>
          <w:rFonts w:cs="Arial"/>
          <w:sz w:val="20"/>
          <w:szCs w:val="20"/>
          <w:lang w:val="en-AU"/>
        </w:rPr>
        <w:t xml:space="preserve">CCFA </w:t>
      </w:r>
      <w:r w:rsidR="0082697C">
        <w:rPr>
          <w:rFonts w:cs="Arial"/>
          <w:sz w:val="20"/>
          <w:szCs w:val="20"/>
          <w:lang w:val="en-AU"/>
        </w:rPr>
        <w:t>(</w:t>
      </w:r>
      <w:r w:rsidRPr="0011204A">
        <w:rPr>
          <w:rFonts w:cs="Arial"/>
          <w:sz w:val="20"/>
          <w:szCs w:val="20"/>
          <w:lang w:val="en-AU"/>
        </w:rPr>
        <w:t>2009</w:t>
      </w:r>
      <w:r w:rsidR="0082697C">
        <w:rPr>
          <w:rFonts w:cs="Arial"/>
          <w:sz w:val="20"/>
          <w:szCs w:val="20"/>
          <w:lang w:val="en-AU"/>
        </w:rPr>
        <w:t>)</w:t>
      </w:r>
      <w:r w:rsidRPr="0011204A">
        <w:rPr>
          <w:rFonts w:cs="Arial"/>
          <w:sz w:val="20"/>
          <w:szCs w:val="20"/>
          <w:lang w:val="en-AU"/>
        </w:rPr>
        <w:t>, Report of the 41</w:t>
      </w:r>
      <w:r w:rsidRPr="0011204A">
        <w:rPr>
          <w:rFonts w:cs="Arial"/>
          <w:sz w:val="20"/>
          <w:szCs w:val="20"/>
          <w:vertAlign w:val="superscript"/>
          <w:lang w:val="en-AU"/>
        </w:rPr>
        <w:t>st</w:t>
      </w:r>
      <w:r w:rsidRPr="0011204A">
        <w:rPr>
          <w:rFonts w:cs="Arial"/>
          <w:sz w:val="20"/>
          <w:szCs w:val="20"/>
          <w:lang w:val="en-AU"/>
        </w:rPr>
        <w:t xml:space="preserve"> Session of the Codex Committee on Food Additives. </w:t>
      </w:r>
      <w:proofErr w:type="gramStart"/>
      <w:r w:rsidRPr="0011204A">
        <w:rPr>
          <w:rFonts w:cs="Arial"/>
          <w:sz w:val="20"/>
          <w:szCs w:val="20"/>
          <w:lang w:val="en-AU"/>
        </w:rPr>
        <w:t>ALINORM 09/32/12.</w:t>
      </w:r>
      <w:proofErr w:type="gramEnd"/>
      <w:r w:rsidRPr="0011204A">
        <w:rPr>
          <w:rFonts w:cs="Arial"/>
          <w:sz w:val="20"/>
          <w:szCs w:val="20"/>
          <w:lang w:val="en-AU"/>
        </w:rPr>
        <w:t xml:space="preserve"> March 2009. </w:t>
      </w:r>
      <w:hyperlink r:id="rId15" w:history="1">
        <w:r w:rsidRPr="00AE7DF5">
          <w:rPr>
            <w:rStyle w:val="Hyperlink"/>
            <w:rFonts w:cs="Arial"/>
            <w:color w:val="3333FF"/>
            <w:sz w:val="20"/>
            <w:szCs w:val="20"/>
            <w:lang w:val="en-AU"/>
          </w:rPr>
          <w:t>http://www.codexalimentarius.net/download/report/721/al32_12e.pdf</w:t>
        </w:r>
      </w:hyperlink>
      <w:r w:rsidRPr="0011204A">
        <w:rPr>
          <w:rFonts w:cs="Arial"/>
          <w:color w:val="0070C0"/>
          <w:sz w:val="20"/>
          <w:szCs w:val="20"/>
          <w:lang w:eastAsia="en-GB" w:bidi="ar-SA"/>
        </w:rPr>
        <w:t xml:space="preserve"> </w:t>
      </w:r>
      <w:r w:rsidRPr="0011204A">
        <w:rPr>
          <w:rFonts w:cs="Arial"/>
          <w:sz w:val="20"/>
          <w:szCs w:val="20"/>
          <w:lang w:val="en-AU"/>
        </w:rPr>
        <w:t xml:space="preserve">Accessed on </w:t>
      </w:r>
      <w:r w:rsidR="00BE36F0">
        <w:rPr>
          <w:rFonts w:cs="Arial"/>
          <w:sz w:val="20"/>
          <w:szCs w:val="20"/>
          <w:lang w:val="en-AU"/>
        </w:rPr>
        <w:t>31</w:t>
      </w:r>
      <w:r w:rsidRPr="0011204A">
        <w:rPr>
          <w:rFonts w:cs="Arial"/>
          <w:sz w:val="20"/>
          <w:szCs w:val="20"/>
          <w:lang w:val="en-AU"/>
        </w:rPr>
        <w:t xml:space="preserve"> </w:t>
      </w:r>
      <w:r w:rsidR="00BE36F0">
        <w:rPr>
          <w:rFonts w:cs="Arial"/>
          <w:sz w:val="20"/>
          <w:szCs w:val="20"/>
          <w:lang w:val="en-AU"/>
        </w:rPr>
        <w:t>March</w:t>
      </w:r>
      <w:r w:rsidRPr="0011204A">
        <w:rPr>
          <w:rFonts w:cs="Arial"/>
          <w:sz w:val="20"/>
          <w:szCs w:val="20"/>
          <w:lang w:val="en-AU"/>
        </w:rPr>
        <w:t xml:space="preserve"> 201</w:t>
      </w:r>
      <w:r w:rsidR="00DC1764">
        <w:rPr>
          <w:rFonts w:cs="Arial"/>
          <w:sz w:val="20"/>
          <w:szCs w:val="20"/>
          <w:lang w:val="en-AU"/>
        </w:rPr>
        <w:t>1</w:t>
      </w:r>
      <w:r w:rsidRPr="0011204A">
        <w:rPr>
          <w:rFonts w:cs="Arial"/>
          <w:sz w:val="20"/>
          <w:szCs w:val="20"/>
          <w:lang w:val="en-AU"/>
        </w:rPr>
        <w:t>.</w:t>
      </w:r>
    </w:p>
    <w:p w:rsidR="00FC53AC" w:rsidRPr="0011204A" w:rsidRDefault="00FC53AC" w:rsidP="00FC53AC">
      <w:pPr>
        <w:pStyle w:val="Header"/>
        <w:rPr>
          <w:rFonts w:cs="Arial"/>
          <w:sz w:val="20"/>
          <w:szCs w:val="20"/>
        </w:rPr>
      </w:pPr>
    </w:p>
    <w:p w:rsidR="00FC53AC" w:rsidRPr="0011204A" w:rsidRDefault="00FC53AC" w:rsidP="00FC53AC">
      <w:pPr>
        <w:pStyle w:val="Header"/>
        <w:rPr>
          <w:rFonts w:cs="Arial"/>
          <w:sz w:val="20"/>
          <w:szCs w:val="20"/>
        </w:rPr>
      </w:pPr>
      <w:r w:rsidRPr="0011204A">
        <w:rPr>
          <w:rFonts w:cs="Arial"/>
          <w:sz w:val="20"/>
          <w:szCs w:val="20"/>
        </w:rPr>
        <w:t xml:space="preserve">EFSA </w:t>
      </w:r>
      <w:r w:rsidR="0082697C">
        <w:rPr>
          <w:rFonts w:cs="Arial"/>
          <w:sz w:val="20"/>
          <w:szCs w:val="20"/>
        </w:rPr>
        <w:t>(</w:t>
      </w:r>
      <w:r w:rsidRPr="0011204A">
        <w:rPr>
          <w:rFonts w:cs="Arial"/>
          <w:sz w:val="20"/>
          <w:szCs w:val="20"/>
        </w:rPr>
        <w:t>2010</w:t>
      </w:r>
      <w:r w:rsidR="0082697C">
        <w:rPr>
          <w:rFonts w:cs="Arial"/>
          <w:sz w:val="20"/>
          <w:szCs w:val="20"/>
        </w:rPr>
        <w:t>)</w:t>
      </w:r>
      <w:r w:rsidRPr="0011204A">
        <w:rPr>
          <w:rFonts w:cs="Arial"/>
          <w:sz w:val="20"/>
          <w:szCs w:val="20"/>
        </w:rPr>
        <w:t xml:space="preserve"> Panel on Food Additives and Nutrient Sources added to Food (ANS); Scientific Opinion on the use of calcium lignosulphonate (40-65) as a carrier for vitamins and carotenoids on request of the European Commission. EFSA Journal 2010</w:t>
      </w:r>
      <w:proofErr w:type="gramStart"/>
      <w:r w:rsidRPr="0011204A">
        <w:rPr>
          <w:rFonts w:cs="Arial"/>
          <w:sz w:val="20"/>
          <w:szCs w:val="20"/>
        </w:rPr>
        <w:t>;8</w:t>
      </w:r>
      <w:proofErr w:type="gramEnd"/>
      <w:r w:rsidRPr="0011204A">
        <w:rPr>
          <w:rFonts w:cs="Arial"/>
          <w:sz w:val="20"/>
          <w:szCs w:val="20"/>
        </w:rPr>
        <w:t xml:space="preserve">(3):1525. </w:t>
      </w:r>
      <w:hyperlink r:id="rId16" w:history="1">
        <w:r w:rsidRPr="00AE7DF5">
          <w:rPr>
            <w:rStyle w:val="Hyperlink"/>
            <w:rFonts w:cs="Arial"/>
            <w:color w:val="3333FF"/>
            <w:sz w:val="20"/>
            <w:szCs w:val="20"/>
            <w:lang w:val="en-AU"/>
          </w:rPr>
          <w:t>http://www.efsa.europa.eu/en/scdocs/scdoc/1525.htm</w:t>
        </w:r>
      </w:hyperlink>
      <w:r w:rsidRPr="0011204A">
        <w:rPr>
          <w:rFonts w:cs="Arial"/>
          <w:sz w:val="20"/>
          <w:szCs w:val="20"/>
          <w:lang w:val="en-AU"/>
        </w:rPr>
        <w:t xml:space="preserve"> Accessed on </w:t>
      </w:r>
      <w:r w:rsidR="00BE36F0">
        <w:rPr>
          <w:rFonts w:cs="Arial"/>
          <w:sz w:val="20"/>
          <w:szCs w:val="20"/>
          <w:lang w:val="en-AU"/>
        </w:rPr>
        <w:t>31</w:t>
      </w:r>
      <w:r w:rsidRPr="0011204A">
        <w:rPr>
          <w:rFonts w:cs="Arial"/>
          <w:sz w:val="20"/>
          <w:szCs w:val="20"/>
          <w:lang w:val="en-AU"/>
        </w:rPr>
        <w:t xml:space="preserve"> </w:t>
      </w:r>
      <w:r w:rsidR="00BE36F0">
        <w:rPr>
          <w:rFonts w:cs="Arial"/>
          <w:sz w:val="20"/>
          <w:szCs w:val="20"/>
          <w:lang w:val="en-AU"/>
        </w:rPr>
        <w:t>March</w:t>
      </w:r>
      <w:r w:rsidRPr="0011204A">
        <w:rPr>
          <w:rFonts w:cs="Arial"/>
          <w:sz w:val="20"/>
          <w:szCs w:val="20"/>
          <w:lang w:val="en-AU"/>
        </w:rPr>
        <w:t xml:space="preserve"> 201</w:t>
      </w:r>
      <w:r w:rsidR="00DC1764">
        <w:rPr>
          <w:rFonts w:cs="Arial"/>
          <w:sz w:val="20"/>
          <w:szCs w:val="20"/>
          <w:lang w:val="en-AU"/>
        </w:rPr>
        <w:t>1</w:t>
      </w:r>
      <w:r w:rsidRPr="0011204A">
        <w:rPr>
          <w:rFonts w:cs="Arial"/>
          <w:sz w:val="20"/>
          <w:szCs w:val="20"/>
          <w:lang w:val="en-AU"/>
        </w:rPr>
        <w:t>.</w:t>
      </w:r>
    </w:p>
    <w:p w:rsidR="00FC53AC" w:rsidRPr="0011204A" w:rsidRDefault="00FC53AC" w:rsidP="00FC53AC">
      <w:pPr>
        <w:pStyle w:val="Header"/>
        <w:rPr>
          <w:rFonts w:cs="Arial"/>
          <w:sz w:val="20"/>
          <w:szCs w:val="20"/>
        </w:rPr>
      </w:pPr>
    </w:p>
    <w:p w:rsidR="00FC53AC" w:rsidRPr="00AE7DF5" w:rsidRDefault="00FC53AC" w:rsidP="00FC53AC">
      <w:pPr>
        <w:pStyle w:val="FootnoteText"/>
        <w:rPr>
          <w:rFonts w:cs="Arial"/>
          <w:lang w:val="en-AU"/>
        </w:rPr>
      </w:pPr>
      <w:r w:rsidRPr="00AE7DF5">
        <w:rPr>
          <w:rFonts w:cs="Arial"/>
        </w:rPr>
        <w:t xml:space="preserve">JECFA </w:t>
      </w:r>
      <w:r w:rsidR="0082697C">
        <w:rPr>
          <w:rFonts w:cs="Arial"/>
        </w:rPr>
        <w:t>(</w:t>
      </w:r>
      <w:r w:rsidRPr="00AE7DF5">
        <w:rPr>
          <w:rFonts w:cs="Arial"/>
        </w:rPr>
        <w:t>2008</w:t>
      </w:r>
      <w:r w:rsidR="0082697C">
        <w:rPr>
          <w:rFonts w:cs="Arial"/>
        </w:rPr>
        <w:t>)</w:t>
      </w:r>
      <w:r w:rsidRPr="00AE7DF5">
        <w:rPr>
          <w:rFonts w:cs="Arial"/>
        </w:rPr>
        <w:t xml:space="preserve"> Joint FAO/WHO Expert Committee on Food Additives (JECFA), 2008 Calcium lignosulfonate (40-65) Chemical and Technical Assessment Prepared by Toledo MCF and Kuznesof PM </w:t>
      </w:r>
      <w:hyperlink r:id="rId17" w:history="1">
        <w:r w:rsidRPr="00AE7DF5">
          <w:rPr>
            <w:rStyle w:val="Hyperlink"/>
            <w:rFonts w:cs="Arial"/>
            <w:color w:val="3333FF"/>
            <w:lang w:val="en-AU"/>
          </w:rPr>
          <w:t>http://www.fao.org/ag/agn/agns/jecfa/cta/69/Calcium_Lignosulfonate%20_40_65_CTA_69.pdf</w:t>
        </w:r>
      </w:hyperlink>
      <w:r w:rsidRPr="00AE7DF5">
        <w:rPr>
          <w:rStyle w:val="Hyperlink"/>
          <w:color w:val="3333FF"/>
          <w:lang w:val="en-AU"/>
        </w:rPr>
        <w:t xml:space="preserve">  </w:t>
      </w:r>
      <w:r w:rsidRPr="00AE7DF5">
        <w:rPr>
          <w:rFonts w:cs="Arial"/>
          <w:lang w:val="en-AU"/>
        </w:rPr>
        <w:t xml:space="preserve">Accessed on </w:t>
      </w:r>
      <w:r w:rsidR="00BE36F0">
        <w:rPr>
          <w:rFonts w:cs="Arial"/>
          <w:lang w:val="en-AU"/>
        </w:rPr>
        <w:t>31</w:t>
      </w:r>
      <w:r w:rsidRPr="00AE7DF5">
        <w:rPr>
          <w:rFonts w:cs="Arial"/>
          <w:lang w:val="en-AU"/>
        </w:rPr>
        <w:t xml:space="preserve"> </w:t>
      </w:r>
      <w:r w:rsidR="00BE36F0">
        <w:rPr>
          <w:rFonts w:cs="Arial"/>
          <w:lang w:val="en-AU"/>
        </w:rPr>
        <w:t>March</w:t>
      </w:r>
      <w:r w:rsidRPr="00AE7DF5">
        <w:rPr>
          <w:rFonts w:cs="Arial"/>
          <w:lang w:val="en-AU"/>
        </w:rPr>
        <w:t xml:space="preserve"> 201</w:t>
      </w:r>
      <w:r w:rsidR="00DC1764">
        <w:rPr>
          <w:rFonts w:cs="Arial"/>
          <w:lang w:val="en-AU"/>
        </w:rPr>
        <w:t>1</w:t>
      </w:r>
      <w:r w:rsidRPr="00AE7DF5">
        <w:rPr>
          <w:rFonts w:cs="Arial"/>
          <w:lang w:val="en-AU"/>
        </w:rPr>
        <w:t>.</w:t>
      </w:r>
    </w:p>
    <w:p w:rsidR="00FC53AC" w:rsidRPr="0011204A" w:rsidRDefault="00FC53AC" w:rsidP="00FC53AC">
      <w:pPr>
        <w:pStyle w:val="Header"/>
        <w:rPr>
          <w:rFonts w:cs="Arial"/>
          <w:sz w:val="20"/>
          <w:szCs w:val="20"/>
        </w:rPr>
      </w:pPr>
    </w:p>
    <w:p w:rsidR="00FC53AC" w:rsidRPr="0011204A" w:rsidRDefault="00FC53AC" w:rsidP="00FC53AC">
      <w:pPr>
        <w:pStyle w:val="FootnoteText"/>
        <w:rPr>
          <w:rFonts w:cs="Arial"/>
          <w:lang w:val="en-AU"/>
        </w:rPr>
      </w:pPr>
      <w:r w:rsidRPr="0011204A">
        <w:rPr>
          <w:rFonts w:cs="Arial"/>
        </w:rPr>
        <w:t xml:space="preserve">JECFA </w:t>
      </w:r>
      <w:r w:rsidR="0082697C">
        <w:rPr>
          <w:rFonts w:cs="Arial"/>
        </w:rPr>
        <w:t>(</w:t>
      </w:r>
      <w:r w:rsidRPr="0011204A">
        <w:rPr>
          <w:rFonts w:cs="Arial"/>
        </w:rPr>
        <w:t>2009</w:t>
      </w:r>
      <w:r w:rsidR="0082697C">
        <w:rPr>
          <w:rFonts w:cs="Arial"/>
        </w:rPr>
        <w:t>)</w:t>
      </w:r>
      <w:r w:rsidRPr="0011204A">
        <w:rPr>
          <w:rFonts w:cs="Arial"/>
        </w:rPr>
        <w:t xml:space="preserve"> Combined Compendium of Food Additive Specifications, Joint FAO/WHO Expert Committee on Food Additives (JECFA) </w:t>
      </w:r>
      <w:r w:rsidRPr="0011204A">
        <w:rPr>
          <w:rFonts w:cs="Arial"/>
          <w:lang w:val="en-AU"/>
        </w:rPr>
        <w:t>Monographs 7 (2009) Calcium lignosulfonate (40-65) Food and Agriculture Organisation of the United Nations, Rome</w:t>
      </w:r>
    </w:p>
    <w:p w:rsidR="00FC53AC" w:rsidRPr="0011204A" w:rsidRDefault="00FC53AC" w:rsidP="00FC53AC">
      <w:pPr>
        <w:pStyle w:val="FootnoteText"/>
        <w:rPr>
          <w:rFonts w:cs="Arial"/>
          <w:lang w:val="en-AU"/>
        </w:rPr>
      </w:pPr>
      <w:r w:rsidRPr="00AE7DF5">
        <w:rPr>
          <w:rStyle w:val="Hyperlink"/>
          <w:color w:val="3333FF"/>
        </w:rPr>
        <w:t xml:space="preserve"> </w:t>
      </w:r>
      <w:hyperlink r:id="rId18" w:history="1">
        <w:r w:rsidRPr="00AE7DF5">
          <w:rPr>
            <w:rStyle w:val="Hyperlink"/>
            <w:rFonts w:cs="Arial"/>
            <w:color w:val="3333FF"/>
            <w:lang w:val="en-AU"/>
          </w:rPr>
          <w:t>http://www.fao.org/ag/agn/jecfa-additives/specs/monograph7/additive-505-m7.pdf</w:t>
        </w:r>
      </w:hyperlink>
      <w:r w:rsidRPr="0011204A">
        <w:rPr>
          <w:rFonts w:cs="Arial"/>
          <w:lang w:val="en-AU"/>
        </w:rPr>
        <w:t xml:space="preserve"> Accessed on </w:t>
      </w:r>
      <w:r w:rsidR="00BE36F0">
        <w:rPr>
          <w:rFonts w:cs="Arial"/>
          <w:lang w:val="en-AU"/>
        </w:rPr>
        <w:t>31 March</w:t>
      </w:r>
      <w:r w:rsidRPr="0011204A">
        <w:rPr>
          <w:rFonts w:cs="Arial"/>
          <w:lang w:val="en-AU"/>
        </w:rPr>
        <w:t xml:space="preserve"> 201</w:t>
      </w:r>
      <w:r w:rsidR="00DC1764">
        <w:rPr>
          <w:rFonts w:cs="Arial"/>
          <w:lang w:val="en-AU"/>
        </w:rPr>
        <w:t>1</w:t>
      </w:r>
      <w:r w:rsidRPr="0011204A">
        <w:rPr>
          <w:rFonts w:cs="Arial"/>
          <w:lang w:val="en-AU"/>
        </w:rPr>
        <w:t>.</w:t>
      </w:r>
    </w:p>
    <w:p w:rsidR="00DE4DCC" w:rsidRDefault="00DE4DCC" w:rsidP="00FC53AC">
      <w:pPr>
        <w:pStyle w:val="Header"/>
        <w:rPr>
          <w:rFonts w:cs="Arial"/>
          <w:sz w:val="20"/>
          <w:szCs w:val="20"/>
        </w:rPr>
      </w:pPr>
    </w:p>
    <w:p w:rsidR="00DE4DCC" w:rsidRDefault="00A17E0B" w:rsidP="00FC53AC">
      <w:pPr>
        <w:pStyle w:val="Header"/>
        <w:rPr>
          <w:rFonts w:cs="Arial"/>
          <w:sz w:val="20"/>
          <w:szCs w:val="20"/>
        </w:rPr>
      </w:pPr>
      <w:r>
        <w:rPr>
          <w:rFonts w:cs="Arial"/>
          <w:sz w:val="20"/>
          <w:szCs w:val="20"/>
        </w:rPr>
        <w:t xml:space="preserve">Saariaho A-M (2004) Resonance Raman spectroscopy in the analysis of residual lignin and other unsaturated structures in chemical pulps. Doctor of Science (Technology), Helsinki University of Technology, Laboratory of Forest Products Chemistry, Reports, Series </w:t>
      </w:r>
      <w:proofErr w:type="gramStart"/>
      <w:r>
        <w:rPr>
          <w:rFonts w:cs="Arial"/>
          <w:sz w:val="20"/>
          <w:szCs w:val="20"/>
        </w:rPr>
        <w:t>A</w:t>
      </w:r>
      <w:proofErr w:type="gramEnd"/>
      <w:r>
        <w:rPr>
          <w:rFonts w:cs="Arial"/>
          <w:sz w:val="20"/>
          <w:szCs w:val="20"/>
        </w:rPr>
        <w:t xml:space="preserve"> 20 (received from the Applicant)</w:t>
      </w:r>
    </w:p>
    <w:p w:rsidR="00A17E0B" w:rsidRPr="0011204A" w:rsidRDefault="00A17E0B" w:rsidP="00FC53AC">
      <w:pPr>
        <w:pStyle w:val="Header"/>
        <w:rPr>
          <w:rFonts w:cs="Arial"/>
          <w:sz w:val="20"/>
          <w:szCs w:val="20"/>
        </w:rPr>
      </w:pPr>
    </w:p>
    <w:p w:rsidR="00FC53AC" w:rsidRPr="0011204A" w:rsidRDefault="00FC53AC" w:rsidP="00FC53AC">
      <w:pPr>
        <w:pStyle w:val="FootnoteText"/>
        <w:rPr>
          <w:rFonts w:cs="Arial"/>
          <w:lang w:val="en-AU"/>
        </w:rPr>
      </w:pPr>
      <w:proofErr w:type="gramStart"/>
      <w:r w:rsidRPr="0011204A">
        <w:rPr>
          <w:rFonts w:cs="Arial"/>
          <w:lang w:val="en-AU"/>
        </w:rPr>
        <w:t xml:space="preserve">WHO </w:t>
      </w:r>
      <w:r w:rsidR="0082697C">
        <w:rPr>
          <w:rFonts w:cs="Arial"/>
          <w:lang w:val="en-AU"/>
        </w:rPr>
        <w:t>(</w:t>
      </w:r>
      <w:r w:rsidRPr="0011204A">
        <w:rPr>
          <w:rFonts w:cs="Arial"/>
          <w:lang w:val="en-AU"/>
        </w:rPr>
        <w:t>2009</w:t>
      </w:r>
      <w:r w:rsidR="0082697C">
        <w:rPr>
          <w:rFonts w:cs="Arial"/>
          <w:lang w:val="en-AU"/>
        </w:rPr>
        <w:t>)</w:t>
      </w:r>
      <w:r w:rsidRPr="0011204A">
        <w:rPr>
          <w:rFonts w:cs="Arial"/>
          <w:lang w:val="en-AU"/>
        </w:rPr>
        <w:t xml:space="preserve"> Safety evaluation of certain food additives WHO Food Additives Series No. 60 Calcium Lignosulfonate (40-65) – Toxicological Monographs.</w:t>
      </w:r>
      <w:proofErr w:type="gramEnd"/>
      <w:r w:rsidRPr="0011204A">
        <w:rPr>
          <w:rFonts w:cs="Arial"/>
          <w:lang w:val="en-AU"/>
        </w:rPr>
        <w:t xml:space="preserve"> Report prepared by Munro IC and Baines J. </w:t>
      </w:r>
      <w:proofErr w:type="gramStart"/>
      <w:r w:rsidRPr="0011204A">
        <w:rPr>
          <w:rFonts w:cs="Arial"/>
          <w:lang w:val="en-AU"/>
        </w:rPr>
        <w:t>For the 69</w:t>
      </w:r>
      <w:r w:rsidRPr="0011204A">
        <w:rPr>
          <w:rFonts w:cs="Arial"/>
          <w:vertAlign w:val="superscript"/>
          <w:lang w:val="en-AU"/>
        </w:rPr>
        <w:t>th</w:t>
      </w:r>
      <w:r w:rsidRPr="0011204A">
        <w:rPr>
          <w:rFonts w:cs="Arial"/>
          <w:lang w:val="en-AU"/>
        </w:rPr>
        <w:t xml:space="preserve"> JECFA meeting</w:t>
      </w:r>
      <w:r w:rsidRPr="00AE7DF5">
        <w:rPr>
          <w:rStyle w:val="Hyperlink"/>
          <w:color w:val="3333FF"/>
        </w:rPr>
        <w:t>.</w:t>
      </w:r>
      <w:proofErr w:type="gramEnd"/>
      <w:r w:rsidRPr="00AE7DF5">
        <w:rPr>
          <w:rStyle w:val="Hyperlink"/>
          <w:color w:val="3333FF"/>
        </w:rPr>
        <w:t xml:space="preserve"> </w:t>
      </w:r>
      <w:proofErr w:type="gramStart"/>
      <w:r w:rsidR="009041E7" w:rsidRPr="009041E7">
        <w:rPr>
          <w:rStyle w:val="Hyperlink"/>
          <w:u w:val="none"/>
        </w:rPr>
        <w:t>pp15-37</w:t>
      </w:r>
      <w:proofErr w:type="gramEnd"/>
      <w:r w:rsidR="009041E7">
        <w:rPr>
          <w:rStyle w:val="Hyperlink"/>
          <w:color w:val="3333FF"/>
        </w:rPr>
        <w:t xml:space="preserve"> </w:t>
      </w:r>
      <w:hyperlink r:id="rId19" w:history="1">
        <w:r w:rsidRPr="00AE7DF5">
          <w:rPr>
            <w:rStyle w:val="Hyperlink"/>
            <w:rFonts w:cs="Arial"/>
            <w:color w:val="3333FF"/>
            <w:lang w:val="en-AU"/>
          </w:rPr>
          <w:t>http://whqlibdoc.who.int/publications/2009/9789241660600_eng.pdf</w:t>
        </w:r>
      </w:hyperlink>
      <w:r w:rsidRPr="0011204A">
        <w:rPr>
          <w:rFonts w:cs="Arial"/>
          <w:lang w:val="en-AU"/>
        </w:rPr>
        <w:t xml:space="preserve"> Accessed on </w:t>
      </w:r>
      <w:r w:rsidR="00BE36F0">
        <w:rPr>
          <w:rFonts w:cs="Arial"/>
          <w:lang w:val="en-AU"/>
        </w:rPr>
        <w:t>31 March</w:t>
      </w:r>
      <w:r w:rsidRPr="0011204A">
        <w:rPr>
          <w:rFonts w:cs="Arial"/>
          <w:lang w:val="en-AU"/>
        </w:rPr>
        <w:t xml:space="preserve"> 201</w:t>
      </w:r>
      <w:r w:rsidR="009041E7">
        <w:rPr>
          <w:rFonts w:cs="Arial"/>
          <w:lang w:val="en-AU"/>
        </w:rPr>
        <w:t>1</w:t>
      </w:r>
    </w:p>
    <w:p w:rsidR="00FC53AC" w:rsidRPr="00DC6570" w:rsidRDefault="00FC53AC" w:rsidP="00FC53AC">
      <w:pPr>
        <w:pStyle w:val="Header"/>
        <w:rPr>
          <w:rFonts w:cs="Arial"/>
        </w:rPr>
      </w:pPr>
    </w:p>
    <w:p w:rsidR="003C4969" w:rsidRPr="007602AA" w:rsidRDefault="003C4969">
      <w:pPr>
        <w:rPr>
          <w:rFonts w:ascii="Tahoma" w:hAnsi="Tahoma" w:cs="Tahoma"/>
          <w:b/>
          <w:bCs/>
          <w:sz w:val="28"/>
          <w:u w:val="single"/>
        </w:rPr>
      </w:pPr>
      <w:bookmarkStart w:id="121" w:name="_Toc11735643"/>
      <w:bookmarkStart w:id="122" w:name="_Toc29883130"/>
      <w:bookmarkStart w:id="123" w:name="_Toc41906817"/>
      <w:bookmarkStart w:id="124" w:name="_Toc41907564"/>
      <w:bookmarkStart w:id="125" w:name="_Toc43112360"/>
      <w:r w:rsidRPr="007602AA">
        <w:rPr>
          <w:rFonts w:ascii="Tahoma" w:hAnsi="Tahoma" w:cs="Tahoma"/>
          <w:b/>
          <w:bCs/>
          <w:sz w:val="28"/>
          <w:u w:val="single"/>
        </w:rPr>
        <w:t>ATTACHMENTS</w:t>
      </w:r>
      <w:bookmarkEnd w:id="121"/>
      <w:bookmarkEnd w:id="122"/>
      <w:bookmarkEnd w:id="123"/>
      <w:bookmarkEnd w:id="124"/>
      <w:bookmarkEnd w:id="125"/>
    </w:p>
    <w:p w:rsidR="003C4969" w:rsidRPr="00AD663D" w:rsidRDefault="003C4969">
      <w:pPr>
        <w:rPr>
          <w:rFonts w:cs="Arial"/>
        </w:rPr>
      </w:pPr>
    </w:p>
    <w:p w:rsidR="003C4969" w:rsidRPr="00AD663D" w:rsidRDefault="003C4969" w:rsidP="006A48A7">
      <w:pPr>
        <w:ind w:left="567" w:hanging="567"/>
      </w:pPr>
      <w:r w:rsidRPr="00AD663D">
        <w:t>1.</w:t>
      </w:r>
      <w:r w:rsidRPr="00AD663D">
        <w:tab/>
        <w:t>Draft variation</w:t>
      </w:r>
      <w:r w:rsidR="007E79F7" w:rsidRPr="00AD663D">
        <w:t>s</w:t>
      </w:r>
      <w:r w:rsidRPr="00AD663D">
        <w:t xml:space="preserve"> to the </w:t>
      </w:r>
      <w:r w:rsidRPr="00AD663D">
        <w:rPr>
          <w:i/>
        </w:rPr>
        <w:t>Australia New Zealand Food Standards Code</w:t>
      </w:r>
      <w:r w:rsidRPr="00AD663D">
        <w:t xml:space="preserve"> </w:t>
      </w:r>
    </w:p>
    <w:p w:rsidR="00BF7FF0" w:rsidRPr="00AD663D" w:rsidRDefault="003C4969" w:rsidP="00BF7FF0">
      <w:pPr>
        <w:ind w:left="567" w:hanging="567"/>
        <w:rPr>
          <w:rFonts w:cs="Arial"/>
        </w:rPr>
      </w:pPr>
      <w:r w:rsidRPr="00AD663D">
        <w:rPr>
          <w:rFonts w:cs="Arial"/>
        </w:rPr>
        <w:t>2.</w:t>
      </w:r>
      <w:r w:rsidRPr="00AD663D">
        <w:rPr>
          <w:rFonts w:cs="Arial"/>
        </w:rPr>
        <w:tab/>
      </w:r>
      <w:r w:rsidR="00BF7FF0" w:rsidRPr="00AD663D">
        <w:rPr>
          <w:rFonts w:cs="Arial"/>
        </w:rPr>
        <w:t xml:space="preserve">Summary of </w:t>
      </w:r>
      <w:r w:rsidR="00AD663D">
        <w:rPr>
          <w:rFonts w:cs="Arial"/>
        </w:rPr>
        <w:t>public submissions on the Assessment Report</w:t>
      </w:r>
      <w:r w:rsidR="00BF7FF0" w:rsidRPr="00AD663D">
        <w:rPr>
          <w:rFonts w:cs="Arial"/>
        </w:rPr>
        <w:t xml:space="preserve"> </w:t>
      </w:r>
    </w:p>
    <w:p w:rsidR="00D60568" w:rsidRPr="00AD663D" w:rsidRDefault="00B21DCC" w:rsidP="00AD663D">
      <w:pPr>
        <w:rPr>
          <w:rFonts w:cs="Arial"/>
          <w:b/>
        </w:rPr>
      </w:pPr>
      <w:r w:rsidRPr="00AD663D">
        <w:rPr>
          <w:rFonts w:cs="Arial"/>
          <w:b/>
        </w:rPr>
        <w:t xml:space="preserve"> </w:t>
      </w:r>
    </w:p>
    <w:p w:rsidR="003C4969" w:rsidRPr="00DC6570" w:rsidRDefault="003C4969">
      <w:pPr>
        <w:pStyle w:val="Heading2"/>
        <w:jc w:val="right"/>
        <w:rPr>
          <w:rFonts w:cs="Arial"/>
        </w:rPr>
      </w:pPr>
      <w:r w:rsidRPr="00DC2129">
        <w:br w:type="page"/>
      </w:r>
      <w:bookmarkStart w:id="126" w:name="_Toc29883131"/>
      <w:bookmarkStart w:id="127" w:name="_Toc41906818"/>
      <w:bookmarkStart w:id="128" w:name="_Toc41907565"/>
      <w:bookmarkStart w:id="129" w:name="_Toc120358596"/>
      <w:bookmarkStart w:id="130" w:name="_Toc288490782"/>
      <w:bookmarkStart w:id="131" w:name="_Toc11735644"/>
      <w:r w:rsidRPr="00DC6570">
        <w:rPr>
          <w:rFonts w:cs="Arial"/>
        </w:rPr>
        <w:lastRenderedPageBreak/>
        <w:t xml:space="preserve">Attachment </w:t>
      </w:r>
      <w:bookmarkEnd w:id="126"/>
      <w:bookmarkEnd w:id="127"/>
      <w:bookmarkEnd w:id="128"/>
      <w:r w:rsidRPr="00DC6570">
        <w:rPr>
          <w:rFonts w:cs="Arial"/>
        </w:rPr>
        <w:t>1</w:t>
      </w:r>
      <w:bookmarkEnd w:id="129"/>
      <w:bookmarkEnd w:id="130"/>
    </w:p>
    <w:p w:rsidR="003C4969" w:rsidRPr="00E11D82" w:rsidRDefault="003C4969" w:rsidP="00E11D82"/>
    <w:p w:rsidR="00311483" w:rsidRPr="00B731D0" w:rsidRDefault="00311483" w:rsidP="00311483">
      <w:pPr>
        <w:pStyle w:val="Heading2"/>
        <w:rPr>
          <w:rFonts w:cs="Arial"/>
        </w:rPr>
      </w:pPr>
      <w:bookmarkStart w:id="132" w:name="_Toc120358597"/>
      <w:bookmarkStart w:id="133" w:name="_Toc247508767"/>
      <w:bookmarkStart w:id="134" w:name="_Toc288490783"/>
      <w:bookmarkEnd w:id="131"/>
      <w:r w:rsidRPr="00B731D0">
        <w:rPr>
          <w:rFonts w:cs="Arial"/>
        </w:rPr>
        <w:t xml:space="preserve">Draft variation to the </w:t>
      </w:r>
      <w:r w:rsidRPr="00B731D0">
        <w:rPr>
          <w:rFonts w:cs="Arial"/>
          <w:i/>
          <w:iCs w:val="0"/>
        </w:rPr>
        <w:t>Australia New Zealand Food Standards Code</w:t>
      </w:r>
      <w:bookmarkEnd w:id="132"/>
      <w:bookmarkEnd w:id="133"/>
      <w:bookmarkEnd w:id="134"/>
    </w:p>
    <w:p w:rsidR="00311483" w:rsidRDefault="00311483" w:rsidP="00311483">
      <w:pPr>
        <w:jc w:val="center"/>
        <w:rPr>
          <w:rFonts w:cs="Arial"/>
          <w:i/>
        </w:rPr>
      </w:pPr>
    </w:p>
    <w:p w:rsidR="00311483" w:rsidRPr="00DC6570" w:rsidRDefault="00311483" w:rsidP="00311483">
      <w:pPr>
        <w:jc w:val="center"/>
        <w:rPr>
          <w:rFonts w:cs="Arial"/>
          <w:i/>
        </w:rPr>
      </w:pPr>
      <w:r w:rsidRPr="00DC6570">
        <w:rPr>
          <w:rFonts w:cs="Arial"/>
          <w:i/>
        </w:rPr>
        <w:t>S</w:t>
      </w:r>
      <w:r>
        <w:rPr>
          <w:rFonts w:cs="Arial"/>
          <w:i/>
        </w:rPr>
        <w:t>ubsection 94</w:t>
      </w:r>
      <w:r w:rsidRPr="00DC6570">
        <w:rPr>
          <w:rFonts w:cs="Arial"/>
          <w:i/>
        </w:rPr>
        <w:t xml:space="preserve"> of the FSANZ Act provides that standards or variations to standards are legislative instruments, but are not subject to disallowance or sunsetting</w:t>
      </w:r>
    </w:p>
    <w:p w:rsidR="00311483" w:rsidRDefault="00311483" w:rsidP="00311483">
      <w:pPr>
        <w:pStyle w:val="Clause"/>
        <w:rPr>
          <w:b/>
          <w:bCs/>
          <w:szCs w:val="22"/>
        </w:rPr>
      </w:pPr>
    </w:p>
    <w:p w:rsidR="00311483" w:rsidRPr="003A2383" w:rsidRDefault="00311483" w:rsidP="00311483">
      <w:r w:rsidRPr="003A2383">
        <w:rPr>
          <w:b/>
          <w:bCs/>
        </w:rPr>
        <w:t>To commence: on gazettal</w:t>
      </w:r>
    </w:p>
    <w:p w:rsidR="00311483" w:rsidRPr="003A2383" w:rsidRDefault="00311483" w:rsidP="00311483"/>
    <w:p w:rsidR="00311483" w:rsidRDefault="00311483" w:rsidP="00311483">
      <w:pPr>
        <w:pStyle w:val="Clause"/>
        <w:rPr>
          <w:i/>
          <w:iCs/>
        </w:rPr>
      </w:pPr>
      <w:r w:rsidRPr="00E94C5B">
        <w:rPr>
          <w:b/>
        </w:rPr>
        <w:t>[</w:t>
      </w:r>
      <w:r>
        <w:rPr>
          <w:b/>
        </w:rPr>
        <w:t>1</w:t>
      </w:r>
      <w:r w:rsidRPr="00E94C5B">
        <w:rPr>
          <w:b/>
        </w:rPr>
        <w:t>]</w:t>
      </w:r>
      <w:r>
        <w:tab/>
      </w:r>
      <w:r>
        <w:rPr>
          <w:b/>
          <w:bCs/>
          <w:i/>
          <w:iCs/>
        </w:rPr>
        <w:t>Standard 1.2</w:t>
      </w:r>
      <w:r w:rsidRPr="009D4E21">
        <w:rPr>
          <w:b/>
          <w:bCs/>
          <w:i/>
          <w:iCs/>
        </w:rPr>
        <w:t>.</w:t>
      </w:r>
      <w:r>
        <w:rPr>
          <w:b/>
          <w:bCs/>
          <w:i/>
          <w:iCs/>
        </w:rPr>
        <w:t>4</w:t>
      </w:r>
      <w:r w:rsidRPr="009D4E21">
        <w:rPr>
          <w:i/>
          <w:iCs/>
        </w:rPr>
        <w:t xml:space="preserve"> of the Australia New Zealand Food Standards Co</w:t>
      </w:r>
      <w:r>
        <w:rPr>
          <w:i/>
          <w:iCs/>
        </w:rPr>
        <w:t xml:space="preserve">de is varied by – </w:t>
      </w:r>
    </w:p>
    <w:p w:rsidR="00311483" w:rsidRDefault="00311483" w:rsidP="00311483">
      <w:pPr>
        <w:pStyle w:val="Clause"/>
        <w:rPr>
          <w:i/>
          <w:iCs/>
        </w:rPr>
      </w:pPr>
    </w:p>
    <w:p w:rsidR="00311483" w:rsidRDefault="00311483" w:rsidP="00311483">
      <w:pPr>
        <w:pStyle w:val="Clause"/>
        <w:rPr>
          <w:i/>
        </w:rPr>
      </w:pPr>
      <w:r>
        <w:t>[1.1]</w:t>
      </w:r>
      <w:r>
        <w:tab/>
      </w:r>
      <w:r>
        <w:rPr>
          <w:i/>
        </w:rPr>
        <w:t xml:space="preserve">inserting the following entry in alphabetical order into Part 1 of </w:t>
      </w:r>
      <w:r w:rsidRPr="00CD1832">
        <w:t>Schedule 2</w:t>
      </w:r>
      <w:r>
        <w:rPr>
          <w:i/>
        </w:rPr>
        <w:t xml:space="preserve"> – </w:t>
      </w:r>
    </w:p>
    <w:p w:rsidR="00311483" w:rsidRDefault="00311483" w:rsidP="00311483"/>
    <w:tbl>
      <w:tblPr>
        <w:tblW w:w="4111"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119"/>
        <w:gridCol w:w="992"/>
      </w:tblGrid>
      <w:tr w:rsidR="00311483" w:rsidTr="00500551">
        <w:tc>
          <w:tcPr>
            <w:tcW w:w="3119" w:type="dxa"/>
          </w:tcPr>
          <w:p w:rsidR="00311483" w:rsidRDefault="00311483" w:rsidP="00500551">
            <w:pPr>
              <w:pStyle w:val="Table2"/>
            </w:pPr>
            <w:r>
              <w:t>Calcium lignosulphonate (40-65)</w:t>
            </w:r>
          </w:p>
        </w:tc>
        <w:tc>
          <w:tcPr>
            <w:tcW w:w="992" w:type="dxa"/>
          </w:tcPr>
          <w:p w:rsidR="00311483" w:rsidRDefault="00311483" w:rsidP="00500551">
            <w:pPr>
              <w:pStyle w:val="Table2"/>
            </w:pPr>
            <w:r>
              <w:t>1522</w:t>
            </w:r>
          </w:p>
        </w:tc>
      </w:tr>
    </w:tbl>
    <w:p w:rsidR="00311483" w:rsidRDefault="00311483" w:rsidP="00311483"/>
    <w:p w:rsidR="00311483" w:rsidRDefault="00311483" w:rsidP="00311483">
      <w:pPr>
        <w:pStyle w:val="Clause"/>
        <w:rPr>
          <w:i/>
        </w:rPr>
      </w:pPr>
      <w:r>
        <w:t>[1.2]</w:t>
      </w:r>
      <w:r>
        <w:tab/>
      </w:r>
      <w:r>
        <w:rPr>
          <w:i/>
        </w:rPr>
        <w:t xml:space="preserve">inserting the following entry in numerical order into Part 2 of </w:t>
      </w:r>
      <w:r w:rsidRPr="00CD1832">
        <w:t>Schedule 2</w:t>
      </w:r>
      <w:r>
        <w:rPr>
          <w:i/>
        </w:rPr>
        <w:t xml:space="preserve"> – </w:t>
      </w:r>
    </w:p>
    <w:p w:rsidR="00311483" w:rsidRDefault="00311483" w:rsidP="00311483"/>
    <w:tbl>
      <w:tblPr>
        <w:tblW w:w="4111"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119"/>
        <w:gridCol w:w="992"/>
      </w:tblGrid>
      <w:tr w:rsidR="00311483" w:rsidTr="00500551">
        <w:tc>
          <w:tcPr>
            <w:tcW w:w="3119" w:type="dxa"/>
          </w:tcPr>
          <w:p w:rsidR="00311483" w:rsidRDefault="00311483" w:rsidP="00500551">
            <w:pPr>
              <w:pStyle w:val="Table2"/>
            </w:pPr>
            <w:r>
              <w:t>Calcium lignosulphonate (40-65)</w:t>
            </w:r>
          </w:p>
        </w:tc>
        <w:tc>
          <w:tcPr>
            <w:tcW w:w="992" w:type="dxa"/>
          </w:tcPr>
          <w:p w:rsidR="00311483" w:rsidRDefault="00311483" w:rsidP="00500551">
            <w:pPr>
              <w:pStyle w:val="Table2"/>
            </w:pPr>
            <w:r>
              <w:t>1522</w:t>
            </w:r>
          </w:p>
        </w:tc>
      </w:tr>
    </w:tbl>
    <w:p w:rsidR="00311483" w:rsidRPr="00E94C5B" w:rsidRDefault="00311483" w:rsidP="00311483"/>
    <w:p w:rsidR="00311483" w:rsidRPr="00E94C5B" w:rsidRDefault="00311483" w:rsidP="00311483">
      <w:pPr>
        <w:pStyle w:val="Clause"/>
        <w:rPr>
          <w:i/>
          <w:iCs/>
        </w:rPr>
      </w:pPr>
      <w:r>
        <w:rPr>
          <w:b/>
          <w:bCs/>
        </w:rPr>
        <w:t>[2</w:t>
      </w:r>
      <w:r w:rsidRPr="009D4E21">
        <w:rPr>
          <w:b/>
          <w:bCs/>
        </w:rPr>
        <w:t>]</w:t>
      </w:r>
      <w:r w:rsidRPr="009D4E21">
        <w:tab/>
      </w:r>
      <w:r w:rsidRPr="009D4E21">
        <w:rPr>
          <w:b/>
          <w:bCs/>
          <w:i/>
          <w:iCs/>
        </w:rPr>
        <w:t>Standard 1.3.</w:t>
      </w:r>
      <w:r>
        <w:rPr>
          <w:b/>
          <w:bCs/>
          <w:i/>
          <w:iCs/>
        </w:rPr>
        <w:t>1</w:t>
      </w:r>
      <w:r w:rsidRPr="009D4E21">
        <w:rPr>
          <w:i/>
          <w:iCs/>
        </w:rPr>
        <w:t xml:space="preserve"> of the Australia New Zealand Food Standards Co</w:t>
      </w:r>
      <w:r>
        <w:rPr>
          <w:i/>
          <w:iCs/>
        </w:rPr>
        <w:t>de is varied by inserting in</w:t>
      </w:r>
      <w:r w:rsidRPr="009D4E21">
        <w:rPr>
          <w:i/>
          <w:iCs/>
        </w:rPr>
        <w:t xml:space="preserve"> </w:t>
      </w:r>
      <w:r>
        <w:rPr>
          <w:i/>
          <w:iCs/>
        </w:rPr>
        <w:t xml:space="preserve">column 1 and 2 respectively in each of the listings in </w:t>
      </w:r>
      <w:r w:rsidRPr="00E94C5B">
        <w:rPr>
          <w:iCs/>
        </w:rPr>
        <w:t xml:space="preserve">Schedule </w:t>
      </w:r>
      <w:r w:rsidRPr="00E94C5B">
        <w:t>2</w:t>
      </w:r>
      <w:r>
        <w:t xml:space="preserve"> </w:t>
      </w:r>
      <w:r w:rsidRPr="0052113A">
        <w:rPr>
          <w:i/>
        </w:rPr>
        <w:t>(Alphabetical Order and Numeric Order)</w:t>
      </w:r>
      <w:r>
        <w:rPr>
          <w:i/>
        </w:rPr>
        <w:t xml:space="preserve"> </w:t>
      </w:r>
      <w:r>
        <w:rPr>
          <w:i/>
          <w:iCs/>
        </w:rPr>
        <w:t>–</w:t>
      </w:r>
    </w:p>
    <w:p w:rsidR="00311483" w:rsidRDefault="00311483" w:rsidP="00311483">
      <w:pPr>
        <w:pStyle w:val="Table2"/>
      </w:pPr>
    </w:p>
    <w:tbl>
      <w:tblPr>
        <w:tblW w:w="9072" w:type="dxa"/>
        <w:tblLayout w:type="fixed"/>
        <w:tblCellMar>
          <w:left w:w="80" w:type="dxa"/>
          <w:right w:w="80" w:type="dxa"/>
        </w:tblCellMar>
        <w:tblLook w:val="0000" w:firstRow="0" w:lastRow="0" w:firstColumn="0" w:lastColumn="0" w:noHBand="0" w:noVBand="0"/>
      </w:tblPr>
      <w:tblGrid>
        <w:gridCol w:w="2431"/>
        <w:gridCol w:w="6641"/>
      </w:tblGrid>
      <w:tr w:rsidR="00311483" w:rsidTr="00500551">
        <w:tc>
          <w:tcPr>
            <w:tcW w:w="2431" w:type="dxa"/>
          </w:tcPr>
          <w:p w:rsidR="00311483" w:rsidRPr="0011204A" w:rsidRDefault="00EB5F9A" w:rsidP="00500551">
            <w:pPr>
              <w:pStyle w:val="Table2"/>
            </w:pPr>
            <w:r>
              <w:t>1</w:t>
            </w:r>
            <w:r w:rsidR="00311483" w:rsidRPr="0011204A">
              <w:t>522</w:t>
            </w:r>
          </w:p>
        </w:tc>
        <w:tc>
          <w:tcPr>
            <w:tcW w:w="6641" w:type="dxa"/>
          </w:tcPr>
          <w:p w:rsidR="00311483" w:rsidRPr="0011204A" w:rsidRDefault="00311483" w:rsidP="00500551">
            <w:pPr>
              <w:pStyle w:val="Table2"/>
            </w:pPr>
            <w:r w:rsidRPr="0011204A">
              <w:t>Calcium lignosulphonate (40-65)</w:t>
            </w:r>
          </w:p>
        </w:tc>
      </w:tr>
    </w:tbl>
    <w:p w:rsidR="00311483" w:rsidRDefault="00311483" w:rsidP="00311483"/>
    <w:p w:rsidR="003C4969" w:rsidRPr="00DC6570" w:rsidRDefault="003C4969">
      <w:pPr>
        <w:pStyle w:val="Heading2"/>
        <w:jc w:val="right"/>
        <w:rPr>
          <w:rFonts w:cs="Arial"/>
        </w:rPr>
      </w:pPr>
      <w:r w:rsidRPr="00DC6570">
        <w:rPr>
          <w:rFonts w:cs="Arial"/>
        </w:rPr>
        <w:br w:type="page"/>
      </w:r>
      <w:bookmarkStart w:id="135" w:name="_Toc120358598"/>
      <w:bookmarkStart w:id="136" w:name="_Toc288490784"/>
      <w:r w:rsidRPr="00DC6570">
        <w:rPr>
          <w:rFonts w:cs="Arial"/>
        </w:rPr>
        <w:lastRenderedPageBreak/>
        <w:t>Attachment 2</w:t>
      </w:r>
      <w:bookmarkEnd w:id="135"/>
      <w:bookmarkEnd w:id="136"/>
    </w:p>
    <w:p w:rsidR="003C4969" w:rsidRPr="00DC2129" w:rsidRDefault="003C4969" w:rsidP="00DC2129"/>
    <w:p w:rsidR="003C4969" w:rsidRPr="00DC6570" w:rsidRDefault="00F52C45" w:rsidP="00F52C45">
      <w:pPr>
        <w:pStyle w:val="Heading2"/>
        <w:rPr>
          <w:rFonts w:cs="Arial"/>
        </w:rPr>
      </w:pPr>
      <w:bookmarkStart w:id="137" w:name="_Toc288490785"/>
      <w:r>
        <w:rPr>
          <w:rFonts w:cs="Arial"/>
        </w:rPr>
        <w:t>Summary of Public Submissions on the Assessment Report</w:t>
      </w:r>
      <w:bookmarkEnd w:id="137"/>
    </w:p>
    <w:p w:rsidR="003C4969" w:rsidRDefault="003C4969"/>
    <w:p w:rsidR="0066339E" w:rsidRDefault="00BF019A">
      <w:r>
        <w:t>Five</w:t>
      </w:r>
      <w:r w:rsidR="00F52C45">
        <w:t xml:space="preserve"> submissions were received during the public consultation </w:t>
      </w:r>
      <w:r w:rsidR="0066339E">
        <w:t>period for the Assessment Report.</w:t>
      </w:r>
      <w:r w:rsidR="00582848">
        <w:t xml:space="preserve"> </w:t>
      </w:r>
      <w:r>
        <w:t>Four submissions were received from jurisdictions, while one was received from an industry association.</w:t>
      </w:r>
    </w:p>
    <w:p w:rsidR="0066339E" w:rsidRDefault="0066339E"/>
    <w:p w:rsidR="0066339E" w:rsidRDefault="0066339E">
      <w:r>
        <w:t>A summary of the submissions is provided in the Table below</w:t>
      </w:r>
      <w:r w:rsidR="00500551">
        <w:t>, noting that the two options are:</w:t>
      </w:r>
    </w:p>
    <w:p w:rsidR="0066339E" w:rsidRDefault="0066339E"/>
    <w:p w:rsidR="00500551" w:rsidRDefault="00500551" w:rsidP="00500551">
      <w:pPr>
        <w:pStyle w:val="Header"/>
        <w:rPr>
          <w:rFonts w:cs="Arial"/>
          <w:lang w:val="en-AU"/>
        </w:rPr>
      </w:pPr>
      <w:r>
        <w:rPr>
          <w:rFonts w:cs="Arial"/>
          <w:b/>
          <w:i/>
          <w:lang w:val="en-AU"/>
        </w:rPr>
        <w:t>Option 1</w:t>
      </w:r>
      <w:r>
        <w:rPr>
          <w:rFonts w:cs="Arial"/>
          <w:b/>
          <w:i/>
          <w:lang w:val="en-AU"/>
        </w:rPr>
        <w:tab/>
      </w:r>
      <w:r>
        <w:rPr>
          <w:rFonts w:cs="Arial"/>
          <w:lang w:val="en-AU"/>
        </w:rPr>
        <w:t>Reject the Application</w:t>
      </w:r>
    </w:p>
    <w:p w:rsidR="00500551" w:rsidRDefault="00500551" w:rsidP="00500551">
      <w:pPr>
        <w:pStyle w:val="Header"/>
        <w:rPr>
          <w:rFonts w:cs="Arial"/>
          <w:lang w:val="en-AU"/>
        </w:rPr>
      </w:pPr>
    </w:p>
    <w:p w:rsidR="00500551" w:rsidRDefault="00500551" w:rsidP="00500551">
      <w:pPr>
        <w:pStyle w:val="Header"/>
        <w:ind w:left="1134" w:hanging="1134"/>
        <w:rPr>
          <w:rFonts w:cs="Arial"/>
          <w:lang w:val="en-AU"/>
        </w:rPr>
      </w:pPr>
      <w:r w:rsidRPr="00253BC5">
        <w:rPr>
          <w:rFonts w:cs="Arial"/>
          <w:b/>
          <w:i/>
          <w:lang w:val="en-AU"/>
        </w:rPr>
        <w:t>Option 2</w:t>
      </w:r>
      <w:r>
        <w:rPr>
          <w:rFonts w:cs="Arial"/>
          <w:b/>
          <w:i/>
          <w:lang w:val="en-AU"/>
        </w:rPr>
        <w:tab/>
      </w:r>
      <w:r>
        <w:rPr>
          <w:rFonts w:cs="Arial"/>
          <w:lang w:val="en-AU"/>
        </w:rPr>
        <w:t xml:space="preserve">Approve the Application and permit the use of </w:t>
      </w:r>
      <w:r w:rsidRPr="00253BC5">
        <w:rPr>
          <w:rFonts w:cs="Arial"/>
          <w:lang w:val="en-AU"/>
        </w:rPr>
        <w:t xml:space="preserve">calcium </w:t>
      </w:r>
      <w:r>
        <w:rPr>
          <w:rFonts w:cs="Arial"/>
          <w:lang w:val="en-AU"/>
        </w:rPr>
        <w:t>lignosulphonate</w:t>
      </w:r>
      <w:r w:rsidRPr="00253BC5">
        <w:rPr>
          <w:rFonts w:cs="Arial"/>
          <w:lang w:val="en-AU"/>
        </w:rPr>
        <w:t xml:space="preserve"> (40-65) </w:t>
      </w:r>
      <w:r>
        <w:rPr>
          <w:rFonts w:cs="Arial"/>
          <w:lang w:val="en-AU"/>
        </w:rPr>
        <w:t xml:space="preserve">as a food additive </w:t>
      </w:r>
    </w:p>
    <w:p w:rsidR="00500551" w:rsidRDefault="00500551"/>
    <w:p w:rsidR="0066339E" w:rsidRDefault="0066339E" w:rsidP="0066339E">
      <w:pPr>
        <w:pStyle w:val="FSTableTitle"/>
      </w:pPr>
      <w:r>
        <w:t>Table:  Summary of Submissions</w:t>
      </w:r>
    </w:p>
    <w:p w:rsidR="0066339E" w:rsidRDefault="0066339E" w:rsidP="0066339E">
      <w:pPr>
        <w:pStyle w:val="Header"/>
        <w:rPr>
          <w:rFonts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229"/>
      </w:tblGrid>
      <w:tr w:rsidR="00500551" w:rsidRPr="00C12502" w:rsidTr="00EB5F9A">
        <w:trPr>
          <w:cantSplit/>
          <w:tblHeader/>
        </w:trPr>
        <w:tc>
          <w:tcPr>
            <w:tcW w:w="2235" w:type="dxa"/>
            <w:shd w:val="clear" w:color="auto" w:fill="D6E3BC" w:themeFill="accent3" w:themeFillTint="66"/>
          </w:tcPr>
          <w:p w:rsidR="00500551" w:rsidRDefault="00500551" w:rsidP="0066339E">
            <w:pPr>
              <w:pStyle w:val="FSTableHeading"/>
            </w:pPr>
            <w:r>
              <w:t>Submitter</w:t>
            </w:r>
          </w:p>
          <w:p w:rsidR="00EB5F9A" w:rsidRPr="00E777EC" w:rsidRDefault="00EB5F9A" w:rsidP="0066339E">
            <w:pPr>
              <w:pStyle w:val="FSTableHeading"/>
            </w:pPr>
          </w:p>
        </w:tc>
        <w:tc>
          <w:tcPr>
            <w:tcW w:w="7229" w:type="dxa"/>
            <w:shd w:val="clear" w:color="auto" w:fill="D6E3BC" w:themeFill="accent3" w:themeFillTint="66"/>
          </w:tcPr>
          <w:p w:rsidR="00500551" w:rsidRPr="00E777EC" w:rsidRDefault="00500551" w:rsidP="0066339E">
            <w:pPr>
              <w:pStyle w:val="FSTableHeading"/>
            </w:pPr>
            <w:r>
              <w:t>Comments</w:t>
            </w:r>
          </w:p>
        </w:tc>
      </w:tr>
      <w:tr w:rsidR="00500551" w:rsidRPr="00C12502" w:rsidTr="00500551">
        <w:tc>
          <w:tcPr>
            <w:tcW w:w="2235" w:type="dxa"/>
          </w:tcPr>
          <w:p w:rsidR="00500551" w:rsidRPr="00E777EC" w:rsidRDefault="00500551" w:rsidP="00500551">
            <w:pPr>
              <w:pStyle w:val="FSTableText"/>
            </w:pPr>
            <w:r>
              <w:t>Food Technology Association of Australia</w:t>
            </w:r>
          </w:p>
        </w:tc>
        <w:tc>
          <w:tcPr>
            <w:tcW w:w="7229" w:type="dxa"/>
          </w:tcPr>
          <w:p w:rsidR="00500551" w:rsidRDefault="00500551" w:rsidP="0066339E">
            <w:pPr>
              <w:pStyle w:val="FSTableText"/>
            </w:pPr>
            <w:r>
              <w:t>Supports option 2.</w:t>
            </w:r>
          </w:p>
          <w:p w:rsidR="00500551" w:rsidRPr="00E777EC" w:rsidRDefault="00500551" w:rsidP="0066339E">
            <w:pPr>
              <w:pStyle w:val="FSTableText"/>
            </w:pPr>
          </w:p>
        </w:tc>
      </w:tr>
      <w:tr w:rsidR="00500551" w:rsidRPr="00C12502" w:rsidTr="00500551">
        <w:tc>
          <w:tcPr>
            <w:tcW w:w="2235" w:type="dxa"/>
          </w:tcPr>
          <w:p w:rsidR="00500551" w:rsidRDefault="00500551" w:rsidP="0066339E">
            <w:pPr>
              <w:pStyle w:val="FSTableText"/>
            </w:pPr>
            <w:r>
              <w:t>The Ministry of Agriculture and Forestry (MAF) (New Zealand)</w:t>
            </w:r>
          </w:p>
        </w:tc>
        <w:tc>
          <w:tcPr>
            <w:tcW w:w="7229" w:type="dxa"/>
          </w:tcPr>
          <w:p w:rsidR="00500551" w:rsidRDefault="00500551" w:rsidP="00500551">
            <w:pPr>
              <w:pStyle w:val="FSTableText"/>
            </w:pPr>
            <w:r>
              <w:t xml:space="preserve">Supports option 2. It is satisfied use of the substance is technologically justified and no public health or safety concerns (including nutritional) were identified. </w:t>
            </w:r>
          </w:p>
        </w:tc>
      </w:tr>
      <w:tr w:rsidR="00500551" w:rsidRPr="00C12502" w:rsidTr="00500551">
        <w:tc>
          <w:tcPr>
            <w:tcW w:w="2235" w:type="dxa"/>
          </w:tcPr>
          <w:p w:rsidR="00500551" w:rsidRDefault="00500551" w:rsidP="0066339E">
            <w:pPr>
              <w:pStyle w:val="FSTableText"/>
            </w:pPr>
            <w:r>
              <w:t>South Australia Health</w:t>
            </w:r>
          </w:p>
        </w:tc>
        <w:tc>
          <w:tcPr>
            <w:tcW w:w="7229" w:type="dxa"/>
          </w:tcPr>
          <w:p w:rsidR="00500551" w:rsidRDefault="00500551" w:rsidP="00BC4D7B">
            <w:pPr>
              <w:pStyle w:val="FSTableText"/>
            </w:pPr>
            <w:r>
              <w:t>Supports option 2. However, it has some queries.</w:t>
            </w:r>
          </w:p>
          <w:p w:rsidR="00500551" w:rsidRDefault="00500551" w:rsidP="00BC4D7B">
            <w:pPr>
              <w:pStyle w:val="FSTableText"/>
            </w:pPr>
          </w:p>
          <w:p w:rsidR="00500551" w:rsidRPr="00534088" w:rsidRDefault="00500551" w:rsidP="00BC4D7B">
            <w:pPr>
              <w:pStyle w:val="FSTableText"/>
              <w:rPr>
                <w:i/>
              </w:rPr>
            </w:pPr>
            <w:r>
              <w:rPr>
                <w:i/>
              </w:rPr>
              <w:t>Technological Function</w:t>
            </w:r>
          </w:p>
          <w:p w:rsidR="00500551" w:rsidRDefault="00500551" w:rsidP="00BC4D7B">
            <w:pPr>
              <w:pStyle w:val="FSTableText"/>
            </w:pPr>
            <w:r>
              <w:t>It questions whether the substance should be more appropriately classified (and hence regulated) as a processing aid (as a carrier) than as a food additive.</w:t>
            </w:r>
          </w:p>
          <w:p w:rsidR="00500551" w:rsidRDefault="00500551" w:rsidP="00BC4D7B">
            <w:pPr>
              <w:pStyle w:val="FSTableText"/>
            </w:pPr>
          </w:p>
          <w:p w:rsidR="00500551" w:rsidRDefault="00500551" w:rsidP="00BC4D7B">
            <w:pPr>
              <w:pStyle w:val="FSTableText"/>
            </w:pPr>
            <w:r>
              <w:t>The Codex Committee on Food Additives classifies the substance as a food additive with functional class of carrier and encapsulating agent. The Code does not have a food additive functional class of carrier and hence carriers are regulated in the Code as processing aids.</w:t>
            </w:r>
          </w:p>
          <w:p w:rsidR="00500551" w:rsidRDefault="00500551" w:rsidP="00BC4D7B">
            <w:pPr>
              <w:pStyle w:val="FSTableText"/>
            </w:pPr>
          </w:p>
          <w:p w:rsidR="00500551" w:rsidRDefault="00500551" w:rsidP="00534088">
            <w:pPr>
              <w:pStyle w:val="FSTableText"/>
            </w:pPr>
            <w:r>
              <w:t>It states that the function the substance performs does not meet the technological function of an emulsifier (Schedule 5 of Standard 1.3.1) nor does it have any technological function in the final food as required for a food additive.</w:t>
            </w:r>
          </w:p>
          <w:p w:rsidR="00500551" w:rsidRDefault="00500551" w:rsidP="00534088">
            <w:pPr>
              <w:pStyle w:val="FSTableText"/>
            </w:pPr>
          </w:p>
          <w:p w:rsidR="00500551" w:rsidRDefault="00500551" w:rsidP="00534088">
            <w:pPr>
              <w:pStyle w:val="FSTableText"/>
              <w:rPr>
                <w:i/>
              </w:rPr>
            </w:pPr>
            <w:r>
              <w:rPr>
                <w:i/>
              </w:rPr>
              <w:t>Labelling</w:t>
            </w:r>
          </w:p>
          <w:p w:rsidR="00500551" w:rsidRDefault="00500551" w:rsidP="00534088">
            <w:pPr>
              <w:pStyle w:val="FSTableText"/>
            </w:pPr>
            <w:r>
              <w:t>If FSANZ concludes it is a food additive it would be required to be listed in the label of foods. It suggests adding the number (40-65) at the end of the name could be confusing for consumers as it could be misinterpreted as a food additive number. It suggests a simpler name would be ‘</w:t>
            </w:r>
            <w:r w:rsidRPr="003B4C62">
              <w:t>calcium lignosul</w:t>
            </w:r>
            <w:r>
              <w:t xml:space="preserve">phonate’. </w:t>
            </w:r>
          </w:p>
          <w:p w:rsidR="00500551" w:rsidRPr="00534088" w:rsidRDefault="00500551" w:rsidP="00534088">
            <w:pPr>
              <w:pStyle w:val="FSTableText"/>
            </w:pPr>
          </w:p>
          <w:p w:rsidR="00500551" w:rsidRDefault="00500551" w:rsidP="00500551">
            <w:pPr>
              <w:pStyle w:val="FSTableText"/>
              <w:keepNext/>
              <w:keepLines/>
              <w:widowControl/>
              <w:rPr>
                <w:i/>
              </w:rPr>
            </w:pPr>
            <w:r>
              <w:rPr>
                <w:i/>
              </w:rPr>
              <w:t>Nutritional Issues</w:t>
            </w:r>
          </w:p>
          <w:p w:rsidR="00500551" w:rsidRPr="00534088" w:rsidRDefault="00500551" w:rsidP="00500551">
            <w:pPr>
              <w:pStyle w:val="FSTableText"/>
              <w:keepNext/>
              <w:keepLines/>
              <w:widowControl/>
            </w:pPr>
            <w:r>
              <w:t xml:space="preserve">It notes that the nutritional section of the Report concludes there will be the same gastrointestinal absorption of nutrients (in particular vitamin A) as other delivery agents. However, it questions whether use of the substance increases the absorption of these vitamins, which potentially raises the possibility of vitamin A toxicity in vulnerable consumers. </w:t>
            </w:r>
          </w:p>
        </w:tc>
      </w:tr>
      <w:tr w:rsidR="00500551" w:rsidRPr="00C12502" w:rsidTr="00500551">
        <w:tc>
          <w:tcPr>
            <w:tcW w:w="2235" w:type="dxa"/>
          </w:tcPr>
          <w:p w:rsidR="00500551" w:rsidRDefault="00500551" w:rsidP="00582848">
            <w:pPr>
              <w:pStyle w:val="FSTableText"/>
              <w:keepNext/>
              <w:keepLines/>
              <w:widowControl/>
            </w:pPr>
            <w:r>
              <w:lastRenderedPageBreak/>
              <w:t>Queensland Health</w:t>
            </w:r>
          </w:p>
        </w:tc>
        <w:tc>
          <w:tcPr>
            <w:tcW w:w="7229" w:type="dxa"/>
          </w:tcPr>
          <w:p w:rsidR="00500551" w:rsidRDefault="00582848" w:rsidP="00582848">
            <w:pPr>
              <w:pStyle w:val="FSTableText"/>
              <w:keepNext/>
              <w:keepLines/>
              <w:widowControl/>
            </w:pPr>
            <w:r>
              <w:t>No option indicated</w:t>
            </w:r>
            <w:r w:rsidR="00500551">
              <w:t>.</w:t>
            </w:r>
          </w:p>
          <w:p w:rsidR="00582848" w:rsidRDefault="00582848" w:rsidP="00582848">
            <w:pPr>
              <w:pStyle w:val="FSTableText"/>
              <w:keepNext/>
              <w:keepLines/>
              <w:widowControl/>
            </w:pPr>
          </w:p>
          <w:p w:rsidR="00500551" w:rsidRDefault="00500551" w:rsidP="00582848">
            <w:pPr>
              <w:pStyle w:val="FSTableText"/>
              <w:keepNext/>
              <w:keepLines/>
              <w:widowControl/>
            </w:pPr>
            <w:r>
              <w:t>It di</w:t>
            </w:r>
            <w:r w:rsidR="00582848">
              <w:t xml:space="preserve">sagrees with FSANZ’s assessment, </w:t>
            </w:r>
            <w:r w:rsidR="00F0246E">
              <w:t>indicating</w:t>
            </w:r>
            <w:r w:rsidR="00582848">
              <w:t xml:space="preserve"> it is highly appropriate and necessary </w:t>
            </w:r>
            <w:r>
              <w:t xml:space="preserve">that an analytical method </w:t>
            </w:r>
            <w:r w:rsidR="00582848">
              <w:t xml:space="preserve">is available </w:t>
            </w:r>
            <w:r>
              <w:t xml:space="preserve">for the presence </w:t>
            </w:r>
            <w:r w:rsidR="00582848">
              <w:t xml:space="preserve">of the food additive </w:t>
            </w:r>
            <w:r>
              <w:t>in food.</w:t>
            </w:r>
          </w:p>
          <w:p w:rsidR="00582848" w:rsidRDefault="00582848" w:rsidP="00582848">
            <w:pPr>
              <w:pStyle w:val="FSTableText"/>
              <w:keepNext/>
              <w:keepLines/>
              <w:widowControl/>
            </w:pPr>
          </w:p>
          <w:p w:rsidR="00500551" w:rsidRDefault="00500551" w:rsidP="00582848">
            <w:pPr>
              <w:pStyle w:val="FSTableText"/>
              <w:keepNext/>
              <w:keepLines/>
              <w:widowControl/>
            </w:pPr>
            <w:r>
              <w:t>It notes that there does not appear to be any current approval for the use of the food additive in any other country.</w:t>
            </w:r>
          </w:p>
        </w:tc>
      </w:tr>
      <w:tr w:rsidR="00500551" w:rsidRPr="00C12502" w:rsidTr="00500551">
        <w:tc>
          <w:tcPr>
            <w:tcW w:w="2235" w:type="dxa"/>
          </w:tcPr>
          <w:p w:rsidR="00500551" w:rsidRDefault="00500551" w:rsidP="00FB08D9">
            <w:pPr>
              <w:pStyle w:val="FSTableText"/>
            </w:pPr>
            <w:r>
              <w:t>Victorian Department of Health</w:t>
            </w:r>
          </w:p>
        </w:tc>
        <w:tc>
          <w:tcPr>
            <w:tcW w:w="7229" w:type="dxa"/>
          </w:tcPr>
          <w:p w:rsidR="00500551" w:rsidRDefault="00582848" w:rsidP="00FB08D9">
            <w:pPr>
              <w:pStyle w:val="FSTableText"/>
            </w:pPr>
            <w:r>
              <w:t>Supports option 2</w:t>
            </w:r>
            <w:r w:rsidR="00500551">
              <w:t>.</w:t>
            </w:r>
          </w:p>
        </w:tc>
      </w:tr>
    </w:tbl>
    <w:p w:rsidR="0066339E" w:rsidRDefault="0066339E" w:rsidP="0066339E">
      <w:pPr>
        <w:pStyle w:val="Header"/>
        <w:rPr>
          <w:rFonts w:cs="Arial"/>
        </w:rPr>
      </w:pPr>
    </w:p>
    <w:p w:rsidR="0066339E" w:rsidRDefault="0066339E" w:rsidP="0066339E"/>
    <w:sectPr w:rsidR="0066339E" w:rsidSect="002C50AB">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31F" w:rsidRDefault="0068631F">
      <w:r>
        <w:separator/>
      </w:r>
    </w:p>
  </w:endnote>
  <w:endnote w:type="continuationSeparator" w:id="0">
    <w:p w:rsidR="0068631F" w:rsidRDefault="00686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31F" w:rsidRDefault="0068631F"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8631F" w:rsidRDefault="006863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31F" w:rsidRDefault="0068631F"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4C78">
      <w:rPr>
        <w:rStyle w:val="PageNumber"/>
        <w:noProof/>
      </w:rPr>
      <w:t>ii</w:t>
    </w:r>
    <w:r>
      <w:rPr>
        <w:rStyle w:val="PageNumber"/>
      </w:rPr>
      <w:fldChar w:fldCharType="end"/>
    </w:r>
  </w:p>
  <w:p w:rsidR="0068631F" w:rsidRDefault="0068631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31F" w:rsidRDefault="0068631F">
      <w:r>
        <w:separator/>
      </w:r>
    </w:p>
  </w:footnote>
  <w:footnote w:type="continuationSeparator" w:id="0">
    <w:p w:rsidR="0068631F" w:rsidRDefault="0068631F">
      <w:r>
        <w:continuationSeparator/>
      </w:r>
    </w:p>
  </w:footnote>
  <w:footnote w:id="1">
    <w:p w:rsidR="0068631F" w:rsidRPr="008F588C" w:rsidRDefault="0068631F">
      <w:pPr>
        <w:pStyle w:val="FootnoteText"/>
        <w:rPr>
          <w:lang w:val="en-AU"/>
        </w:rPr>
      </w:pPr>
      <w:r>
        <w:rPr>
          <w:rStyle w:val="FootnoteReference"/>
        </w:rPr>
        <w:footnoteRef/>
      </w:r>
      <w:r>
        <w:t xml:space="preserve"> </w:t>
      </w:r>
      <w:r>
        <w:rPr>
          <w:lang w:val="en-AU"/>
        </w:rPr>
        <w:t xml:space="preserve">Purpose statement for food additive in Standard 1.3.1 is: A food additive is ... intentionally added to a food to achieve one or more of the technological functions specified in Schedule 5. </w:t>
      </w:r>
    </w:p>
  </w:footnote>
  <w:footnote w:id="2">
    <w:p w:rsidR="0068631F" w:rsidRPr="008F588C" w:rsidRDefault="0068631F">
      <w:pPr>
        <w:pStyle w:val="FootnoteText"/>
        <w:rPr>
          <w:lang w:val="en-AU"/>
        </w:rPr>
      </w:pPr>
      <w:r>
        <w:rPr>
          <w:rStyle w:val="FootnoteReference"/>
        </w:rPr>
        <w:footnoteRef/>
      </w:r>
      <w:r>
        <w:t xml:space="preserve"> </w:t>
      </w:r>
      <w:r>
        <w:rPr>
          <w:lang w:val="en-AU"/>
        </w:rPr>
        <w:t xml:space="preserve">Processing aid definition from Standard 1.3.3 contains the following: to fulfil a technological purpose relating to treatment or processing, but does not perform a technological function in the final food. </w:t>
      </w:r>
    </w:p>
  </w:footnote>
  <w:footnote w:id="3">
    <w:p w:rsidR="0068631F" w:rsidRPr="00A84F48" w:rsidRDefault="0068631F" w:rsidP="0094602A">
      <w:pPr>
        <w:pStyle w:val="FootnoteText"/>
      </w:pPr>
      <w:r>
        <w:rPr>
          <w:rStyle w:val="FootnoteReference"/>
        </w:rPr>
        <w:footnoteRef/>
      </w:r>
      <w:r>
        <w:t xml:space="preserve"> </w:t>
      </w:r>
      <w:hyperlink r:id="rId1" w:history="1">
        <w:r w:rsidRPr="00E52302">
          <w:rPr>
            <w:rStyle w:val="Hyperlink"/>
            <w:color w:val="3333FF"/>
          </w:rPr>
          <w:t>http://www.health.gov.au/internet/main/publishing.nsf/content/foodsecretariat-isc.htm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31F" w:rsidRDefault="0068631F">
    <w:pPr>
      <w:pStyle w:val="Header"/>
      <w:jc w:val="center"/>
      <w:rPr>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31F" w:rsidRDefault="0068631F">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2816C3"/>
    <w:multiLevelType w:val="hybridMultilevel"/>
    <w:tmpl w:val="DA40736C"/>
    <w:lvl w:ilvl="0" w:tplc="6B5AB52C">
      <w:start w:val="1"/>
      <w:numFmt w:val="bullet"/>
      <w:pStyle w:val="FSBullet"/>
      <w:lvlText w:val=""/>
      <w:lvlJc w:val="left"/>
      <w:pPr>
        <w:ind w:left="3195"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94D0E7E"/>
    <w:multiLevelType w:val="hybridMultilevel"/>
    <w:tmpl w:val="A246C5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687346"/>
    <w:multiLevelType w:val="hybridMultilevel"/>
    <w:tmpl w:val="4006A6A0"/>
    <w:lvl w:ilvl="0" w:tplc="F7E2334A">
      <w:start w:val="1"/>
      <w:numFmt w:val="bullet"/>
      <w:pStyle w:val="Box1"/>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0">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9D5D3F"/>
    <w:multiLevelType w:val="multilevel"/>
    <w:tmpl w:val="6CC2C834"/>
    <w:lvl w:ilvl="0">
      <w:start w:val="1"/>
      <w:numFmt w:val="decimal"/>
      <w:lvlText w:val="%1."/>
      <w:lvlJc w:val="left"/>
      <w:pPr>
        <w:ind w:left="720" w:hanging="360"/>
      </w:pPr>
      <w:rPr>
        <w:rFonts w:ascii="Arial" w:hAnsi="Arial" w:hint="default"/>
        <w:b w:val="0"/>
        <w:i w:val="0"/>
        <w:sz w:val="22"/>
      </w:rPr>
    </w:lvl>
    <w:lvl w:ilvl="1">
      <w:start w:val="2"/>
      <w:numFmt w:val="decimal"/>
      <w:isLgl/>
      <w:lvlText w:val="%1.%2"/>
      <w:lvlJc w:val="left"/>
      <w:pPr>
        <w:ind w:left="1215" w:hanging="855"/>
      </w:pPr>
      <w:rPr>
        <w:rFonts w:hint="default"/>
      </w:rPr>
    </w:lvl>
    <w:lvl w:ilvl="2">
      <w:start w:val="1"/>
      <w:numFmt w:val="upperLetter"/>
      <w:isLgl/>
      <w:lvlText w:val="%1.%2.%3"/>
      <w:lvlJc w:val="left"/>
      <w:pPr>
        <w:ind w:left="1215"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9">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87E27D3"/>
    <w:multiLevelType w:val="hybridMultilevel"/>
    <w:tmpl w:val="F008178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ED36FB3"/>
    <w:multiLevelType w:val="multilevel"/>
    <w:tmpl w:val="075A4832"/>
    <w:lvl w:ilvl="0">
      <w:start w:val="1"/>
      <w:numFmt w:val="bullet"/>
      <w:lvlText w:val=""/>
      <w:lvlJc w:val="left"/>
      <w:pPr>
        <w:ind w:left="720" w:hanging="360"/>
      </w:pPr>
      <w:rPr>
        <w:rFonts w:ascii="Symbol" w:hAnsi="Symbol" w:hint="default"/>
      </w:rPr>
    </w:lvl>
    <w:lvl w:ilvl="1">
      <w:start w:val="2"/>
      <w:numFmt w:val="decimal"/>
      <w:isLgl/>
      <w:lvlText w:val="%1.%2"/>
      <w:lvlJc w:val="left"/>
      <w:pPr>
        <w:ind w:left="1215" w:hanging="855"/>
      </w:pPr>
      <w:rPr>
        <w:rFonts w:hint="default"/>
      </w:rPr>
    </w:lvl>
    <w:lvl w:ilvl="2">
      <w:start w:val="1"/>
      <w:numFmt w:val="upperLetter"/>
      <w:isLgl/>
      <w:lvlText w:val="%1.%2.%3"/>
      <w:lvlJc w:val="left"/>
      <w:pPr>
        <w:ind w:left="1215"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28"/>
  </w:num>
  <w:num w:numId="2">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7"/>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25"/>
  </w:num>
  <w:num w:numId="14">
    <w:abstractNumId w:val="16"/>
  </w:num>
  <w:num w:numId="15">
    <w:abstractNumId w:val="24"/>
  </w:num>
  <w:num w:numId="16">
    <w:abstractNumId w:val="8"/>
  </w:num>
  <w:num w:numId="17">
    <w:abstractNumId w:val="3"/>
  </w:num>
  <w:num w:numId="18">
    <w:abstractNumId w:val="0"/>
  </w:num>
  <w:num w:numId="19">
    <w:abstractNumId w:val="18"/>
  </w:num>
  <w:num w:numId="20">
    <w:abstractNumId w:val="7"/>
  </w:num>
  <w:num w:numId="21">
    <w:abstractNumId w:val="29"/>
  </w:num>
  <w:num w:numId="22">
    <w:abstractNumId w:val="23"/>
  </w:num>
  <w:num w:numId="23">
    <w:abstractNumId w:val="9"/>
  </w:num>
  <w:num w:numId="24">
    <w:abstractNumId w:val="11"/>
  </w:num>
  <w:num w:numId="25">
    <w:abstractNumId w:val="21"/>
  </w:num>
  <w:num w:numId="26">
    <w:abstractNumId w:val="21"/>
  </w:num>
  <w:num w:numId="27">
    <w:abstractNumId w:val="15"/>
  </w:num>
  <w:num w:numId="28">
    <w:abstractNumId w:val="19"/>
  </w:num>
  <w:num w:numId="29">
    <w:abstractNumId w:val="20"/>
  </w:num>
  <w:num w:numId="30">
    <w:abstractNumId w:val="14"/>
  </w:num>
  <w:num w:numId="31">
    <w:abstractNumId w:val="12"/>
  </w:num>
  <w:num w:numId="32">
    <w:abstractNumId w:val="2"/>
  </w:num>
  <w:num w:numId="33">
    <w:abstractNumId w:val="6"/>
  </w:num>
  <w:num w:numId="34">
    <w:abstractNumId w:val="26"/>
  </w:num>
  <w:num w:numId="35">
    <w:abstractNumId w:val="13"/>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F7342"/>
    <w:rsid w:val="0000247B"/>
    <w:rsid w:val="0000469B"/>
    <w:rsid w:val="00016F29"/>
    <w:rsid w:val="000220BA"/>
    <w:rsid w:val="00031EED"/>
    <w:rsid w:val="00033E6B"/>
    <w:rsid w:val="00046A39"/>
    <w:rsid w:val="000477CC"/>
    <w:rsid w:val="00051DB2"/>
    <w:rsid w:val="00064B2D"/>
    <w:rsid w:val="00064FF6"/>
    <w:rsid w:val="00065CC9"/>
    <w:rsid w:val="00065F1F"/>
    <w:rsid w:val="0007447B"/>
    <w:rsid w:val="00074C78"/>
    <w:rsid w:val="00075664"/>
    <w:rsid w:val="00084ED1"/>
    <w:rsid w:val="00093F3E"/>
    <w:rsid w:val="000A3D8B"/>
    <w:rsid w:val="000B0629"/>
    <w:rsid w:val="000B2949"/>
    <w:rsid w:val="000B5E15"/>
    <w:rsid w:val="000C51C7"/>
    <w:rsid w:val="000C5C22"/>
    <w:rsid w:val="000C6F57"/>
    <w:rsid w:val="000D1858"/>
    <w:rsid w:val="000D6FD4"/>
    <w:rsid w:val="000E0AE4"/>
    <w:rsid w:val="000E3141"/>
    <w:rsid w:val="000E3DBC"/>
    <w:rsid w:val="000F06DC"/>
    <w:rsid w:val="000F1ACF"/>
    <w:rsid w:val="000F484E"/>
    <w:rsid w:val="000F51B1"/>
    <w:rsid w:val="000F66AD"/>
    <w:rsid w:val="00102102"/>
    <w:rsid w:val="00114C44"/>
    <w:rsid w:val="001171D3"/>
    <w:rsid w:val="00146E0E"/>
    <w:rsid w:val="0017082A"/>
    <w:rsid w:val="00182C4C"/>
    <w:rsid w:val="00192D11"/>
    <w:rsid w:val="001A1A75"/>
    <w:rsid w:val="001A3F28"/>
    <w:rsid w:val="001A7E9A"/>
    <w:rsid w:val="001C27A3"/>
    <w:rsid w:val="001C49BB"/>
    <w:rsid w:val="001D0D2E"/>
    <w:rsid w:val="001E020B"/>
    <w:rsid w:val="001E09FA"/>
    <w:rsid w:val="001E3D0C"/>
    <w:rsid w:val="001E5697"/>
    <w:rsid w:val="001F039F"/>
    <w:rsid w:val="002144F9"/>
    <w:rsid w:val="00221D07"/>
    <w:rsid w:val="002236F4"/>
    <w:rsid w:val="00227E4A"/>
    <w:rsid w:val="00234990"/>
    <w:rsid w:val="002369DA"/>
    <w:rsid w:val="00272785"/>
    <w:rsid w:val="002727DD"/>
    <w:rsid w:val="0029227B"/>
    <w:rsid w:val="00293232"/>
    <w:rsid w:val="002934CF"/>
    <w:rsid w:val="002A0194"/>
    <w:rsid w:val="002A05AC"/>
    <w:rsid w:val="002C36EF"/>
    <w:rsid w:val="002C50AB"/>
    <w:rsid w:val="002D6D40"/>
    <w:rsid w:val="002F333A"/>
    <w:rsid w:val="002F6488"/>
    <w:rsid w:val="00311483"/>
    <w:rsid w:val="003213F9"/>
    <w:rsid w:val="00323DBF"/>
    <w:rsid w:val="00325BF9"/>
    <w:rsid w:val="00332B12"/>
    <w:rsid w:val="003423A1"/>
    <w:rsid w:val="003512FA"/>
    <w:rsid w:val="00351AF4"/>
    <w:rsid w:val="003554CD"/>
    <w:rsid w:val="003626FF"/>
    <w:rsid w:val="00365F5F"/>
    <w:rsid w:val="00371B29"/>
    <w:rsid w:val="003811D4"/>
    <w:rsid w:val="003860E8"/>
    <w:rsid w:val="00390FCB"/>
    <w:rsid w:val="00391769"/>
    <w:rsid w:val="00391F70"/>
    <w:rsid w:val="003953E1"/>
    <w:rsid w:val="003956B3"/>
    <w:rsid w:val="00395723"/>
    <w:rsid w:val="003A2489"/>
    <w:rsid w:val="003A68BE"/>
    <w:rsid w:val="003B2669"/>
    <w:rsid w:val="003C4969"/>
    <w:rsid w:val="003D29A2"/>
    <w:rsid w:val="003D397A"/>
    <w:rsid w:val="003D6859"/>
    <w:rsid w:val="003E41D5"/>
    <w:rsid w:val="003E46BA"/>
    <w:rsid w:val="003F3623"/>
    <w:rsid w:val="003F5372"/>
    <w:rsid w:val="004001BB"/>
    <w:rsid w:val="004009DB"/>
    <w:rsid w:val="00400ECA"/>
    <w:rsid w:val="00405B1A"/>
    <w:rsid w:val="00411907"/>
    <w:rsid w:val="004120FE"/>
    <w:rsid w:val="00417EE3"/>
    <w:rsid w:val="00417F1A"/>
    <w:rsid w:val="00424A1F"/>
    <w:rsid w:val="0043440F"/>
    <w:rsid w:val="004460B6"/>
    <w:rsid w:val="00464643"/>
    <w:rsid w:val="00471EE7"/>
    <w:rsid w:val="00472992"/>
    <w:rsid w:val="00473EEF"/>
    <w:rsid w:val="00475AC5"/>
    <w:rsid w:val="00486793"/>
    <w:rsid w:val="004925F4"/>
    <w:rsid w:val="004A3D14"/>
    <w:rsid w:val="004A462E"/>
    <w:rsid w:val="004B57FC"/>
    <w:rsid w:val="004D5C81"/>
    <w:rsid w:val="004D68D4"/>
    <w:rsid w:val="004E7E3E"/>
    <w:rsid w:val="004F0A60"/>
    <w:rsid w:val="004F3967"/>
    <w:rsid w:val="004F4F98"/>
    <w:rsid w:val="004F79AC"/>
    <w:rsid w:val="00500551"/>
    <w:rsid w:val="005016D3"/>
    <w:rsid w:val="00504CD7"/>
    <w:rsid w:val="0051610E"/>
    <w:rsid w:val="005207D8"/>
    <w:rsid w:val="0053373C"/>
    <w:rsid w:val="00534088"/>
    <w:rsid w:val="00582848"/>
    <w:rsid w:val="00586228"/>
    <w:rsid w:val="00595BFA"/>
    <w:rsid w:val="005975FF"/>
    <w:rsid w:val="005A4C54"/>
    <w:rsid w:val="005B192A"/>
    <w:rsid w:val="005B32DC"/>
    <w:rsid w:val="005B6AF4"/>
    <w:rsid w:val="005C04CB"/>
    <w:rsid w:val="005C23D1"/>
    <w:rsid w:val="005C6D9B"/>
    <w:rsid w:val="005D1B36"/>
    <w:rsid w:val="005D365E"/>
    <w:rsid w:val="005D72E1"/>
    <w:rsid w:val="005E5C0B"/>
    <w:rsid w:val="005E7C50"/>
    <w:rsid w:val="005F400E"/>
    <w:rsid w:val="005F7342"/>
    <w:rsid w:val="0060086B"/>
    <w:rsid w:val="006016C6"/>
    <w:rsid w:val="00610A3C"/>
    <w:rsid w:val="00627F48"/>
    <w:rsid w:val="0064028D"/>
    <w:rsid w:val="00644CAB"/>
    <w:rsid w:val="0065215F"/>
    <w:rsid w:val="0066339E"/>
    <w:rsid w:val="00663FCF"/>
    <w:rsid w:val="006652A2"/>
    <w:rsid w:val="00665EE7"/>
    <w:rsid w:val="0068631F"/>
    <w:rsid w:val="006952C9"/>
    <w:rsid w:val="00696C35"/>
    <w:rsid w:val="006A48A7"/>
    <w:rsid w:val="006A76B6"/>
    <w:rsid w:val="006B4106"/>
    <w:rsid w:val="006B5D48"/>
    <w:rsid w:val="006C10FC"/>
    <w:rsid w:val="006C2686"/>
    <w:rsid w:val="006C5EE7"/>
    <w:rsid w:val="006D2BE0"/>
    <w:rsid w:val="006D6E76"/>
    <w:rsid w:val="006E7561"/>
    <w:rsid w:val="006F0ABD"/>
    <w:rsid w:val="006F4A82"/>
    <w:rsid w:val="006F6D6F"/>
    <w:rsid w:val="00702499"/>
    <w:rsid w:val="00704F0A"/>
    <w:rsid w:val="00710AF4"/>
    <w:rsid w:val="00720687"/>
    <w:rsid w:val="00724FA4"/>
    <w:rsid w:val="00730800"/>
    <w:rsid w:val="00733673"/>
    <w:rsid w:val="00751F37"/>
    <w:rsid w:val="0075300F"/>
    <w:rsid w:val="007602AA"/>
    <w:rsid w:val="007652EF"/>
    <w:rsid w:val="007754D7"/>
    <w:rsid w:val="007757E3"/>
    <w:rsid w:val="00780792"/>
    <w:rsid w:val="00782742"/>
    <w:rsid w:val="00783A71"/>
    <w:rsid w:val="0078782D"/>
    <w:rsid w:val="00794040"/>
    <w:rsid w:val="007A44B4"/>
    <w:rsid w:val="007A7D3D"/>
    <w:rsid w:val="007B225D"/>
    <w:rsid w:val="007B2AC5"/>
    <w:rsid w:val="007B3D4E"/>
    <w:rsid w:val="007B6BAA"/>
    <w:rsid w:val="007C1C64"/>
    <w:rsid w:val="007D79E6"/>
    <w:rsid w:val="007E48BC"/>
    <w:rsid w:val="007E57B4"/>
    <w:rsid w:val="007E79F7"/>
    <w:rsid w:val="007E7DA4"/>
    <w:rsid w:val="007F34AC"/>
    <w:rsid w:val="007F3630"/>
    <w:rsid w:val="00804DB4"/>
    <w:rsid w:val="00807559"/>
    <w:rsid w:val="0082697C"/>
    <w:rsid w:val="008274CF"/>
    <w:rsid w:val="00832B65"/>
    <w:rsid w:val="008450BC"/>
    <w:rsid w:val="00847EC9"/>
    <w:rsid w:val="00850878"/>
    <w:rsid w:val="00870214"/>
    <w:rsid w:val="008716A8"/>
    <w:rsid w:val="00871C7F"/>
    <w:rsid w:val="00873C76"/>
    <w:rsid w:val="008864B6"/>
    <w:rsid w:val="00896B85"/>
    <w:rsid w:val="008A3809"/>
    <w:rsid w:val="008A55C7"/>
    <w:rsid w:val="008B6E77"/>
    <w:rsid w:val="008C386B"/>
    <w:rsid w:val="008C40B1"/>
    <w:rsid w:val="008C786C"/>
    <w:rsid w:val="008D06C6"/>
    <w:rsid w:val="008D6F79"/>
    <w:rsid w:val="008E09CD"/>
    <w:rsid w:val="008E154A"/>
    <w:rsid w:val="008E1C39"/>
    <w:rsid w:val="008E6250"/>
    <w:rsid w:val="008F17C8"/>
    <w:rsid w:val="008F2B15"/>
    <w:rsid w:val="008F4A48"/>
    <w:rsid w:val="008F588C"/>
    <w:rsid w:val="00900785"/>
    <w:rsid w:val="009041E7"/>
    <w:rsid w:val="0091280C"/>
    <w:rsid w:val="009142DC"/>
    <w:rsid w:val="00916D7B"/>
    <w:rsid w:val="00920249"/>
    <w:rsid w:val="00920758"/>
    <w:rsid w:val="00943210"/>
    <w:rsid w:val="0094602A"/>
    <w:rsid w:val="00946F82"/>
    <w:rsid w:val="00953C09"/>
    <w:rsid w:val="009564A9"/>
    <w:rsid w:val="0095779D"/>
    <w:rsid w:val="00964375"/>
    <w:rsid w:val="009664A0"/>
    <w:rsid w:val="0097268A"/>
    <w:rsid w:val="00972D06"/>
    <w:rsid w:val="0097749D"/>
    <w:rsid w:val="0098345D"/>
    <w:rsid w:val="00991739"/>
    <w:rsid w:val="009A391C"/>
    <w:rsid w:val="009B3056"/>
    <w:rsid w:val="009C77CB"/>
    <w:rsid w:val="009D6499"/>
    <w:rsid w:val="009E0A61"/>
    <w:rsid w:val="009E3010"/>
    <w:rsid w:val="009F6A64"/>
    <w:rsid w:val="009F7065"/>
    <w:rsid w:val="00A03A1B"/>
    <w:rsid w:val="00A17E0B"/>
    <w:rsid w:val="00A3324E"/>
    <w:rsid w:val="00A53A9E"/>
    <w:rsid w:val="00A5580F"/>
    <w:rsid w:val="00A56DC7"/>
    <w:rsid w:val="00A62240"/>
    <w:rsid w:val="00A74FD1"/>
    <w:rsid w:val="00A81889"/>
    <w:rsid w:val="00A84A58"/>
    <w:rsid w:val="00A900DB"/>
    <w:rsid w:val="00A938EC"/>
    <w:rsid w:val="00AA3980"/>
    <w:rsid w:val="00AA65AD"/>
    <w:rsid w:val="00AC15D6"/>
    <w:rsid w:val="00AC75C9"/>
    <w:rsid w:val="00AD3FBB"/>
    <w:rsid w:val="00AD663D"/>
    <w:rsid w:val="00AE53B3"/>
    <w:rsid w:val="00B00E7F"/>
    <w:rsid w:val="00B13DF3"/>
    <w:rsid w:val="00B21DCC"/>
    <w:rsid w:val="00B23AF5"/>
    <w:rsid w:val="00B315C8"/>
    <w:rsid w:val="00B31F9F"/>
    <w:rsid w:val="00B516C8"/>
    <w:rsid w:val="00B55091"/>
    <w:rsid w:val="00B660E8"/>
    <w:rsid w:val="00B72B84"/>
    <w:rsid w:val="00B731D3"/>
    <w:rsid w:val="00B81086"/>
    <w:rsid w:val="00B839A3"/>
    <w:rsid w:val="00B8471D"/>
    <w:rsid w:val="00B902BD"/>
    <w:rsid w:val="00B969A1"/>
    <w:rsid w:val="00BC4D7B"/>
    <w:rsid w:val="00BD1373"/>
    <w:rsid w:val="00BD2A39"/>
    <w:rsid w:val="00BD2E80"/>
    <w:rsid w:val="00BD422C"/>
    <w:rsid w:val="00BD4705"/>
    <w:rsid w:val="00BE23DE"/>
    <w:rsid w:val="00BE36F0"/>
    <w:rsid w:val="00BE7CEF"/>
    <w:rsid w:val="00BF019A"/>
    <w:rsid w:val="00BF0422"/>
    <w:rsid w:val="00BF7FF0"/>
    <w:rsid w:val="00C0268F"/>
    <w:rsid w:val="00C02B1A"/>
    <w:rsid w:val="00C05328"/>
    <w:rsid w:val="00C12502"/>
    <w:rsid w:val="00C262A9"/>
    <w:rsid w:val="00C31BBD"/>
    <w:rsid w:val="00C355E7"/>
    <w:rsid w:val="00C447AE"/>
    <w:rsid w:val="00C476D0"/>
    <w:rsid w:val="00C50E69"/>
    <w:rsid w:val="00C836E3"/>
    <w:rsid w:val="00C86577"/>
    <w:rsid w:val="00C92E07"/>
    <w:rsid w:val="00C96868"/>
    <w:rsid w:val="00CA0416"/>
    <w:rsid w:val="00CA1727"/>
    <w:rsid w:val="00CB6DBD"/>
    <w:rsid w:val="00CC1242"/>
    <w:rsid w:val="00CC75E2"/>
    <w:rsid w:val="00CC7914"/>
    <w:rsid w:val="00CD1757"/>
    <w:rsid w:val="00CD46EB"/>
    <w:rsid w:val="00CD7222"/>
    <w:rsid w:val="00CD7EBF"/>
    <w:rsid w:val="00D056F1"/>
    <w:rsid w:val="00D060FB"/>
    <w:rsid w:val="00D1622D"/>
    <w:rsid w:val="00D23DB6"/>
    <w:rsid w:val="00D27D3A"/>
    <w:rsid w:val="00D35616"/>
    <w:rsid w:val="00D51A95"/>
    <w:rsid w:val="00D562A6"/>
    <w:rsid w:val="00D60568"/>
    <w:rsid w:val="00D64F03"/>
    <w:rsid w:val="00D6577B"/>
    <w:rsid w:val="00D70C7A"/>
    <w:rsid w:val="00D859F2"/>
    <w:rsid w:val="00D85E3A"/>
    <w:rsid w:val="00D86E11"/>
    <w:rsid w:val="00D87D97"/>
    <w:rsid w:val="00D92DC6"/>
    <w:rsid w:val="00D93C77"/>
    <w:rsid w:val="00DA10A8"/>
    <w:rsid w:val="00DA45AD"/>
    <w:rsid w:val="00DB1E08"/>
    <w:rsid w:val="00DB2973"/>
    <w:rsid w:val="00DB401C"/>
    <w:rsid w:val="00DB7867"/>
    <w:rsid w:val="00DC1764"/>
    <w:rsid w:val="00DC2129"/>
    <w:rsid w:val="00DC6570"/>
    <w:rsid w:val="00DD0BB2"/>
    <w:rsid w:val="00DE4DCC"/>
    <w:rsid w:val="00DF25C3"/>
    <w:rsid w:val="00E04062"/>
    <w:rsid w:val="00E11D82"/>
    <w:rsid w:val="00E124E4"/>
    <w:rsid w:val="00E12A78"/>
    <w:rsid w:val="00E14BE6"/>
    <w:rsid w:val="00E1692E"/>
    <w:rsid w:val="00E2003B"/>
    <w:rsid w:val="00E25C58"/>
    <w:rsid w:val="00E30F59"/>
    <w:rsid w:val="00E319B1"/>
    <w:rsid w:val="00E46453"/>
    <w:rsid w:val="00E502B5"/>
    <w:rsid w:val="00E61851"/>
    <w:rsid w:val="00E7278C"/>
    <w:rsid w:val="00E777EC"/>
    <w:rsid w:val="00E9414A"/>
    <w:rsid w:val="00EA776D"/>
    <w:rsid w:val="00EA7F2F"/>
    <w:rsid w:val="00EB07DE"/>
    <w:rsid w:val="00EB5F9A"/>
    <w:rsid w:val="00EC00DE"/>
    <w:rsid w:val="00EC30E1"/>
    <w:rsid w:val="00EC313A"/>
    <w:rsid w:val="00ED172A"/>
    <w:rsid w:val="00ED36E4"/>
    <w:rsid w:val="00EE0596"/>
    <w:rsid w:val="00EF34F2"/>
    <w:rsid w:val="00F0246E"/>
    <w:rsid w:val="00F14BEC"/>
    <w:rsid w:val="00F225C5"/>
    <w:rsid w:val="00F345CA"/>
    <w:rsid w:val="00F3715D"/>
    <w:rsid w:val="00F420C8"/>
    <w:rsid w:val="00F42A4C"/>
    <w:rsid w:val="00F5223D"/>
    <w:rsid w:val="00F52C45"/>
    <w:rsid w:val="00F62457"/>
    <w:rsid w:val="00F6519F"/>
    <w:rsid w:val="00F66406"/>
    <w:rsid w:val="00F7278B"/>
    <w:rsid w:val="00F777C8"/>
    <w:rsid w:val="00FA3F1D"/>
    <w:rsid w:val="00FB08D9"/>
    <w:rsid w:val="00FB7512"/>
    <w:rsid w:val="00FC0BB5"/>
    <w:rsid w:val="00FC53AC"/>
    <w:rsid w:val="00FC61C5"/>
    <w:rsid w:val="00FD53DF"/>
    <w:rsid w:val="00FD7547"/>
    <w:rsid w:val="00FE3455"/>
    <w:rsid w:val="00FF5F5C"/>
    <w:rsid w:val="00FF6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lsdException w:name="caption" w:semiHidden="1" w:unhideWhenUsed="1"/>
    <w:lsdException w:name="footnote reference" w:uiPriority="99"/>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602AA"/>
    <w:pPr>
      <w:widowControl w:val="0"/>
    </w:pPr>
    <w:rPr>
      <w:rFonts w:ascii="Arial" w:hAnsi="Arial"/>
      <w:sz w:val="22"/>
      <w:szCs w:val="24"/>
      <w:lang w:eastAsia="en-US" w:bidi="en-US"/>
    </w:rPr>
  </w:style>
  <w:style w:type="paragraph" w:styleId="Heading1">
    <w:name w:val="heading 1"/>
    <w:aliases w:val="FS Heading 1"/>
    <w:basedOn w:val="Normal"/>
    <w:next w:val="Normal"/>
    <w:link w:val="Heading1Char"/>
    <w:uiPriority w:val="9"/>
    <w:qFormat/>
    <w:rsid w:val="003E46BA"/>
    <w:pPr>
      <w:keepNext/>
      <w:ind w:left="851" w:hanging="851"/>
      <w:outlineLvl w:val="0"/>
    </w:pPr>
    <w:rPr>
      <w:rFonts w:ascii="Tahoma" w:hAnsi="Tahoma" w:cs="Tahoma"/>
      <w:b/>
      <w:bCs/>
      <w:kern w:val="32"/>
      <w:sz w:val="28"/>
      <w:szCs w:val="32"/>
      <w:u w:val="single"/>
    </w:rPr>
  </w:style>
  <w:style w:type="paragraph" w:styleId="Heading2">
    <w:name w:val="heading 2"/>
    <w:aliases w:val="FS Heading 2"/>
    <w:basedOn w:val="Normal"/>
    <w:next w:val="Normal"/>
    <w:link w:val="Heading2Char"/>
    <w:uiPriority w:val="9"/>
    <w:unhideWhenUsed/>
    <w:qFormat/>
    <w:rsid w:val="003E46BA"/>
    <w:pPr>
      <w:keepNext/>
      <w:ind w:left="851" w:hanging="851"/>
      <w:outlineLvl w:val="1"/>
    </w:pPr>
    <w:rPr>
      <w:rFonts w:ascii="Arial Bold" w:hAnsi="Arial Bold" w:cs="Arial Unicode MS"/>
      <w:b/>
      <w:bCs/>
      <w:iCs/>
      <w:sz w:val="28"/>
      <w:szCs w:val="28"/>
    </w:rPr>
  </w:style>
  <w:style w:type="paragraph" w:styleId="Heading3">
    <w:name w:val="heading 3"/>
    <w:aliases w:val="FS Heading 3"/>
    <w:basedOn w:val="Normal"/>
    <w:next w:val="Normal"/>
    <w:link w:val="Heading3Char"/>
    <w:uiPriority w:val="9"/>
    <w:unhideWhenUsed/>
    <w:qFormat/>
    <w:rsid w:val="00227E4A"/>
    <w:pPr>
      <w:keepNext/>
      <w:ind w:left="851" w:hanging="851"/>
      <w:outlineLvl w:val="2"/>
    </w:pPr>
    <w:rPr>
      <w:rFonts w:ascii="Arial Bold" w:hAnsi="Arial Bold" w:cs="Arial Unicode MS"/>
      <w:b/>
      <w:bCs/>
      <w:szCs w:val="26"/>
    </w:rPr>
  </w:style>
  <w:style w:type="paragraph" w:styleId="Heading4">
    <w:name w:val="heading 4"/>
    <w:aliases w:val="FS Heading 4"/>
    <w:basedOn w:val="Normal"/>
    <w:next w:val="Normal"/>
    <w:link w:val="Heading4Char"/>
    <w:uiPriority w:val="9"/>
    <w:unhideWhenUsed/>
    <w:qFormat/>
    <w:rsid w:val="00227E4A"/>
    <w:pPr>
      <w:keepNext/>
      <w:ind w:left="851" w:hanging="851"/>
      <w:outlineLvl w:val="3"/>
    </w:pPr>
    <w:rPr>
      <w:bCs/>
      <w:i/>
      <w:szCs w:val="28"/>
    </w:rPr>
  </w:style>
  <w:style w:type="paragraph" w:styleId="Heading5">
    <w:name w:val="heading 5"/>
    <w:aliases w:val="FS Heading 5"/>
    <w:basedOn w:val="Normal"/>
    <w:next w:val="Normal"/>
    <w:link w:val="Heading5Char"/>
    <w:uiPriority w:val="9"/>
    <w:unhideWhenUsed/>
    <w:qFormat/>
    <w:rsid w:val="00227E4A"/>
    <w:pPr>
      <w:ind w:left="851" w:hanging="851"/>
      <w:outlineLvl w:val="4"/>
    </w:pPr>
    <w:rPr>
      <w:bCs/>
      <w:iCs/>
      <w:szCs w:val="26"/>
      <w:u w:val="single"/>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
    <w:basedOn w:val="DefaultParagraphFont"/>
    <w:link w:val="Heading1"/>
    <w:uiPriority w:val="9"/>
    <w:rsid w:val="003E46BA"/>
    <w:rPr>
      <w:rFonts w:ascii="Tahoma" w:hAnsi="Tahoma" w:cs="Tahoma"/>
      <w:b/>
      <w:bCs/>
      <w:kern w:val="32"/>
      <w:sz w:val="28"/>
      <w:szCs w:val="32"/>
      <w:u w:val="single"/>
      <w:lang w:val="en-US" w:eastAsia="en-US" w:bidi="en-US"/>
    </w:rPr>
  </w:style>
  <w:style w:type="character" w:customStyle="1" w:styleId="Heading2Char">
    <w:name w:val="Heading 2 Char"/>
    <w:aliases w:val="FS Heading 2 Char"/>
    <w:basedOn w:val="DefaultParagraphFont"/>
    <w:link w:val="Heading2"/>
    <w:uiPriority w:val="9"/>
    <w:rsid w:val="003E46BA"/>
    <w:rPr>
      <w:rFonts w:ascii="Arial Bold" w:hAnsi="Arial Bold" w:cs="Arial Unicode MS"/>
      <w:b/>
      <w:bCs/>
      <w:iCs/>
      <w:sz w:val="28"/>
      <w:szCs w:val="28"/>
      <w:lang w:val="en-US" w:eastAsia="en-US" w:bidi="en-US"/>
    </w:rPr>
  </w:style>
  <w:style w:type="character" w:customStyle="1" w:styleId="Heading3Char">
    <w:name w:val="Heading 3 Char"/>
    <w:aliases w:val="FS Heading 3 Char"/>
    <w:basedOn w:val="DefaultParagraphFont"/>
    <w:link w:val="Heading3"/>
    <w:uiPriority w:val="9"/>
    <w:rsid w:val="00227E4A"/>
    <w:rPr>
      <w:rFonts w:ascii="Arial Bold" w:hAnsi="Arial Bold" w:cs="Arial Unicode MS"/>
      <w:b/>
      <w:bCs/>
      <w:sz w:val="22"/>
      <w:szCs w:val="26"/>
      <w:lang w:val="en-US" w:eastAsia="en-US" w:bidi="en-US"/>
    </w:rPr>
  </w:style>
  <w:style w:type="character" w:customStyle="1" w:styleId="Heading4Char">
    <w:name w:val="Heading 4 Char"/>
    <w:aliases w:val="FS Heading 4 Char"/>
    <w:basedOn w:val="DefaultParagraphFont"/>
    <w:link w:val="Heading4"/>
    <w:uiPriority w:val="9"/>
    <w:rsid w:val="00227E4A"/>
    <w:rPr>
      <w:rFonts w:ascii="Arial" w:hAnsi="Arial"/>
      <w:bCs/>
      <w:i/>
      <w:sz w:val="22"/>
      <w:szCs w:val="28"/>
      <w:lang w:val="en-US" w:eastAsia="en-US" w:bidi="en-US"/>
    </w:rPr>
  </w:style>
  <w:style w:type="character" w:customStyle="1" w:styleId="Heading5Char">
    <w:name w:val="Heading 5 Char"/>
    <w:aliases w:val="FS Heading 5 Char"/>
    <w:basedOn w:val="DefaultParagraphFont"/>
    <w:link w:val="Heading5"/>
    <w:uiPriority w:val="9"/>
    <w:rsid w:val="00227E4A"/>
    <w:rPr>
      <w:rFonts w:ascii="Arial" w:hAnsi="Arial"/>
      <w:bCs/>
      <w:iCs/>
      <w:sz w:val="22"/>
      <w:szCs w:val="26"/>
      <w:u w:val="single"/>
      <w:lang w:val="en-US" w:eastAsia="en-US" w:bidi="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2C50AB"/>
    <w:rPr>
      <w:color w:val="auto"/>
      <w:u w:val="single"/>
    </w:rPr>
  </w:style>
  <w:style w:type="paragraph" w:styleId="Header">
    <w:name w:val="header"/>
    <w:basedOn w:val="Normal"/>
    <w:rsid w:val="00E777EC"/>
  </w:style>
  <w:style w:type="paragraph" w:customStyle="1" w:styleId="FSTitle">
    <w:name w:val="FS Title"/>
    <w:basedOn w:val="Normal"/>
    <w:qFormat/>
    <w:rsid w:val="00DB2973"/>
    <w:rPr>
      <w:rFonts w:ascii="Tahoma" w:hAnsi="Tahoma" w:cs="Tahoma"/>
      <w:b/>
      <w:bCs/>
      <w:sz w:val="36"/>
    </w:rPr>
  </w:style>
  <w:style w:type="paragraph" w:customStyle="1" w:styleId="FSDash">
    <w:name w:val="FS Dash"/>
    <w:basedOn w:val="Normal"/>
    <w:qFormat/>
    <w:rsid w:val="007602AA"/>
    <w:pPr>
      <w:numPr>
        <w:numId w:val="31"/>
      </w:numPr>
      <w:ind w:left="1134" w:hanging="567"/>
    </w:pPr>
  </w:style>
  <w:style w:type="paragraph" w:styleId="TOC1">
    <w:name w:val="toc 1"/>
    <w:basedOn w:val="Normal"/>
    <w:next w:val="Normal"/>
    <w:autoRedefine/>
    <w:uiPriority w:val="39"/>
    <w:rsid w:val="00F42A4C"/>
    <w:rPr>
      <w:b/>
      <w:bCs/>
      <w:caps/>
    </w:rPr>
  </w:style>
  <w:style w:type="paragraph" w:styleId="TOC2">
    <w:name w:val="toc 2"/>
    <w:basedOn w:val="Normal"/>
    <w:next w:val="Normal"/>
    <w:autoRedefine/>
    <w:uiPriority w:val="39"/>
    <w:rsid w:val="002C50AB"/>
    <w:pPr>
      <w:ind w:left="240"/>
    </w:pPr>
    <w:rPr>
      <w:smallCaps/>
    </w:rPr>
  </w:style>
  <w:style w:type="paragraph" w:styleId="Footer">
    <w:name w:val="footer"/>
    <w:basedOn w:val="Normal"/>
    <w:rsid w:val="002C50AB"/>
    <w:pPr>
      <w:tabs>
        <w:tab w:val="center" w:pos="4153"/>
        <w:tab w:val="right" w:pos="8306"/>
      </w:tabs>
    </w:p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rsid w:val="002C50AB"/>
    <w:pPr>
      <w:ind w:left="480"/>
    </w:pPr>
    <w:rPr>
      <w:i/>
      <w:iCs/>
    </w:rPr>
  </w:style>
  <w:style w:type="paragraph" w:styleId="TOC4">
    <w:name w:val="toc 4"/>
    <w:basedOn w:val="Normal"/>
    <w:next w:val="Normal"/>
    <w:autoRedefine/>
    <w:semiHidden/>
    <w:rsid w:val="002C50AB"/>
    <w:pPr>
      <w:ind w:left="720"/>
    </w:pPr>
    <w:rPr>
      <w:szCs w:val="21"/>
    </w:rPr>
  </w:style>
  <w:style w:type="paragraph" w:styleId="TOC5">
    <w:name w:val="toc 5"/>
    <w:basedOn w:val="Normal"/>
    <w:next w:val="Normal"/>
    <w:autoRedefine/>
    <w:semiHidden/>
    <w:rsid w:val="002C50AB"/>
    <w:pPr>
      <w:ind w:left="960"/>
    </w:pPr>
    <w:rPr>
      <w:szCs w:val="21"/>
    </w:rPr>
  </w:style>
  <w:style w:type="character" w:styleId="FollowedHyperlink">
    <w:name w:val="FollowedHyperlink"/>
    <w:basedOn w:val="DefaultParagraphFont"/>
    <w:rsid w:val="002C50AB"/>
    <w:rPr>
      <w:color w:val="800080"/>
      <w:u w:val="single"/>
    </w:rPr>
  </w:style>
  <w:style w:type="paragraph" w:styleId="TOC6">
    <w:name w:val="toc 6"/>
    <w:basedOn w:val="Normal"/>
    <w:next w:val="Normal"/>
    <w:autoRedefine/>
    <w:semiHidden/>
    <w:rsid w:val="002C50AB"/>
    <w:pPr>
      <w:ind w:left="1200"/>
    </w:pPr>
    <w:rPr>
      <w:szCs w:val="21"/>
    </w:rPr>
  </w:style>
  <w:style w:type="paragraph" w:customStyle="1" w:styleId="142Tableheading2">
    <w:name w:val="1.4.2 Table heading2"/>
    <w:basedOn w:val="Normal"/>
    <w:rsid w:val="002C50AB"/>
    <w:pPr>
      <w:keepNext/>
      <w:jc w:val="center"/>
    </w:pPr>
    <w:rPr>
      <w:iCs/>
      <w:smallCaps/>
      <w:sz w:val="20"/>
      <w:szCs w:val="20"/>
    </w:rPr>
  </w:style>
  <w:style w:type="paragraph" w:customStyle="1" w:styleId="Box1">
    <w:name w:val="Box 1"/>
    <w:basedOn w:val="Normal"/>
    <w:rsid w:val="002C50AB"/>
    <w:pPr>
      <w:numPr>
        <w:numId w:val="16"/>
      </w:numPr>
      <w:tabs>
        <w:tab w:val="clear" w:pos="360"/>
        <w:tab w:val="num" w:pos="120"/>
      </w:tabs>
    </w:pPr>
    <w:rPr>
      <w:sz w:val="16"/>
    </w:rPr>
  </w:style>
  <w:style w:type="paragraph" w:customStyle="1" w:styleId="Box2">
    <w:name w:val="Box 2"/>
    <w:basedOn w:val="Normal"/>
    <w:rsid w:val="002C50AB"/>
    <w:pPr>
      <w:tabs>
        <w:tab w:val="left" w:pos="4608"/>
        <w:tab w:val="left" w:pos="9180"/>
        <w:tab w:val="left" w:pos="9216"/>
      </w:tabs>
      <w:jc w:val="center"/>
    </w:pPr>
    <w:rPr>
      <w:b/>
      <w:bCs/>
      <w:i/>
      <w:iCs/>
      <w:color w:val="000000"/>
      <w:sz w:val="16"/>
    </w:rPr>
  </w:style>
  <w:style w:type="paragraph" w:customStyle="1" w:styleId="Box3">
    <w:name w:val="Box 3"/>
    <w:basedOn w:val="Normal"/>
    <w:rsid w:val="002C50AB"/>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sid w:val="002C50AB"/>
    <w:rPr>
      <w:b/>
      <w:bCs/>
      <w:iCs w:val="0"/>
    </w:rPr>
  </w:style>
  <w:style w:type="paragraph" w:customStyle="1" w:styleId="142tabletext1">
    <w:name w:val="1.4.2 table text1"/>
    <w:basedOn w:val="Normal"/>
    <w:rsid w:val="002C50AB"/>
    <w:pPr>
      <w:ind w:left="142" w:hanging="142"/>
    </w:pPr>
    <w:rPr>
      <w:smallCaps/>
      <w:sz w:val="20"/>
      <w:szCs w:val="20"/>
    </w:rPr>
  </w:style>
  <w:style w:type="paragraph" w:customStyle="1" w:styleId="142tabletext2">
    <w:name w:val="1.4.2 table text2"/>
    <w:basedOn w:val="142tabletext1"/>
    <w:rsid w:val="002C50AB"/>
    <w:pPr>
      <w:jc w:val="right"/>
    </w:pPr>
  </w:style>
  <w:style w:type="paragraph" w:customStyle="1" w:styleId="Clause">
    <w:name w:val="Clause"/>
    <w:basedOn w:val="Normal"/>
    <w:next w:val="Normal"/>
    <w:link w:val="ClauseChar"/>
    <w:qFormat/>
    <w:rsid w:val="00EB5F9A"/>
    <w:pPr>
      <w:tabs>
        <w:tab w:val="left" w:pos="851"/>
      </w:tabs>
    </w:pPr>
    <w:rPr>
      <w:sz w:val="20"/>
      <w:szCs w:val="20"/>
    </w:rPr>
  </w:style>
  <w:style w:type="paragraph" w:customStyle="1" w:styleId="Clauseheading">
    <w:name w:val="Clause heading"/>
    <w:basedOn w:val="Normal"/>
    <w:next w:val="Normal"/>
    <w:rsid w:val="002C50AB"/>
    <w:pPr>
      <w:tabs>
        <w:tab w:val="left" w:pos="851"/>
      </w:tabs>
    </w:pPr>
    <w:rPr>
      <w:b/>
      <w:szCs w:val="20"/>
    </w:rPr>
  </w:style>
  <w:style w:type="paragraph" w:customStyle="1" w:styleId="ClauseList">
    <w:name w:val="Clause List"/>
    <w:basedOn w:val="Clause"/>
    <w:next w:val="Normal"/>
    <w:rsid w:val="002C50AB"/>
  </w:style>
  <w:style w:type="paragraph" w:customStyle="1" w:styleId="Definition">
    <w:name w:val="Definition"/>
    <w:basedOn w:val="Normal"/>
    <w:next w:val="Normal"/>
    <w:rsid w:val="002C50AB"/>
    <w:pPr>
      <w:ind w:left="1701" w:hanging="851"/>
    </w:pPr>
    <w:rPr>
      <w:szCs w:val="20"/>
    </w:rPr>
  </w:style>
  <w:style w:type="paragraph" w:customStyle="1" w:styleId="DivisionHeading">
    <w:name w:val="Division Heading"/>
    <w:basedOn w:val="Normal"/>
    <w:next w:val="Normal"/>
    <w:rsid w:val="002C50AB"/>
    <w:pPr>
      <w:tabs>
        <w:tab w:val="left" w:pos="851"/>
      </w:tabs>
      <w:jc w:val="center"/>
    </w:pPr>
    <w:rPr>
      <w:b/>
      <w:sz w:val="28"/>
      <w:szCs w:val="20"/>
    </w:rPr>
  </w:style>
  <w:style w:type="paragraph" w:customStyle="1" w:styleId="EditorialNoteLine1">
    <w:name w:val="Editorial Note Line 1"/>
    <w:basedOn w:val="Normal"/>
    <w:next w:val="Normal"/>
    <w:rsid w:val="002C50AB"/>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sid w:val="002C50AB"/>
    <w:rPr>
      <w:b w:val="0"/>
    </w:rPr>
  </w:style>
  <w:style w:type="paragraph" w:customStyle="1" w:styleId="Footnote">
    <w:name w:val="Footnote"/>
    <w:basedOn w:val="Normal"/>
    <w:rsid w:val="002C50AB"/>
    <w:pPr>
      <w:tabs>
        <w:tab w:val="left" w:pos="851"/>
      </w:tabs>
    </w:pPr>
    <w:rPr>
      <w:sz w:val="20"/>
      <w:szCs w:val="20"/>
    </w:rPr>
  </w:style>
  <w:style w:type="paragraph" w:customStyle="1" w:styleId="MiscellaneousHeading">
    <w:name w:val="Miscellaneous Heading"/>
    <w:basedOn w:val="Normal"/>
    <w:next w:val="Normal"/>
    <w:rsid w:val="002C50AB"/>
    <w:rPr>
      <w:b/>
      <w:szCs w:val="20"/>
    </w:rPr>
  </w:style>
  <w:style w:type="paragraph" w:customStyle="1" w:styleId="Paragraph">
    <w:name w:val="Paragraph"/>
    <w:basedOn w:val="Clause"/>
    <w:next w:val="Normal"/>
    <w:rsid w:val="002C50AB"/>
    <w:pPr>
      <w:tabs>
        <w:tab w:val="clear" w:pos="851"/>
      </w:tabs>
      <w:ind w:left="1702" w:hanging="851"/>
    </w:pPr>
  </w:style>
  <w:style w:type="paragraph" w:customStyle="1" w:styleId="ScheduleHeading">
    <w:name w:val="Schedule Heading"/>
    <w:basedOn w:val="Normal"/>
    <w:next w:val="Normal"/>
    <w:rsid w:val="002C50AB"/>
    <w:pPr>
      <w:tabs>
        <w:tab w:val="left" w:pos="851"/>
      </w:tabs>
      <w:jc w:val="center"/>
    </w:pPr>
    <w:rPr>
      <w:b/>
      <w:caps/>
      <w:szCs w:val="20"/>
    </w:rPr>
  </w:style>
  <w:style w:type="paragraph" w:customStyle="1" w:styleId="Standardtitle">
    <w:name w:val="Standard title"/>
    <w:basedOn w:val="Normal"/>
    <w:rsid w:val="002C50AB"/>
    <w:pPr>
      <w:tabs>
        <w:tab w:val="left" w:pos="851"/>
      </w:tabs>
      <w:jc w:val="center"/>
    </w:pPr>
    <w:rPr>
      <w:b/>
      <w:i/>
      <w:iCs/>
      <w:caps/>
      <w:sz w:val="28"/>
      <w:szCs w:val="20"/>
    </w:rPr>
  </w:style>
  <w:style w:type="paragraph" w:customStyle="1" w:styleId="Subclause">
    <w:name w:val="Subclause"/>
    <w:basedOn w:val="Clause"/>
    <w:rsid w:val="002C50AB"/>
    <w:pPr>
      <w:ind w:hanging="11"/>
    </w:pPr>
  </w:style>
  <w:style w:type="paragraph" w:customStyle="1" w:styleId="Subparagraph">
    <w:name w:val="Subparagraph"/>
    <w:basedOn w:val="Paragraph"/>
    <w:next w:val="Normal"/>
    <w:rsid w:val="002C50AB"/>
    <w:pPr>
      <w:ind w:left="2553"/>
    </w:pPr>
  </w:style>
  <w:style w:type="paragraph" w:customStyle="1" w:styleId="Table1">
    <w:name w:val="Table 1"/>
    <w:basedOn w:val="Normal"/>
    <w:rsid w:val="00EB5F9A"/>
    <w:pPr>
      <w:spacing w:after="120"/>
      <w:jc w:val="center"/>
    </w:pPr>
    <w:rPr>
      <w:b/>
      <w:bCs/>
      <w:sz w:val="18"/>
      <w:szCs w:val="20"/>
    </w:rPr>
  </w:style>
  <w:style w:type="paragraph" w:customStyle="1" w:styleId="Table2">
    <w:name w:val="Table 2"/>
    <w:basedOn w:val="Normal"/>
    <w:rsid w:val="00EB5F9A"/>
    <w:pPr>
      <w:ind w:left="142" w:hanging="142"/>
    </w:pPr>
    <w:rPr>
      <w:bCs/>
      <w:sz w:val="18"/>
      <w:szCs w:val="20"/>
    </w:rPr>
  </w:style>
  <w:style w:type="paragraph" w:customStyle="1" w:styleId="TableHeading">
    <w:name w:val="Table Heading"/>
    <w:basedOn w:val="Normal"/>
    <w:next w:val="Normal"/>
    <w:rsid w:val="002C50AB"/>
    <w:pPr>
      <w:tabs>
        <w:tab w:val="left" w:pos="851"/>
      </w:tabs>
      <w:jc w:val="center"/>
    </w:pPr>
    <w:rPr>
      <w:b/>
      <w:szCs w:val="20"/>
    </w:rPr>
  </w:style>
  <w:style w:type="paragraph" w:customStyle="1" w:styleId="TitleBorder">
    <w:name w:val="TitleBorder"/>
    <w:basedOn w:val="Normal"/>
    <w:rsid w:val="002C50AB"/>
    <w:pPr>
      <w:pBdr>
        <w:bottom w:val="double" w:sz="6" w:space="0" w:color="auto"/>
      </w:pBdr>
      <w:tabs>
        <w:tab w:val="left" w:pos="851"/>
      </w:tabs>
    </w:pPr>
    <w:rPr>
      <w:b/>
      <w:szCs w:val="20"/>
    </w:rPr>
  </w:style>
  <w:style w:type="paragraph" w:styleId="TOC7">
    <w:name w:val="toc 7"/>
    <w:basedOn w:val="Normal"/>
    <w:next w:val="Normal"/>
    <w:autoRedefine/>
    <w:semiHidden/>
    <w:rsid w:val="002C50AB"/>
    <w:pPr>
      <w:ind w:left="1440"/>
    </w:pPr>
    <w:rPr>
      <w:szCs w:val="21"/>
    </w:rPr>
  </w:style>
  <w:style w:type="paragraph" w:styleId="TOC8">
    <w:name w:val="toc 8"/>
    <w:basedOn w:val="Normal"/>
    <w:next w:val="Normal"/>
    <w:autoRedefine/>
    <w:semiHidden/>
    <w:rsid w:val="002C50AB"/>
    <w:pPr>
      <w:ind w:left="1680"/>
    </w:pPr>
    <w:rPr>
      <w:szCs w:val="21"/>
    </w:rPr>
  </w:style>
  <w:style w:type="paragraph" w:styleId="TOC9">
    <w:name w:val="toc 9"/>
    <w:basedOn w:val="Normal"/>
    <w:next w:val="Normal"/>
    <w:autoRedefine/>
    <w:semiHidden/>
    <w:rsid w:val="002C50AB"/>
    <w:pPr>
      <w:ind w:left="1920"/>
    </w:pPr>
    <w:rPr>
      <w:szCs w:val="21"/>
    </w:rPr>
  </w:style>
  <w:style w:type="paragraph" w:styleId="FootnoteText">
    <w:name w:val="footnote text"/>
    <w:basedOn w:val="Normal"/>
    <w:link w:val="FootnoteTextChar"/>
    <w:uiPriority w:val="99"/>
    <w:semiHidden/>
    <w:rsid w:val="002C50AB"/>
    <w:rPr>
      <w:sz w:val="20"/>
      <w:szCs w:val="20"/>
    </w:rPr>
  </w:style>
  <w:style w:type="character" w:styleId="FootnoteReference">
    <w:name w:val="footnote reference"/>
    <w:basedOn w:val="DefaultParagraphFont"/>
    <w:uiPriority w:val="99"/>
    <w:semiHidden/>
    <w:rsid w:val="002C50AB"/>
    <w:rPr>
      <w:vertAlign w:val="superscript"/>
    </w:rPr>
  </w:style>
  <w:style w:type="paragraph" w:customStyle="1" w:styleId="heading">
    <w:name w:val="heading"/>
    <w:basedOn w:val="Normal"/>
    <w:rsid w:val="002C50AB"/>
    <w:pPr>
      <w:tabs>
        <w:tab w:val="left" w:pos="840"/>
      </w:tabs>
      <w:ind w:left="851" w:hanging="851"/>
    </w:pPr>
    <w:rPr>
      <w:b/>
      <w:caps/>
      <w:szCs w:val="20"/>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ED36E4"/>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rPr>
      <w:rFonts w:cs="Times New Roman"/>
    </w:rPr>
  </w:style>
  <w:style w:type="paragraph" w:customStyle="1" w:styleId="FSBullet">
    <w:name w:val="FS Bullet"/>
    <w:basedOn w:val="Normal"/>
    <w:next w:val="Normal"/>
    <w:link w:val="FSBulletChar"/>
    <w:qFormat/>
    <w:rsid w:val="00E2003B"/>
    <w:pPr>
      <w:numPr>
        <w:numId w:val="32"/>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ListParagraph">
    <w:name w:val="List Paragraph"/>
    <w:basedOn w:val="Normal"/>
    <w:qFormat/>
    <w:rsid w:val="00CD1757"/>
    <w:pPr>
      <w:ind w:left="720"/>
      <w:contextualSpacing/>
    </w:pPr>
  </w:style>
  <w:style w:type="character" w:customStyle="1" w:styleId="ClauseChar">
    <w:name w:val="Clause Char"/>
    <w:basedOn w:val="DefaultParagraphFont"/>
    <w:link w:val="Clause"/>
    <w:rsid w:val="00EB5F9A"/>
    <w:rPr>
      <w:rFonts w:ascii="Arial" w:hAnsi="Arial"/>
      <w:lang w:eastAsia="en-US" w:bidi="en-US"/>
    </w:rPr>
  </w:style>
  <w:style w:type="character" w:styleId="CommentReference">
    <w:name w:val="annotation reference"/>
    <w:basedOn w:val="DefaultParagraphFont"/>
    <w:rsid w:val="00D1622D"/>
    <w:rPr>
      <w:sz w:val="16"/>
      <w:szCs w:val="16"/>
    </w:rPr>
  </w:style>
  <w:style w:type="paragraph" w:styleId="CommentText">
    <w:name w:val="annotation text"/>
    <w:basedOn w:val="Normal"/>
    <w:link w:val="CommentTextChar"/>
    <w:rsid w:val="00D1622D"/>
    <w:rPr>
      <w:sz w:val="20"/>
      <w:szCs w:val="20"/>
    </w:rPr>
  </w:style>
  <w:style w:type="character" w:customStyle="1" w:styleId="CommentTextChar">
    <w:name w:val="Comment Text Char"/>
    <w:basedOn w:val="DefaultParagraphFont"/>
    <w:link w:val="CommentText"/>
    <w:rsid w:val="00D1622D"/>
    <w:rPr>
      <w:rFonts w:ascii="Arial" w:hAnsi="Arial"/>
      <w:lang w:eastAsia="en-US" w:bidi="en-US"/>
    </w:rPr>
  </w:style>
  <w:style w:type="paragraph" w:styleId="CommentSubject">
    <w:name w:val="annotation subject"/>
    <w:basedOn w:val="CommentText"/>
    <w:next w:val="CommentText"/>
    <w:link w:val="CommentSubjectChar"/>
    <w:rsid w:val="00D1622D"/>
    <w:rPr>
      <w:b/>
      <w:bCs/>
    </w:rPr>
  </w:style>
  <w:style w:type="character" w:customStyle="1" w:styleId="CommentSubjectChar">
    <w:name w:val="Comment Subject Char"/>
    <w:basedOn w:val="CommentTextChar"/>
    <w:link w:val="CommentSubject"/>
    <w:rsid w:val="00D1622D"/>
    <w:rPr>
      <w:rFonts w:ascii="Arial" w:hAnsi="Arial"/>
      <w:b/>
      <w:bCs/>
      <w:lang w:eastAsia="en-US" w:bidi="en-US"/>
    </w:rPr>
  </w:style>
  <w:style w:type="character" w:customStyle="1" w:styleId="FootnoteTextChar">
    <w:name w:val="Footnote Text Char"/>
    <w:basedOn w:val="DefaultParagraphFont"/>
    <w:link w:val="FootnoteText"/>
    <w:uiPriority w:val="99"/>
    <w:semiHidden/>
    <w:rsid w:val="003512FA"/>
    <w:rPr>
      <w:rFonts w:ascii="Arial" w:hAnsi="Arial"/>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820333">
      <w:bodyDiv w:val="1"/>
      <w:marLeft w:val="0"/>
      <w:marRight w:val="0"/>
      <w:marTop w:val="0"/>
      <w:marBottom w:val="0"/>
      <w:divBdr>
        <w:top w:val="none" w:sz="0" w:space="0" w:color="auto"/>
        <w:left w:val="none" w:sz="0" w:space="0" w:color="auto"/>
        <w:bottom w:val="none" w:sz="0" w:space="0" w:color="auto"/>
        <w:right w:val="none" w:sz="0" w:space="0" w:color="auto"/>
      </w:divBdr>
    </w:div>
    <w:div w:id="1328287210">
      <w:bodyDiv w:val="1"/>
      <w:marLeft w:val="0"/>
      <w:marRight w:val="0"/>
      <w:marTop w:val="0"/>
      <w:marBottom w:val="0"/>
      <w:divBdr>
        <w:top w:val="none" w:sz="0" w:space="0" w:color="auto"/>
        <w:left w:val="none" w:sz="0" w:space="0" w:color="auto"/>
        <w:bottom w:val="none" w:sz="0" w:space="0" w:color="auto"/>
        <w:right w:val="none" w:sz="0" w:space="0" w:color="auto"/>
      </w:divBdr>
    </w:div>
    <w:div w:id="195848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fao.org/ag/agn/jecfa-additives/specs/monograph7/additive-505-m7.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fao.org/ag/agn/agns/jecfa/cta/69/Calcium_Lignosulfonate%20_40_65_CTA_69.pdf" TargetMode="External"/><Relationship Id="rId2" Type="http://schemas.openxmlformats.org/officeDocument/2006/relationships/numbering" Target="numbering.xml"/><Relationship Id="rId16" Type="http://schemas.openxmlformats.org/officeDocument/2006/relationships/hyperlink" Target="http://www.efsa.europa.eu/en/scdocs/scdoc/1525.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odexalimentarius.net/download/report/721/al32_12e.pdf" TargetMode="External"/><Relationship Id="rId10" Type="http://schemas.openxmlformats.org/officeDocument/2006/relationships/header" Target="header1.xml"/><Relationship Id="rId19" Type="http://schemas.openxmlformats.org/officeDocument/2006/relationships/hyperlink" Target="http://whqlibdoc.who.int/publications/2009/9789241660600_eng.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foodstandards.gov.au/foodstandards/applications/applicationa1030calc4429.cf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au/internet/main/publishing.nsf/content/foodsecretariat-is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933CD-CDCE-4066-93AD-B25FEADB9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24</Pages>
  <Words>9382</Words>
  <Characters>56452</Characters>
  <Application>Microsoft Office Word</Application>
  <DocSecurity>0</DocSecurity>
  <Lines>470</Lines>
  <Paragraphs>131</Paragraphs>
  <ScaleCrop>false</ScaleCrop>
  <HeadingPairs>
    <vt:vector size="2" baseType="variant">
      <vt:variant>
        <vt:lpstr>Title</vt:lpstr>
      </vt:variant>
      <vt:variant>
        <vt:i4>1</vt:i4>
      </vt:variant>
    </vt:vector>
  </HeadingPairs>
  <TitlesOfParts>
    <vt:vector size="1" baseType="lpstr">
      <vt:lpstr>PLEASE REFER TO ANZFA’S GUIDE TO APPLICATIONS AND PROPOSALS FOR A MORE DETAILED EXPLANATION OF THE PROCESS ON HOW TO UNDERTAKE</vt:lpstr>
    </vt:vector>
  </TitlesOfParts>
  <Company>ANZFA</Company>
  <LinksUpToDate>false</LinksUpToDate>
  <CharactersWithSpaces>65703</CharactersWithSpaces>
  <SharedDoc>false</SharedDoc>
  <HLinks>
    <vt:vector size="264" baseType="variant">
      <vt:variant>
        <vt:i4>5963873</vt:i4>
      </vt:variant>
      <vt:variant>
        <vt:i4>240</vt:i4>
      </vt:variant>
      <vt:variant>
        <vt:i4>0</vt:i4>
      </vt:variant>
      <vt:variant>
        <vt:i4>5</vt:i4>
      </vt:variant>
      <vt:variant>
        <vt:lpwstr>http://whqlibdoc.who.int/publications/2009/9789241660600_eng.pdf</vt:lpwstr>
      </vt:variant>
      <vt:variant>
        <vt:lpwstr/>
      </vt:variant>
      <vt:variant>
        <vt:i4>3342391</vt:i4>
      </vt:variant>
      <vt:variant>
        <vt:i4>237</vt:i4>
      </vt:variant>
      <vt:variant>
        <vt:i4>0</vt:i4>
      </vt:variant>
      <vt:variant>
        <vt:i4>5</vt:i4>
      </vt:variant>
      <vt:variant>
        <vt:lpwstr>http://www.fao.org/ag/agn/jecfa-additives/specs/monograph7/additive-505-m7.pdf</vt:lpwstr>
      </vt:variant>
      <vt:variant>
        <vt:lpwstr/>
      </vt:variant>
      <vt:variant>
        <vt:i4>1179682</vt:i4>
      </vt:variant>
      <vt:variant>
        <vt:i4>234</vt:i4>
      </vt:variant>
      <vt:variant>
        <vt:i4>0</vt:i4>
      </vt:variant>
      <vt:variant>
        <vt:i4>5</vt:i4>
      </vt:variant>
      <vt:variant>
        <vt:lpwstr>http://www.fao.org/ag/agn/agns/jecfa/cta/69/Calcium_Lignosulfonate _40_65_CTA_69.pdf</vt:lpwstr>
      </vt:variant>
      <vt:variant>
        <vt:lpwstr/>
      </vt:variant>
      <vt:variant>
        <vt:i4>3211379</vt:i4>
      </vt:variant>
      <vt:variant>
        <vt:i4>231</vt:i4>
      </vt:variant>
      <vt:variant>
        <vt:i4>0</vt:i4>
      </vt:variant>
      <vt:variant>
        <vt:i4>5</vt:i4>
      </vt:variant>
      <vt:variant>
        <vt:lpwstr>http://www.efsa.europa.eu/en/scdocs/scdoc/1525.htm</vt:lpwstr>
      </vt:variant>
      <vt:variant>
        <vt:lpwstr/>
      </vt:variant>
      <vt:variant>
        <vt:i4>6684690</vt:i4>
      </vt:variant>
      <vt:variant>
        <vt:i4>228</vt:i4>
      </vt:variant>
      <vt:variant>
        <vt:i4>0</vt:i4>
      </vt:variant>
      <vt:variant>
        <vt:i4>5</vt:i4>
      </vt:variant>
      <vt:variant>
        <vt:lpwstr>http://www.codexalimentarius.net/download/report/721/al32_12e.pdf</vt:lpwstr>
      </vt:variant>
      <vt:variant>
        <vt:lpwstr/>
      </vt:variant>
      <vt:variant>
        <vt:i4>8061048</vt:i4>
      </vt:variant>
      <vt:variant>
        <vt:i4>225</vt:i4>
      </vt:variant>
      <vt:variant>
        <vt:i4>0</vt:i4>
      </vt:variant>
      <vt:variant>
        <vt:i4>5</vt:i4>
      </vt:variant>
      <vt:variant>
        <vt:lpwstr>http://www.foodstandards.gov.au/foodstandards/applications/applicationa1030calc4429.cfm</vt:lpwstr>
      </vt:variant>
      <vt:variant>
        <vt:lpwstr/>
      </vt:variant>
      <vt:variant>
        <vt:i4>1900592</vt:i4>
      </vt:variant>
      <vt:variant>
        <vt:i4>218</vt:i4>
      </vt:variant>
      <vt:variant>
        <vt:i4>0</vt:i4>
      </vt:variant>
      <vt:variant>
        <vt:i4>5</vt:i4>
      </vt:variant>
      <vt:variant>
        <vt:lpwstr/>
      </vt:variant>
      <vt:variant>
        <vt:lpwstr>_Toc282095979</vt:lpwstr>
      </vt:variant>
      <vt:variant>
        <vt:i4>1900592</vt:i4>
      </vt:variant>
      <vt:variant>
        <vt:i4>215</vt:i4>
      </vt:variant>
      <vt:variant>
        <vt:i4>0</vt:i4>
      </vt:variant>
      <vt:variant>
        <vt:i4>5</vt:i4>
      </vt:variant>
      <vt:variant>
        <vt:lpwstr/>
      </vt:variant>
      <vt:variant>
        <vt:lpwstr>_Toc282095978</vt:lpwstr>
      </vt:variant>
      <vt:variant>
        <vt:i4>1900592</vt:i4>
      </vt:variant>
      <vt:variant>
        <vt:i4>209</vt:i4>
      </vt:variant>
      <vt:variant>
        <vt:i4>0</vt:i4>
      </vt:variant>
      <vt:variant>
        <vt:i4>5</vt:i4>
      </vt:variant>
      <vt:variant>
        <vt:lpwstr/>
      </vt:variant>
      <vt:variant>
        <vt:lpwstr>_Toc282095977</vt:lpwstr>
      </vt:variant>
      <vt:variant>
        <vt:i4>1900592</vt:i4>
      </vt:variant>
      <vt:variant>
        <vt:i4>206</vt:i4>
      </vt:variant>
      <vt:variant>
        <vt:i4>0</vt:i4>
      </vt:variant>
      <vt:variant>
        <vt:i4>5</vt:i4>
      </vt:variant>
      <vt:variant>
        <vt:lpwstr/>
      </vt:variant>
      <vt:variant>
        <vt:lpwstr>_Toc282095976</vt:lpwstr>
      </vt:variant>
      <vt:variant>
        <vt:i4>1900592</vt:i4>
      </vt:variant>
      <vt:variant>
        <vt:i4>200</vt:i4>
      </vt:variant>
      <vt:variant>
        <vt:i4>0</vt:i4>
      </vt:variant>
      <vt:variant>
        <vt:i4>5</vt:i4>
      </vt:variant>
      <vt:variant>
        <vt:lpwstr/>
      </vt:variant>
      <vt:variant>
        <vt:lpwstr>_Toc282095975</vt:lpwstr>
      </vt:variant>
      <vt:variant>
        <vt:i4>1900592</vt:i4>
      </vt:variant>
      <vt:variant>
        <vt:i4>194</vt:i4>
      </vt:variant>
      <vt:variant>
        <vt:i4>0</vt:i4>
      </vt:variant>
      <vt:variant>
        <vt:i4>5</vt:i4>
      </vt:variant>
      <vt:variant>
        <vt:lpwstr/>
      </vt:variant>
      <vt:variant>
        <vt:lpwstr>_Toc282095974</vt:lpwstr>
      </vt:variant>
      <vt:variant>
        <vt:i4>1900592</vt:i4>
      </vt:variant>
      <vt:variant>
        <vt:i4>188</vt:i4>
      </vt:variant>
      <vt:variant>
        <vt:i4>0</vt:i4>
      </vt:variant>
      <vt:variant>
        <vt:i4>5</vt:i4>
      </vt:variant>
      <vt:variant>
        <vt:lpwstr/>
      </vt:variant>
      <vt:variant>
        <vt:lpwstr>_Toc282095973</vt:lpwstr>
      </vt:variant>
      <vt:variant>
        <vt:i4>1900592</vt:i4>
      </vt:variant>
      <vt:variant>
        <vt:i4>182</vt:i4>
      </vt:variant>
      <vt:variant>
        <vt:i4>0</vt:i4>
      </vt:variant>
      <vt:variant>
        <vt:i4>5</vt:i4>
      </vt:variant>
      <vt:variant>
        <vt:lpwstr/>
      </vt:variant>
      <vt:variant>
        <vt:lpwstr>_Toc282095972</vt:lpwstr>
      </vt:variant>
      <vt:variant>
        <vt:i4>1900592</vt:i4>
      </vt:variant>
      <vt:variant>
        <vt:i4>176</vt:i4>
      </vt:variant>
      <vt:variant>
        <vt:i4>0</vt:i4>
      </vt:variant>
      <vt:variant>
        <vt:i4>5</vt:i4>
      </vt:variant>
      <vt:variant>
        <vt:lpwstr/>
      </vt:variant>
      <vt:variant>
        <vt:lpwstr>_Toc282095971</vt:lpwstr>
      </vt:variant>
      <vt:variant>
        <vt:i4>1900592</vt:i4>
      </vt:variant>
      <vt:variant>
        <vt:i4>170</vt:i4>
      </vt:variant>
      <vt:variant>
        <vt:i4>0</vt:i4>
      </vt:variant>
      <vt:variant>
        <vt:i4>5</vt:i4>
      </vt:variant>
      <vt:variant>
        <vt:lpwstr/>
      </vt:variant>
      <vt:variant>
        <vt:lpwstr>_Toc282095970</vt:lpwstr>
      </vt:variant>
      <vt:variant>
        <vt:i4>1835056</vt:i4>
      </vt:variant>
      <vt:variant>
        <vt:i4>164</vt:i4>
      </vt:variant>
      <vt:variant>
        <vt:i4>0</vt:i4>
      </vt:variant>
      <vt:variant>
        <vt:i4>5</vt:i4>
      </vt:variant>
      <vt:variant>
        <vt:lpwstr/>
      </vt:variant>
      <vt:variant>
        <vt:lpwstr>_Toc282095969</vt:lpwstr>
      </vt:variant>
      <vt:variant>
        <vt:i4>1835056</vt:i4>
      </vt:variant>
      <vt:variant>
        <vt:i4>158</vt:i4>
      </vt:variant>
      <vt:variant>
        <vt:i4>0</vt:i4>
      </vt:variant>
      <vt:variant>
        <vt:i4>5</vt:i4>
      </vt:variant>
      <vt:variant>
        <vt:lpwstr/>
      </vt:variant>
      <vt:variant>
        <vt:lpwstr>_Toc282095968</vt:lpwstr>
      </vt:variant>
      <vt:variant>
        <vt:i4>1835056</vt:i4>
      </vt:variant>
      <vt:variant>
        <vt:i4>152</vt:i4>
      </vt:variant>
      <vt:variant>
        <vt:i4>0</vt:i4>
      </vt:variant>
      <vt:variant>
        <vt:i4>5</vt:i4>
      </vt:variant>
      <vt:variant>
        <vt:lpwstr/>
      </vt:variant>
      <vt:variant>
        <vt:lpwstr>_Toc282095967</vt:lpwstr>
      </vt:variant>
      <vt:variant>
        <vt:i4>1835056</vt:i4>
      </vt:variant>
      <vt:variant>
        <vt:i4>146</vt:i4>
      </vt:variant>
      <vt:variant>
        <vt:i4>0</vt:i4>
      </vt:variant>
      <vt:variant>
        <vt:i4>5</vt:i4>
      </vt:variant>
      <vt:variant>
        <vt:lpwstr/>
      </vt:variant>
      <vt:variant>
        <vt:lpwstr>_Toc282095966</vt:lpwstr>
      </vt:variant>
      <vt:variant>
        <vt:i4>1835056</vt:i4>
      </vt:variant>
      <vt:variant>
        <vt:i4>140</vt:i4>
      </vt:variant>
      <vt:variant>
        <vt:i4>0</vt:i4>
      </vt:variant>
      <vt:variant>
        <vt:i4>5</vt:i4>
      </vt:variant>
      <vt:variant>
        <vt:lpwstr/>
      </vt:variant>
      <vt:variant>
        <vt:lpwstr>_Toc282095965</vt:lpwstr>
      </vt:variant>
      <vt:variant>
        <vt:i4>1835056</vt:i4>
      </vt:variant>
      <vt:variant>
        <vt:i4>134</vt:i4>
      </vt:variant>
      <vt:variant>
        <vt:i4>0</vt:i4>
      </vt:variant>
      <vt:variant>
        <vt:i4>5</vt:i4>
      </vt:variant>
      <vt:variant>
        <vt:lpwstr/>
      </vt:variant>
      <vt:variant>
        <vt:lpwstr>_Toc282095964</vt:lpwstr>
      </vt:variant>
      <vt:variant>
        <vt:i4>1835056</vt:i4>
      </vt:variant>
      <vt:variant>
        <vt:i4>128</vt:i4>
      </vt:variant>
      <vt:variant>
        <vt:i4>0</vt:i4>
      </vt:variant>
      <vt:variant>
        <vt:i4>5</vt:i4>
      </vt:variant>
      <vt:variant>
        <vt:lpwstr/>
      </vt:variant>
      <vt:variant>
        <vt:lpwstr>_Toc282095963</vt:lpwstr>
      </vt:variant>
      <vt:variant>
        <vt:i4>1835056</vt:i4>
      </vt:variant>
      <vt:variant>
        <vt:i4>122</vt:i4>
      </vt:variant>
      <vt:variant>
        <vt:i4>0</vt:i4>
      </vt:variant>
      <vt:variant>
        <vt:i4>5</vt:i4>
      </vt:variant>
      <vt:variant>
        <vt:lpwstr/>
      </vt:variant>
      <vt:variant>
        <vt:lpwstr>_Toc282095962</vt:lpwstr>
      </vt:variant>
      <vt:variant>
        <vt:i4>1835056</vt:i4>
      </vt:variant>
      <vt:variant>
        <vt:i4>116</vt:i4>
      </vt:variant>
      <vt:variant>
        <vt:i4>0</vt:i4>
      </vt:variant>
      <vt:variant>
        <vt:i4>5</vt:i4>
      </vt:variant>
      <vt:variant>
        <vt:lpwstr/>
      </vt:variant>
      <vt:variant>
        <vt:lpwstr>_Toc282095961</vt:lpwstr>
      </vt:variant>
      <vt:variant>
        <vt:i4>1835056</vt:i4>
      </vt:variant>
      <vt:variant>
        <vt:i4>110</vt:i4>
      </vt:variant>
      <vt:variant>
        <vt:i4>0</vt:i4>
      </vt:variant>
      <vt:variant>
        <vt:i4>5</vt:i4>
      </vt:variant>
      <vt:variant>
        <vt:lpwstr/>
      </vt:variant>
      <vt:variant>
        <vt:lpwstr>_Toc282095960</vt:lpwstr>
      </vt:variant>
      <vt:variant>
        <vt:i4>2031664</vt:i4>
      </vt:variant>
      <vt:variant>
        <vt:i4>104</vt:i4>
      </vt:variant>
      <vt:variant>
        <vt:i4>0</vt:i4>
      </vt:variant>
      <vt:variant>
        <vt:i4>5</vt:i4>
      </vt:variant>
      <vt:variant>
        <vt:lpwstr/>
      </vt:variant>
      <vt:variant>
        <vt:lpwstr>_Toc282095959</vt:lpwstr>
      </vt:variant>
      <vt:variant>
        <vt:i4>2031664</vt:i4>
      </vt:variant>
      <vt:variant>
        <vt:i4>98</vt:i4>
      </vt:variant>
      <vt:variant>
        <vt:i4>0</vt:i4>
      </vt:variant>
      <vt:variant>
        <vt:i4>5</vt:i4>
      </vt:variant>
      <vt:variant>
        <vt:lpwstr/>
      </vt:variant>
      <vt:variant>
        <vt:lpwstr>_Toc282095958</vt:lpwstr>
      </vt:variant>
      <vt:variant>
        <vt:i4>2031664</vt:i4>
      </vt:variant>
      <vt:variant>
        <vt:i4>92</vt:i4>
      </vt:variant>
      <vt:variant>
        <vt:i4>0</vt:i4>
      </vt:variant>
      <vt:variant>
        <vt:i4>5</vt:i4>
      </vt:variant>
      <vt:variant>
        <vt:lpwstr/>
      </vt:variant>
      <vt:variant>
        <vt:lpwstr>_Toc282095957</vt:lpwstr>
      </vt:variant>
      <vt:variant>
        <vt:i4>2031664</vt:i4>
      </vt:variant>
      <vt:variant>
        <vt:i4>86</vt:i4>
      </vt:variant>
      <vt:variant>
        <vt:i4>0</vt:i4>
      </vt:variant>
      <vt:variant>
        <vt:i4>5</vt:i4>
      </vt:variant>
      <vt:variant>
        <vt:lpwstr/>
      </vt:variant>
      <vt:variant>
        <vt:lpwstr>_Toc282095956</vt:lpwstr>
      </vt:variant>
      <vt:variant>
        <vt:i4>2031664</vt:i4>
      </vt:variant>
      <vt:variant>
        <vt:i4>80</vt:i4>
      </vt:variant>
      <vt:variant>
        <vt:i4>0</vt:i4>
      </vt:variant>
      <vt:variant>
        <vt:i4>5</vt:i4>
      </vt:variant>
      <vt:variant>
        <vt:lpwstr/>
      </vt:variant>
      <vt:variant>
        <vt:lpwstr>_Toc282095955</vt:lpwstr>
      </vt:variant>
      <vt:variant>
        <vt:i4>2031664</vt:i4>
      </vt:variant>
      <vt:variant>
        <vt:i4>74</vt:i4>
      </vt:variant>
      <vt:variant>
        <vt:i4>0</vt:i4>
      </vt:variant>
      <vt:variant>
        <vt:i4>5</vt:i4>
      </vt:variant>
      <vt:variant>
        <vt:lpwstr/>
      </vt:variant>
      <vt:variant>
        <vt:lpwstr>_Toc282095954</vt:lpwstr>
      </vt:variant>
      <vt:variant>
        <vt:i4>2031664</vt:i4>
      </vt:variant>
      <vt:variant>
        <vt:i4>68</vt:i4>
      </vt:variant>
      <vt:variant>
        <vt:i4>0</vt:i4>
      </vt:variant>
      <vt:variant>
        <vt:i4>5</vt:i4>
      </vt:variant>
      <vt:variant>
        <vt:lpwstr/>
      </vt:variant>
      <vt:variant>
        <vt:lpwstr>_Toc282095953</vt:lpwstr>
      </vt:variant>
      <vt:variant>
        <vt:i4>2031664</vt:i4>
      </vt:variant>
      <vt:variant>
        <vt:i4>62</vt:i4>
      </vt:variant>
      <vt:variant>
        <vt:i4>0</vt:i4>
      </vt:variant>
      <vt:variant>
        <vt:i4>5</vt:i4>
      </vt:variant>
      <vt:variant>
        <vt:lpwstr/>
      </vt:variant>
      <vt:variant>
        <vt:lpwstr>_Toc282095952</vt:lpwstr>
      </vt:variant>
      <vt:variant>
        <vt:i4>2031664</vt:i4>
      </vt:variant>
      <vt:variant>
        <vt:i4>56</vt:i4>
      </vt:variant>
      <vt:variant>
        <vt:i4>0</vt:i4>
      </vt:variant>
      <vt:variant>
        <vt:i4>5</vt:i4>
      </vt:variant>
      <vt:variant>
        <vt:lpwstr/>
      </vt:variant>
      <vt:variant>
        <vt:lpwstr>_Toc282095951</vt:lpwstr>
      </vt:variant>
      <vt:variant>
        <vt:i4>2031664</vt:i4>
      </vt:variant>
      <vt:variant>
        <vt:i4>50</vt:i4>
      </vt:variant>
      <vt:variant>
        <vt:i4>0</vt:i4>
      </vt:variant>
      <vt:variant>
        <vt:i4>5</vt:i4>
      </vt:variant>
      <vt:variant>
        <vt:lpwstr/>
      </vt:variant>
      <vt:variant>
        <vt:lpwstr>_Toc282095950</vt:lpwstr>
      </vt:variant>
      <vt:variant>
        <vt:i4>1966128</vt:i4>
      </vt:variant>
      <vt:variant>
        <vt:i4>44</vt:i4>
      </vt:variant>
      <vt:variant>
        <vt:i4>0</vt:i4>
      </vt:variant>
      <vt:variant>
        <vt:i4>5</vt:i4>
      </vt:variant>
      <vt:variant>
        <vt:lpwstr/>
      </vt:variant>
      <vt:variant>
        <vt:lpwstr>_Toc282095949</vt:lpwstr>
      </vt:variant>
      <vt:variant>
        <vt:i4>1966128</vt:i4>
      </vt:variant>
      <vt:variant>
        <vt:i4>38</vt:i4>
      </vt:variant>
      <vt:variant>
        <vt:i4>0</vt:i4>
      </vt:variant>
      <vt:variant>
        <vt:i4>5</vt:i4>
      </vt:variant>
      <vt:variant>
        <vt:lpwstr/>
      </vt:variant>
      <vt:variant>
        <vt:lpwstr>_Toc282095948</vt:lpwstr>
      </vt:variant>
      <vt:variant>
        <vt:i4>1966128</vt:i4>
      </vt:variant>
      <vt:variant>
        <vt:i4>32</vt:i4>
      </vt:variant>
      <vt:variant>
        <vt:i4>0</vt:i4>
      </vt:variant>
      <vt:variant>
        <vt:i4>5</vt:i4>
      </vt:variant>
      <vt:variant>
        <vt:lpwstr/>
      </vt:variant>
      <vt:variant>
        <vt:lpwstr>_Toc282095947</vt:lpwstr>
      </vt:variant>
      <vt:variant>
        <vt:i4>1966128</vt:i4>
      </vt:variant>
      <vt:variant>
        <vt:i4>26</vt:i4>
      </vt:variant>
      <vt:variant>
        <vt:i4>0</vt:i4>
      </vt:variant>
      <vt:variant>
        <vt:i4>5</vt:i4>
      </vt:variant>
      <vt:variant>
        <vt:lpwstr/>
      </vt:variant>
      <vt:variant>
        <vt:lpwstr>_Toc282095946</vt:lpwstr>
      </vt:variant>
      <vt:variant>
        <vt:i4>1966128</vt:i4>
      </vt:variant>
      <vt:variant>
        <vt:i4>20</vt:i4>
      </vt:variant>
      <vt:variant>
        <vt:i4>0</vt:i4>
      </vt:variant>
      <vt:variant>
        <vt:i4>5</vt:i4>
      </vt:variant>
      <vt:variant>
        <vt:lpwstr/>
      </vt:variant>
      <vt:variant>
        <vt:lpwstr>_Toc282095945</vt:lpwstr>
      </vt:variant>
      <vt:variant>
        <vt:i4>1966128</vt:i4>
      </vt:variant>
      <vt:variant>
        <vt:i4>14</vt:i4>
      </vt:variant>
      <vt:variant>
        <vt:i4>0</vt:i4>
      </vt:variant>
      <vt:variant>
        <vt:i4>5</vt:i4>
      </vt:variant>
      <vt:variant>
        <vt:lpwstr/>
      </vt:variant>
      <vt:variant>
        <vt:lpwstr>_Toc282095944</vt:lpwstr>
      </vt:variant>
      <vt:variant>
        <vt:i4>1966128</vt:i4>
      </vt:variant>
      <vt:variant>
        <vt:i4>8</vt:i4>
      </vt:variant>
      <vt:variant>
        <vt:i4>0</vt:i4>
      </vt:variant>
      <vt:variant>
        <vt:i4>5</vt:i4>
      </vt:variant>
      <vt:variant>
        <vt:lpwstr/>
      </vt:variant>
      <vt:variant>
        <vt:lpwstr>_Toc282095943</vt:lpwstr>
      </vt:variant>
      <vt:variant>
        <vt:i4>1966128</vt:i4>
      </vt:variant>
      <vt:variant>
        <vt:i4>2</vt:i4>
      </vt:variant>
      <vt:variant>
        <vt:i4>0</vt:i4>
      </vt:variant>
      <vt:variant>
        <vt:i4>5</vt:i4>
      </vt:variant>
      <vt:variant>
        <vt:lpwstr/>
      </vt:variant>
      <vt:variant>
        <vt:lpwstr>_Toc282095942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REFER TO ANZFA’S GUIDE TO APPLICATIONS AND PROPOSALS FOR A MORE DETAILED EXPLANATION OF THE PROCESS ON HOW TO UNDERTAKE</dc:title>
  <dc:subject/>
  <dc:creator>fitzrm</dc:creator>
  <cp:keywords/>
  <dc:description/>
  <cp:lastModifiedBy>Humphries, Cathie</cp:lastModifiedBy>
  <cp:revision>12</cp:revision>
  <cp:lastPrinted>2011-05-05T01:24:00Z</cp:lastPrinted>
  <dcterms:created xsi:type="dcterms:W3CDTF">2011-04-20T00:16:00Z</dcterms:created>
  <dcterms:modified xsi:type="dcterms:W3CDTF">2011-06-03T06:21:00Z</dcterms:modified>
</cp:coreProperties>
</file>