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2B" w:rsidRDefault="00103A2B">
      <w:pPr>
        <w:pStyle w:val="LeftHeading"/>
        <w:jc w:val="center"/>
        <w:rPr>
          <w:u w:val="single"/>
        </w:rPr>
      </w:pPr>
      <w:r>
        <w:rPr>
          <w:u w:val="single"/>
        </w:rPr>
        <w:t>explanatory statement</w:t>
      </w:r>
    </w:p>
    <w:p w:rsidR="00742C93" w:rsidRDefault="00FF670E" w:rsidP="00742C93">
      <w:pPr>
        <w:jc w:val="center"/>
      </w:pPr>
      <w:r>
        <w:t xml:space="preserve">Issued by the </w:t>
      </w:r>
      <w:r w:rsidR="00742C93">
        <w:t>Minister for Finance and Deregulation</w:t>
      </w:r>
    </w:p>
    <w:p w:rsidR="00103A2B" w:rsidRDefault="00103A2B">
      <w:pPr>
        <w:pStyle w:val="Heading3"/>
      </w:pPr>
      <w:r>
        <w:t>Superannuation Act 1976</w:t>
      </w:r>
    </w:p>
    <w:p w:rsidR="00103A2B" w:rsidRDefault="00103A2B">
      <w:pPr>
        <w:ind w:right="-341"/>
        <w:jc w:val="center"/>
      </w:pPr>
      <w:r>
        <w:t>Declaration under paragraph (</w:t>
      </w:r>
      <w:proofErr w:type="spellStart"/>
      <w:r>
        <w:t>ec</w:t>
      </w:r>
      <w:proofErr w:type="spellEnd"/>
      <w:r>
        <w:t xml:space="preserve">) of the definition of </w:t>
      </w:r>
      <w:r w:rsidR="008A39F5">
        <w:t>“</w:t>
      </w:r>
      <w:r w:rsidRPr="008A39F5">
        <w:rPr>
          <w:iCs/>
        </w:rPr>
        <w:t>eligible employee</w:t>
      </w:r>
      <w:r w:rsidR="008A39F5">
        <w:rPr>
          <w:iCs/>
        </w:rPr>
        <w:t>”</w:t>
      </w:r>
      <w:r w:rsidRPr="008A39F5">
        <w:t xml:space="preserve"> </w:t>
      </w:r>
      <w:r>
        <w:t>included in subsection 3(1)</w:t>
      </w:r>
    </w:p>
    <w:p w:rsidR="00103A2B" w:rsidRDefault="00103A2B">
      <w:r>
        <w:t xml:space="preserve">The </w:t>
      </w:r>
      <w:r>
        <w:rPr>
          <w:i/>
        </w:rPr>
        <w:t xml:space="preserve">Superannuation Act 1976 </w:t>
      </w:r>
      <w:r>
        <w:t>(the Act) makes provision for and in relation to the Commonwealth Superannuation Scheme (CSS) for Australian Government employees and for certain other persons.</w:t>
      </w:r>
    </w:p>
    <w:p w:rsidR="00103A2B" w:rsidRPr="00681C94" w:rsidRDefault="00103A2B">
      <w:r>
        <w:t xml:space="preserve">Subsection 3(1) of the Act contains the definition of the term </w:t>
      </w:r>
      <w:r w:rsidR="008A39F5">
        <w:t>“</w:t>
      </w:r>
      <w:r>
        <w:t>eligible employee</w:t>
      </w:r>
      <w:r w:rsidR="008A39F5">
        <w:t>”</w:t>
      </w:r>
      <w:r>
        <w:rPr>
          <w:rFonts w:ascii="Times" w:hAnsi="Times"/>
        </w:rPr>
        <w:t xml:space="preserve"> </w:t>
      </w:r>
      <w:r>
        <w:t>that describes various classes of persons who may contribute to the CSS (</w:t>
      </w:r>
      <w:r w:rsidR="007373FF">
        <w:t>that is,</w:t>
      </w:r>
      <w:r>
        <w:t xml:space="preserve"> CSS members).  Paragraph (</w:t>
      </w:r>
      <w:proofErr w:type="spellStart"/>
      <w:r>
        <w:t>ec</w:t>
      </w:r>
      <w:proofErr w:type="spellEnd"/>
      <w:r>
        <w:t xml:space="preserve">) of the definition provides that the Minister may declare a </w:t>
      </w:r>
      <w:r w:rsidRPr="00681C94">
        <w:t>class of persons to be CSS members.</w:t>
      </w:r>
    </w:p>
    <w:p w:rsidR="00103A2B" w:rsidRPr="00681C94" w:rsidRDefault="00103A2B">
      <w:r w:rsidRPr="00681C94">
        <w:t xml:space="preserve">The </w:t>
      </w:r>
      <w:r w:rsidRPr="00681C94">
        <w:rPr>
          <w:i/>
        </w:rPr>
        <w:t>Superannuation (CSS) (Eligible Employees</w:t>
      </w:r>
      <w:r w:rsidR="00B73482">
        <w:rPr>
          <w:i/>
        </w:rPr>
        <w:t xml:space="preserve"> —</w:t>
      </w:r>
      <w:r w:rsidRPr="00681C94">
        <w:rPr>
          <w:i/>
        </w:rPr>
        <w:t xml:space="preserve"> Inclusion) Declaration 2003</w:t>
      </w:r>
      <w:r w:rsidRPr="00681C94">
        <w:t xml:space="preserve"> (the Principal Declaration) identifies the persons who are declared CSS members under paragraph (</w:t>
      </w:r>
      <w:proofErr w:type="spellStart"/>
      <w:r w:rsidRPr="00681C94">
        <w:t>ec</w:t>
      </w:r>
      <w:proofErr w:type="spellEnd"/>
      <w:r w:rsidRPr="00681C94">
        <w:t>) of the definition of eligible employee.</w:t>
      </w:r>
    </w:p>
    <w:p w:rsidR="00946B2A" w:rsidRDefault="00103A2B" w:rsidP="00946B2A">
      <w:r w:rsidRPr="00946B2A">
        <w:t xml:space="preserve">The purpose of the </w:t>
      </w:r>
      <w:r w:rsidRPr="00946B2A">
        <w:rPr>
          <w:b/>
          <w:i/>
        </w:rPr>
        <w:t xml:space="preserve">Superannuation (CSS) (Eligible Employees </w:t>
      </w:r>
      <w:r w:rsidR="00B73482">
        <w:rPr>
          <w:b/>
          <w:i/>
        </w:rPr>
        <w:t>—</w:t>
      </w:r>
      <w:r w:rsidRPr="00946B2A">
        <w:rPr>
          <w:b/>
          <w:i/>
        </w:rPr>
        <w:t xml:space="preserve"> Inclusion) Amendment Declaration 20</w:t>
      </w:r>
      <w:r w:rsidR="00FF670E" w:rsidRPr="00946B2A">
        <w:rPr>
          <w:b/>
          <w:i/>
        </w:rPr>
        <w:t>1</w:t>
      </w:r>
      <w:r w:rsidR="00AB3AEC">
        <w:rPr>
          <w:b/>
          <w:i/>
        </w:rPr>
        <w:t>1</w:t>
      </w:r>
      <w:r w:rsidRPr="00946B2A">
        <w:rPr>
          <w:b/>
          <w:i/>
        </w:rPr>
        <w:t xml:space="preserve"> (No. </w:t>
      </w:r>
      <w:r w:rsidR="007373FF" w:rsidRPr="00946B2A">
        <w:rPr>
          <w:b/>
          <w:i/>
        </w:rPr>
        <w:t>1</w:t>
      </w:r>
      <w:r w:rsidRPr="00946B2A">
        <w:rPr>
          <w:b/>
          <w:i/>
        </w:rPr>
        <w:t>)</w:t>
      </w:r>
      <w:r w:rsidRPr="00946B2A">
        <w:rPr>
          <w:b/>
        </w:rPr>
        <w:t xml:space="preserve"> </w:t>
      </w:r>
      <w:r w:rsidRPr="00946B2A">
        <w:t>(the Declaration)</w:t>
      </w:r>
      <w:r w:rsidRPr="00946B2A">
        <w:rPr>
          <w:b/>
        </w:rPr>
        <w:t xml:space="preserve"> </w:t>
      </w:r>
      <w:r w:rsidRPr="00946B2A">
        <w:t xml:space="preserve">is to amend the Principal Declaration to </w:t>
      </w:r>
      <w:r w:rsidR="00946B2A" w:rsidRPr="00946B2A">
        <w:t xml:space="preserve">reflect that the Australian Reward Investment Alliance (ARIA) (formerly the CSS/PSS Board) </w:t>
      </w:r>
      <w:r w:rsidR="00BD380B">
        <w:t xml:space="preserve">is </w:t>
      </w:r>
      <w:r w:rsidR="001224C1">
        <w:t xml:space="preserve">now </w:t>
      </w:r>
      <w:r w:rsidR="00946B2A" w:rsidRPr="00946B2A">
        <w:t>known as Commonwealth Superannuation Corp</w:t>
      </w:r>
      <w:r w:rsidR="00BD380B">
        <w:t xml:space="preserve">oration </w:t>
      </w:r>
      <w:r w:rsidR="00946B2A" w:rsidRPr="00946B2A">
        <w:t>(CSC) and that the Military Superannuation and Benefits Board of Trustees No. 1 (the MSB Boar</w:t>
      </w:r>
      <w:r w:rsidR="00D263EF">
        <w:t>d</w:t>
      </w:r>
      <w:r w:rsidR="00946B2A" w:rsidRPr="00946B2A">
        <w:t xml:space="preserve">) </w:t>
      </w:r>
      <w:r w:rsidR="001224C1">
        <w:t xml:space="preserve">has been </w:t>
      </w:r>
      <w:r w:rsidR="00BD380B">
        <w:t>abolished</w:t>
      </w:r>
      <w:r w:rsidR="00946B2A" w:rsidRPr="00946B2A">
        <w:t>.  The CSS membership arrangements for employees of CSC are consistent with those that were previously in place for ARIA employees.</w:t>
      </w:r>
    </w:p>
    <w:p w:rsidR="0026082B" w:rsidRPr="00C3550B" w:rsidRDefault="00255456" w:rsidP="00665071">
      <w:pPr>
        <w:rPr>
          <w:bCs/>
        </w:rPr>
      </w:pPr>
      <w:r>
        <w:t xml:space="preserve">The </w:t>
      </w:r>
      <w:r w:rsidRPr="00255456">
        <w:rPr>
          <w:i/>
        </w:rPr>
        <w:t xml:space="preserve">Governance of Australian Government Superannuation Schemes Act </w:t>
      </w:r>
      <w:r w:rsidR="00AB3AEC">
        <w:rPr>
          <w:i/>
        </w:rPr>
        <w:t>2011</w:t>
      </w:r>
      <w:r>
        <w:t xml:space="preserve"> </w:t>
      </w:r>
      <w:r w:rsidR="00EB62E3">
        <w:t xml:space="preserve">(the Governance Act) </w:t>
      </w:r>
      <w:r>
        <w:t xml:space="preserve">established CSC as the single trustee responsible for managing the main Commonwealth civilian and military superannuation schemes.  CSC was </w:t>
      </w:r>
      <w:r w:rsidR="00A53374" w:rsidRPr="00255456">
        <w:t>created by continuing in existence the body corporate that was formerly called A</w:t>
      </w:r>
      <w:r w:rsidR="00B73482">
        <w:t>RIA</w:t>
      </w:r>
      <w:r w:rsidRPr="00255456">
        <w:t xml:space="preserve"> </w:t>
      </w:r>
      <w:r w:rsidR="00A53374" w:rsidRPr="00255456">
        <w:t xml:space="preserve">and merging it with the </w:t>
      </w:r>
      <w:r w:rsidR="001067C6">
        <w:t>MSB Board</w:t>
      </w:r>
      <w:r>
        <w:t xml:space="preserve"> </w:t>
      </w:r>
      <w:r w:rsidR="00A53374" w:rsidRPr="00255456">
        <w:t>and the Defence Force Retirement and Death Benefits Authority.</w:t>
      </w:r>
      <w:r w:rsidR="00522DCF">
        <w:t xml:space="preserve">  </w:t>
      </w:r>
      <w:r w:rsidR="0026082B">
        <w:t xml:space="preserve">As part of the new arrangements, the MSB Board </w:t>
      </w:r>
      <w:r w:rsidR="00665071">
        <w:t xml:space="preserve">was abolished by the </w:t>
      </w:r>
      <w:r w:rsidR="0026082B" w:rsidRPr="00513350">
        <w:rPr>
          <w:bCs/>
          <w:i/>
        </w:rPr>
        <w:t xml:space="preserve">Superannuation Legislation (Consequential Amendments and Transitional Provisions) Act </w:t>
      </w:r>
      <w:r w:rsidR="00AB3AEC">
        <w:rPr>
          <w:bCs/>
          <w:i/>
        </w:rPr>
        <w:t>2011</w:t>
      </w:r>
      <w:r w:rsidR="0026082B">
        <w:rPr>
          <w:bCs/>
        </w:rPr>
        <w:t xml:space="preserve">.  </w:t>
      </w:r>
    </w:p>
    <w:p w:rsidR="00D65E93" w:rsidRPr="00140301" w:rsidRDefault="00DC41A3" w:rsidP="00D65E93">
      <w:r w:rsidRPr="00255456">
        <w:t xml:space="preserve">ARIA </w:t>
      </w:r>
      <w:r w:rsidR="00D263EF">
        <w:t xml:space="preserve">and the MSB Board </w:t>
      </w:r>
      <w:r w:rsidR="00382E02">
        <w:t>w</w:t>
      </w:r>
      <w:r w:rsidR="00D263EF">
        <w:t>ere</w:t>
      </w:r>
      <w:r w:rsidR="00382E02">
        <w:t xml:space="preserve"> </w:t>
      </w:r>
      <w:r w:rsidRPr="00255456">
        <w:t>consulted on</w:t>
      </w:r>
      <w:r w:rsidR="00B73482">
        <w:t xml:space="preserve"> the amendments contained in the</w:t>
      </w:r>
      <w:r w:rsidRPr="00255456">
        <w:t xml:space="preserve"> Declaration.</w:t>
      </w:r>
    </w:p>
    <w:p w:rsidR="00D65E93" w:rsidRPr="00B73482" w:rsidRDefault="00D65E93" w:rsidP="00B73482">
      <w:r w:rsidRPr="00140301">
        <w:t xml:space="preserve">The Declaration is a legislative instrument for the purposes of the </w:t>
      </w:r>
      <w:r w:rsidRPr="00B73482">
        <w:rPr>
          <w:i/>
        </w:rPr>
        <w:t>Legislative Instruments Act 2003</w:t>
      </w:r>
      <w:r w:rsidRPr="00B73482">
        <w:t>.</w:t>
      </w:r>
    </w:p>
    <w:p w:rsidR="00140301" w:rsidRPr="00140301" w:rsidRDefault="00D65E93" w:rsidP="00140301">
      <w:r w:rsidRPr="00140301">
        <w:t>The Declaration commence</w:t>
      </w:r>
      <w:r w:rsidR="006677E2" w:rsidRPr="00140301">
        <w:t>s</w:t>
      </w:r>
      <w:r w:rsidRPr="00140301">
        <w:t xml:space="preserve"> </w:t>
      </w:r>
      <w:r w:rsidR="006026B0">
        <w:t xml:space="preserve">on </w:t>
      </w:r>
      <w:r w:rsidR="00140301" w:rsidRPr="00140301">
        <w:t xml:space="preserve">the commencement of the </w:t>
      </w:r>
      <w:r w:rsidR="00EB62E3">
        <w:t>Governance Act</w:t>
      </w:r>
      <w:r w:rsidR="00140301" w:rsidRPr="00140301">
        <w:rPr>
          <w:i/>
        </w:rPr>
        <w:t>.</w:t>
      </w:r>
    </w:p>
    <w:p w:rsidR="00D65E93" w:rsidRPr="00BD1CB8" w:rsidRDefault="00D65E93" w:rsidP="00D65E93">
      <w:pPr>
        <w:spacing w:after="240"/>
      </w:pPr>
      <w:r w:rsidRPr="00140301">
        <w:t xml:space="preserve">The details of the Declaration are explained in the </w:t>
      </w:r>
      <w:r w:rsidRPr="009E08B6">
        <w:rPr>
          <w:u w:val="single"/>
        </w:rPr>
        <w:t>Attachment</w:t>
      </w:r>
      <w:r w:rsidRPr="00140301">
        <w:t>.</w:t>
      </w:r>
    </w:p>
    <w:p w:rsidR="00103A2B" w:rsidRDefault="00103A2B">
      <w:pPr>
        <w:pStyle w:val="Attachment"/>
      </w:pPr>
      <w:r>
        <w:br w:type="page"/>
      </w:r>
      <w:r>
        <w:lastRenderedPageBreak/>
        <w:t>Attachment</w:t>
      </w:r>
    </w:p>
    <w:p w:rsidR="00103A2B" w:rsidRPr="0015329B" w:rsidRDefault="00103A2B">
      <w:pPr>
        <w:pStyle w:val="Heading1"/>
      </w:pPr>
      <w:r w:rsidRPr="0015329B">
        <w:t xml:space="preserve">Superannuation (CSS) (Eligible Employees </w:t>
      </w:r>
      <w:r w:rsidR="004A5150">
        <w:t>—</w:t>
      </w:r>
      <w:r w:rsidRPr="0015329B">
        <w:t xml:space="preserve"> inclusion) Amendment Declaration </w:t>
      </w:r>
      <w:r w:rsidR="00AB3AEC">
        <w:t>2011</w:t>
      </w:r>
      <w:r w:rsidRPr="0015329B">
        <w:t xml:space="preserve"> (No. </w:t>
      </w:r>
      <w:r w:rsidR="0015329B" w:rsidRPr="0015329B">
        <w:t>1</w:t>
      </w:r>
      <w:r w:rsidRPr="0015329B">
        <w:t>)</w:t>
      </w:r>
    </w:p>
    <w:p w:rsidR="0015329B" w:rsidRPr="00BD1235" w:rsidRDefault="00967441" w:rsidP="0015329B">
      <w:pPr>
        <w:pStyle w:val="SubHeading"/>
      </w:pPr>
      <w:r>
        <w:t xml:space="preserve">Section </w:t>
      </w:r>
      <w:r w:rsidR="0015329B" w:rsidRPr="00BD1235">
        <w:t xml:space="preserve">1 </w:t>
      </w:r>
      <w:r w:rsidR="00B73482">
        <w:t>-</w:t>
      </w:r>
      <w:r w:rsidR="0015329B" w:rsidRPr="00BD1235">
        <w:t xml:space="preserve"> Name of Declaration</w:t>
      </w:r>
    </w:p>
    <w:p w:rsidR="0015329B" w:rsidRPr="00BD1235" w:rsidRDefault="0015329B" w:rsidP="0015329B">
      <w:pPr>
        <w:rPr>
          <w:i/>
        </w:rPr>
      </w:pPr>
      <w:r w:rsidRPr="00BD1235">
        <w:t xml:space="preserve">This </w:t>
      </w:r>
      <w:r w:rsidR="00967441">
        <w:t>section</w:t>
      </w:r>
      <w:r w:rsidRPr="00BD1235">
        <w:t xml:space="preserve"> provides that the name of the Declaration is the </w:t>
      </w:r>
      <w:r w:rsidRPr="00BD1235">
        <w:rPr>
          <w:i/>
        </w:rPr>
        <w:t>Superannua</w:t>
      </w:r>
      <w:r w:rsidR="00B73482">
        <w:rPr>
          <w:i/>
        </w:rPr>
        <w:t>tion (CSS) (Eligible Employees —</w:t>
      </w:r>
      <w:r w:rsidRPr="00BD1235">
        <w:rPr>
          <w:i/>
        </w:rPr>
        <w:t xml:space="preserve"> Inclusion) Amendment Declaration </w:t>
      </w:r>
      <w:r w:rsidR="00AB3AEC">
        <w:rPr>
          <w:i/>
        </w:rPr>
        <w:t>2011</w:t>
      </w:r>
      <w:r w:rsidRPr="00BD1235">
        <w:rPr>
          <w:i/>
        </w:rPr>
        <w:t xml:space="preserve"> (No. 1).</w:t>
      </w:r>
    </w:p>
    <w:p w:rsidR="0015329B" w:rsidRPr="00BD1235" w:rsidRDefault="00967441" w:rsidP="0015329B">
      <w:pPr>
        <w:pStyle w:val="SubHeading"/>
      </w:pPr>
      <w:r>
        <w:t>Section</w:t>
      </w:r>
      <w:r w:rsidR="0015329B" w:rsidRPr="00BD1235">
        <w:t xml:space="preserve"> 2 - Commencement</w:t>
      </w:r>
    </w:p>
    <w:p w:rsidR="0015329B" w:rsidRPr="00BD1235" w:rsidRDefault="0015329B" w:rsidP="0015329B">
      <w:r w:rsidRPr="00BD1235">
        <w:t xml:space="preserve">This </w:t>
      </w:r>
      <w:r w:rsidR="00967441">
        <w:t>section</w:t>
      </w:r>
      <w:r w:rsidRPr="00BD1235">
        <w:t xml:space="preserve"> provides for the Declaration to commence </w:t>
      </w:r>
      <w:r w:rsidR="005448D2">
        <w:t>on</w:t>
      </w:r>
      <w:r w:rsidR="00BD1235">
        <w:t xml:space="preserve"> </w:t>
      </w:r>
      <w:r w:rsidR="005448D2">
        <w:t>the commencement of</w:t>
      </w:r>
      <w:r w:rsidR="00BD1235">
        <w:t xml:space="preserve"> the </w:t>
      </w:r>
      <w:r w:rsidR="00BD1235" w:rsidRPr="00BD1235">
        <w:rPr>
          <w:i/>
        </w:rPr>
        <w:t xml:space="preserve">Governance of Australian Government Superannuation Schemes Act </w:t>
      </w:r>
      <w:r w:rsidR="00AB3AEC">
        <w:rPr>
          <w:i/>
        </w:rPr>
        <w:t>2011</w:t>
      </w:r>
      <w:r w:rsidR="00091729">
        <w:rPr>
          <w:i/>
        </w:rPr>
        <w:t xml:space="preserve"> </w:t>
      </w:r>
      <w:r w:rsidR="00091729">
        <w:t>(the Governance Act)</w:t>
      </w:r>
      <w:r w:rsidR="00BD1235" w:rsidRPr="00BD1235">
        <w:rPr>
          <w:i/>
        </w:rPr>
        <w:t>.</w:t>
      </w:r>
    </w:p>
    <w:p w:rsidR="0015329B" w:rsidRPr="00BD1235" w:rsidRDefault="00967441" w:rsidP="0015329B">
      <w:pPr>
        <w:pStyle w:val="SubHeading"/>
        <w:rPr>
          <w:i/>
        </w:rPr>
      </w:pPr>
      <w:r>
        <w:t>Section</w:t>
      </w:r>
      <w:r w:rsidR="0015329B" w:rsidRPr="00BD1235">
        <w:t xml:space="preserve"> 3 </w:t>
      </w:r>
      <w:r w:rsidR="00B73482">
        <w:t xml:space="preserve">- </w:t>
      </w:r>
      <w:r w:rsidR="0015329B" w:rsidRPr="00BD1235">
        <w:t xml:space="preserve">Amendment of </w:t>
      </w:r>
      <w:r w:rsidR="0015329B" w:rsidRPr="00BD1235">
        <w:rPr>
          <w:i/>
        </w:rPr>
        <w:t>Superannuation (CSS) Eligible Employees – Inclusion) Declaration 2003</w:t>
      </w:r>
    </w:p>
    <w:p w:rsidR="0015329B" w:rsidRPr="003E1827" w:rsidRDefault="0015329B" w:rsidP="0015329B">
      <w:pPr>
        <w:rPr>
          <w:i/>
        </w:rPr>
      </w:pPr>
      <w:r w:rsidRPr="003E1827">
        <w:t xml:space="preserve">This </w:t>
      </w:r>
      <w:r w:rsidR="00967441">
        <w:t xml:space="preserve">section </w:t>
      </w:r>
      <w:r w:rsidRPr="003E1827">
        <w:t xml:space="preserve">provides that Schedule 1 of the Declaration amends the </w:t>
      </w:r>
      <w:r w:rsidRPr="003E1827">
        <w:rPr>
          <w:i/>
        </w:rPr>
        <w:t>Superannuation (CSS) Eligible Employees</w:t>
      </w:r>
      <w:r w:rsidR="00B73482">
        <w:rPr>
          <w:i/>
        </w:rPr>
        <w:t xml:space="preserve"> —</w:t>
      </w:r>
      <w:r w:rsidRPr="003E1827">
        <w:rPr>
          <w:i/>
        </w:rPr>
        <w:t xml:space="preserve"> Inclusion) Declaration 2003 </w:t>
      </w:r>
      <w:r w:rsidRPr="00091729">
        <w:t>(</w:t>
      </w:r>
      <w:r w:rsidRPr="003E1827">
        <w:t>the Principal Declaration).</w:t>
      </w:r>
    </w:p>
    <w:p w:rsidR="0015329B" w:rsidRPr="003E1827" w:rsidRDefault="0015329B" w:rsidP="0015329B">
      <w:pPr>
        <w:rPr>
          <w:b/>
          <w:u w:val="single"/>
        </w:rPr>
      </w:pPr>
      <w:r w:rsidRPr="003E1827">
        <w:rPr>
          <w:b/>
          <w:u w:val="single"/>
        </w:rPr>
        <w:t>Schedule 1 - Amendments</w:t>
      </w:r>
    </w:p>
    <w:p w:rsidR="00091729" w:rsidRDefault="003E1827" w:rsidP="0015329B">
      <w:pPr>
        <w:rPr>
          <w:bCs/>
        </w:rPr>
      </w:pPr>
      <w:r w:rsidRPr="003E1827">
        <w:rPr>
          <w:b/>
          <w:bCs/>
        </w:rPr>
        <w:t>Item 1</w:t>
      </w:r>
      <w:r>
        <w:rPr>
          <w:bCs/>
        </w:rPr>
        <w:t xml:space="preserve"> </w:t>
      </w:r>
      <w:r w:rsidR="00C0431F">
        <w:rPr>
          <w:bCs/>
        </w:rPr>
        <w:t xml:space="preserve">inserts a definition of CSC, short for Commonwealth Superannuation Corporation, for the purposes of the Principal Declaration.  </w:t>
      </w:r>
      <w:r w:rsidR="00E4442D">
        <w:rPr>
          <w:bCs/>
        </w:rPr>
        <w:t>CSC is given the same meaning as in the</w:t>
      </w:r>
      <w:r w:rsidR="00091729">
        <w:rPr>
          <w:bCs/>
        </w:rPr>
        <w:t xml:space="preserve"> Governance Act.  Section </w:t>
      </w:r>
      <w:r w:rsidR="0077374B">
        <w:rPr>
          <w:bCs/>
        </w:rPr>
        <w:t>4</w:t>
      </w:r>
      <w:r w:rsidR="00091729">
        <w:rPr>
          <w:bCs/>
        </w:rPr>
        <w:t xml:space="preserve"> of the Governance Act defines CSC as the </w:t>
      </w:r>
      <w:r w:rsidR="00206790">
        <w:rPr>
          <w:bCs/>
        </w:rPr>
        <w:t>body corporate continued in existence by section </w:t>
      </w:r>
      <w:r w:rsidR="0077374B">
        <w:rPr>
          <w:bCs/>
        </w:rPr>
        <w:t>5</w:t>
      </w:r>
      <w:r w:rsidR="00206790">
        <w:rPr>
          <w:bCs/>
        </w:rPr>
        <w:t xml:space="preserve"> of </w:t>
      </w:r>
      <w:r w:rsidR="00EB62E3">
        <w:rPr>
          <w:bCs/>
        </w:rPr>
        <w:t xml:space="preserve">the </w:t>
      </w:r>
      <w:r w:rsidR="00091729">
        <w:rPr>
          <w:bCs/>
        </w:rPr>
        <w:t xml:space="preserve">Governance </w:t>
      </w:r>
      <w:r w:rsidR="00206790">
        <w:rPr>
          <w:bCs/>
        </w:rPr>
        <w:t>Act</w:t>
      </w:r>
      <w:r w:rsidR="00091729">
        <w:rPr>
          <w:bCs/>
        </w:rPr>
        <w:t xml:space="preserve">.  Section </w:t>
      </w:r>
      <w:r w:rsidR="0077374B">
        <w:rPr>
          <w:bCs/>
        </w:rPr>
        <w:t>5</w:t>
      </w:r>
      <w:r w:rsidR="00091729">
        <w:rPr>
          <w:bCs/>
        </w:rPr>
        <w:t xml:space="preserve"> of the Governance Act provides that the board formerly known as the Australian Reward Investment Alliance (ARIA), established under section 20 of the </w:t>
      </w:r>
      <w:r w:rsidR="00091729" w:rsidRPr="00571D5C">
        <w:rPr>
          <w:bCs/>
          <w:i/>
        </w:rPr>
        <w:t xml:space="preserve">Superannuation </w:t>
      </w:r>
      <w:r w:rsidR="00571D5C" w:rsidRPr="00571D5C">
        <w:rPr>
          <w:bCs/>
          <w:i/>
        </w:rPr>
        <w:t xml:space="preserve">Act </w:t>
      </w:r>
      <w:r w:rsidR="00091729" w:rsidRPr="00571D5C">
        <w:rPr>
          <w:bCs/>
          <w:i/>
        </w:rPr>
        <w:t>1990</w:t>
      </w:r>
      <w:r w:rsidR="00091729">
        <w:rPr>
          <w:bCs/>
        </w:rPr>
        <w:t>, will continue as the same body corporate under the new name of CSC.</w:t>
      </w:r>
    </w:p>
    <w:p w:rsidR="003E1827" w:rsidRPr="00D8409D" w:rsidRDefault="003E1827" w:rsidP="0015329B">
      <w:pPr>
        <w:rPr>
          <w:bCs/>
        </w:rPr>
      </w:pPr>
      <w:r w:rsidRPr="003E1827">
        <w:rPr>
          <w:b/>
          <w:bCs/>
        </w:rPr>
        <w:t>Item 2</w:t>
      </w:r>
      <w:r>
        <w:rPr>
          <w:b/>
          <w:bCs/>
        </w:rPr>
        <w:t xml:space="preserve"> </w:t>
      </w:r>
      <w:r w:rsidR="00091729">
        <w:rPr>
          <w:bCs/>
        </w:rPr>
        <w:t>omits the de</w:t>
      </w:r>
      <w:r w:rsidR="008B7998">
        <w:rPr>
          <w:bCs/>
        </w:rPr>
        <w:t>finition of CSS/PSS Boar</w:t>
      </w:r>
      <w:r w:rsidR="009929B1">
        <w:rPr>
          <w:bCs/>
        </w:rPr>
        <w:t xml:space="preserve">d from the Principal Declaration.  CSS/PSS Board was </w:t>
      </w:r>
      <w:r w:rsidR="00571D5C">
        <w:rPr>
          <w:bCs/>
        </w:rPr>
        <w:t xml:space="preserve">formerly </w:t>
      </w:r>
      <w:r w:rsidR="009929B1">
        <w:rPr>
          <w:bCs/>
        </w:rPr>
        <w:t xml:space="preserve">defined as </w:t>
      </w:r>
      <w:r w:rsidR="00BF2B3A">
        <w:rPr>
          <w:bCs/>
        </w:rPr>
        <w:t>either or both of the CSS Board estab</w:t>
      </w:r>
      <w:r w:rsidR="00571D5C">
        <w:rPr>
          <w:bCs/>
        </w:rPr>
        <w:t xml:space="preserve">lished under section 27A of </w:t>
      </w:r>
      <w:r w:rsidR="00EB62E3">
        <w:rPr>
          <w:bCs/>
        </w:rPr>
        <w:t xml:space="preserve">the </w:t>
      </w:r>
      <w:r w:rsidR="00571D5C" w:rsidRPr="00571D5C">
        <w:rPr>
          <w:bCs/>
          <w:i/>
        </w:rPr>
        <w:t>Superannuation Act 1976</w:t>
      </w:r>
      <w:r w:rsidR="00571D5C">
        <w:rPr>
          <w:bCs/>
        </w:rPr>
        <w:t xml:space="preserve"> </w:t>
      </w:r>
      <w:r w:rsidR="001F2856">
        <w:rPr>
          <w:bCs/>
        </w:rPr>
        <w:t xml:space="preserve">(which </w:t>
      </w:r>
      <w:r w:rsidR="0075215D">
        <w:rPr>
          <w:bCs/>
        </w:rPr>
        <w:t xml:space="preserve">has since been </w:t>
      </w:r>
      <w:r w:rsidR="001F2856">
        <w:rPr>
          <w:bCs/>
        </w:rPr>
        <w:t xml:space="preserve">repealed) </w:t>
      </w:r>
      <w:r w:rsidR="00571D5C">
        <w:rPr>
          <w:bCs/>
        </w:rPr>
        <w:t xml:space="preserve">and </w:t>
      </w:r>
      <w:r w:rsidR="00BF2B3A">
        <w:rPr>
          <w:bCs/>
        </w:rPr>
        <w:t xml:space="preserve">the PSS Board established under section 20 of the </w:t>
      </w:r>
      <w:r w:rsidR="00BF2B3A" w:rsidRPr="00BF2B3A">
        <w:rPr>
          <w:bCs/>
          <w:i/>
        </w:rPr>
        <w:t>Superannuation Act 1990</w:t>
      </w:r>
      <w:r w:rsidR="00665071">
        <w:rPr>
          <w:bCs/>
          <w:i/>
        </w:rPr>
        <w:t xml:space="preserve"> </w:t>
      </w:r>
      <w:r w:rsidR="00665071">
        <w:rPr>
          <w:bCs/>
        </w:rPr>
        <w:t>(</w:t>
      </w:r>
      <w:r w:rsidR="0075215D">
        <w:rPr>
          <w:bCs/>
        </w:rPr>
        <w:t xml:space="preserve">that is, </w:t>
      </w:r>
      <w:r w:rsidR="00665071">
        <w:rPr>
          <w:bCs/>
        </w:rPr>
        <w:t>ARIA)</w:t>
      </w:r>
      <w:r w:rsidR="00BF2B3A" w:rsidRPr="00BF2B3A">
        <w:rPr>
          <w:bCs/>
          <w:i/>
        </w:rPr>
        <w:t>.</w:t>
      </w:r>
      <w:r w:rsidR="00571D5C">
        <w:rPr>
          <w:bCs/>
          <w:i/>
        </w:rPr>
        <w:t xml:space="preserve">  </w:t>
      </w:r>
      <w:r w:rsidR="00D8409D">
        <w:rPr>
          <w:bCs/>
        </w:rPr>
        <w:t>As t</w:t>
      </w:r>
      <w:r w:rsidR="009044B4">
        <w:rPr>
          <w:bCs/>
        </w:rPr>
        <w:t xml:space="preserve">he definition of CSC now covers the board established under section 20 of the </w:t>
      </w:r>
      <w:r w:rsidR="009044B4" w:rsidRPr="00864AF4">
        <w:rPr>
          <w:bCs/>
          <w:i/>
        </w:rPr>
        <w:t>Superannuation Act 1990</w:t>
      </w:r>
      <w:r w:rsidR="009044B4">
        <w:rPr>
          <w:bCs/>
        </w:rPr>
        <w:t xml:space="preserve">, the definition of CSS/PSS Board </w:t>
      </w:r>
      <w:r w:rsidR="00DD6CEB">
        <w:rPr>
          <w:bCs/>
        </w:rPr>
        <w:t xml:space="preserve">is </w:t>
      </w:r>
      <w:r w:rsidR="009044B4">
        <w:rPr>
          <w:bCs/>
        </w:rPr>
        <w:t>no longer required.</w:t>
      </w:r>
    </w:p>
    <w:p w:rsidR="00BC2132" w:rsidRDefault="003E1827" w:rsidP="0015329B">
      <w:pPr>
        <w:rPr>
          <w:bCs/>
        </w:rPr>
      </w:pPr>
      <w:r w:rsidRPr="003E1827">
        <w:rPr>
          <w:b/>
          <w:bCs/>
        </w:rPr>
        <w:t>Item</w:t>
      </w:r>
      <w:r w:rsidR="00BC2132">
        <w:rPr>
          <w:b/>
          <w:bCs/>
        </w:rPr>
        <w:t>s</w:t>
      </w:r>
      <w:r w:rsidRPr="003E1827">
        <w:rPr>
          <w:b/>
          <w:bCs/>
        </w:rPr>
        <w:t xml:space="preserve"> 3</w:t>
      </w:r>
      <w:r w:rsidR="00BC2132">
        <w:rPr>
          <w:b/>
          <w:bCs/>
        </w:rPr>
        <w:t>, 4 and 5</w:t>
      </w:r>
      <w:r>
        <w:rPr>
          <w:b/>
          <w:bCs/>
        </w:rPr>
        <w:t xml:space="preserve"> </w:t>
      </w:r>
      <w:r w:rsidR="00BC2132">
        <w:rPr>
          <w:bCs/>
        </w:rPr>
        <w:t>omit references to the CSS/PSS Board within paragraph 4(2</w:t>
      </w:r>
      <w:proofErr w:type="gramStart"/>
      <w:r w:rsidR="00BC2132">
        <w:rPr>
          <w:bCs/>
        </w:rPr>
        <w:t>)(</w:t>
      </w:r>
      <w:proofErr w:type="gramEnd"/>
      <w:r w:rsidR="00BC2132">
        <w:rPr>
          <w:bCs/>
        </w:rPr>
        <w:t>l) of the Principal Declaration and replace them with references to CSC.  P</w:t>
      </w:r>
      <w:r w:rsidR="009044B4">
        <w:rPr>
          <w:bCs/>
        </w:rPr>
        <w:t>aragraph</w:t>
      </w:r>
      <w:r w:rsidR="00BC2132">
        <w:rPr>
          <w:bCs/>
        </w:rPr>
        <w:t> </w:t>
      </w:r>
      <w:r w:rsidR="009044B4">
        <w:rPr>
          <w:bCs/>
        </w:rPr>
        <w:t>4(2</w:t>
      </w:r>
      <w:proofErr w:type="gramStart"/>
      <w:r w:rsidR="009044B4">
        <w:rPr>
          <w:bCs/>
        </w:rPr>
        <w:t>)(</w:t>
      </w:r>
      <w:proofErr w:type="gramEnd"/>
      <w:r w:rsidR="009044B4">
        <w:rPr>
          <w:bCs/>
        </w:rPr>
        <w:t>l)</w:t>
      </w:r>
      <w:r w:rsidR="00BC2132">
        <w:rPr>
          <w:bCs/>
        </w:rPr>
        <w:t xml:space="preserve"> </w:t>
      </w:r>
      <w:r w:rsidR="0004062F">
        <w:rPr>
          <w:bCs/>
        </w:rPr>
        <w:t xml:space="preserve">allowed </w:t>
      </w:r>
      <w:r w:rsidR="0075215D">
        <w:rPr>
          <w:bCs/>
        </w:rPr>
        <w:t xml:space="preserve">ARIA </w:t>
      </w:r>
      <w:r w:rsidR="0004062F">
        <w:rPr>
          <w:bCs/>
        </w:rPr>
        <w:t xml:space="preserve">employees to be eligible employees for the purposes of the </w:t>
      </w:r>
      <w:r w:rsidR="0004062F" w:rsidRPr="00215B56">
        <w:rPr>
          <w:bCs/>
          <w:i/>
        </w:rPr>
        <w:t>Superannuation Act 1976</w:t>
      </w:r>
      <w:r w:rsidR="00BF07E7">
        <w:rPr>
          <w:bCs/>
          <w:i/>
        </w:rPr>
        <w:t xml:space="preserve"> </w:t>
      </w:r>
      <w:r w:rsidR="00BF07E7">
        <w:rPr>
          <w:bCs/>
        </w:rPr>
        <w:t>and contribute to the Commonwealth Sup</w:t>
      </w:r>
      <w:r w:rsidR="00907563">
        <w:rPr>
          <w:bCs/>
        </w:rPr>
        <w:t>erannuation Scheme (</w:t>
      </w:r>
      <w:r w:rsidR="00BF07E7">
        <w:rPr>
          <w:bCs/>
        </w:rPr>
        <w:t>CSS</w:t>
      </w:r>
      <w:r w:rsidR="00BF07E7" w:rsidRPr="00BC2132">
        <w:rPr>
          <w:bCs/>
        </w:rPr>
        <w:t>)</w:t>
      </w:r>
      <w:r w:rsidR="00BC2132" w:rsidRPr="00BC2132">
        <w:rPr>
          <w:bCs/>
        </w:rPr>
        <w:t xml:space="preserve">.  The changes ensure that </w:t>
      </w:r>
      <w:r w:rsidR="0075215D">
        <w:rPr>
          <w:bCs/>
        </w:rPr>
        <w:t xml:space="preserve">employees of CSC have the same CSS membership arrangements available as were formerly available to employees of ARIA.  </w:t>
      </w:r>
    </w:p>
    <w:p w:rsidR="00CF3A78" w:rsidRDefault="00CF3A78" w:rsidP="0015329B">
      <w:pPr>
        <w:rPr>
          <w:bCs/>
        </w:rPr>
      </w:pPr>
    </w:p>
    <w:p w:rsidR="00CF3A78" w:rsidRPr="00BC2132" w:rsidRDefault="00CF3A78" w:rsidP="0015329B">
      <w:pPr>
        <w:rPr>
          <w:bCs/>
        </w:rPr>
      </w:pPr>
    </w:p>
    <w:p w:rsidR="0075215D" w:rsidRDefault="00CF3A78" w:rsidP="0075296C">
      <w:r>
        <w:lastRenderedPageBreak/>
        <w:t xml:space="preserve">CSC employees who </w:t>
      </w:r>
      <w:r w:rsidR="00691982" w:rsidRPr="00BC2132">
        <w:t xml:space="preserve">were </w:t>
      </w:r>
      <w:r w:rsidR="00FA68E6" w:rsidRPr="00BC2132">
        <w:t>covered by former paragraph</w:t>
      </w:r>
      <w:r w:rsidR="00FA68E6">
        <w:t xml:space="preserve"> 4(2</w:t>
      </w:r>
      <w:proofErr w:type="gramStart"/>
      <w:r w:rsidR="00FA68E6">
        <w:t>)(</w:t>
      </w:r>
      <w:proofErr w:type="gramEnd"/>
      <w:r w:rsidR="00FA68E6">
        <w:t xml:space="preserve">l) </w:t>
      </w:r>
      <w:r w:rsidR="009D0445">
        <w:t>as employees of ARIA</w:t>
      </w:r>
      <w:r>
        <w:t xml:space="preserve">, or under paragraph 4(2)(o) as employees of the </w:t>
      </w:r>
      <w:r>
        <w:rPr>
          <w:bCs/>
        </w:rPr>
        <w:t xml:space="preserve">Military Superannuation and Benefits Board of Trustees No. 1 (the MSB Board), </w:t>
      </w:r>
      <w:r w:rsidR="00BC2132">
        <w:t>continue to be cover</w:t>
      </w:r>
      <w:r w:rsidR="009D0445">
        <w:t xml:space="preserve">ed </w:t>
      </w:r>
      <w:r w:rsidR="00BC2132">
        <w:t>following the changes</w:t>
      </w:r>
      <w:r w:rsidR="0075215D">
        <w:t xml:space="preserve">.  </w:t>
      </w:r>
    </w:p>
    <w:p w:rsidR="00B5025E" w:rsidRDefault="0075296C" w:rsidP="0075296C">
      <w:pPr>
        <w:rPr>
          <w:bCs/>
        </w:rPr>
      </w:pPr>
      <w:r w:rsidRPr="003E1827">
        <w:rPr>
          <w:b/>
          <w:bCs/>
        </w:rPr>
        <w:t xml:space="preserve">Item </w:t>
      </w:r>
      <w:r w:rsidR="00BC2132">
        <w:rPr>
          <w:b/>
          <w:bCs/>
        </w:rPr>
        <w:t>6</w:t>
      </w:r>
      <w:r w:rsidR="004D021D">
        <w:rPr>
          <w:b/>
          <w:bCs/>
        </w:rPr>
        <w:t xml:space="preserve"> </w:t>
      </w:r>
      <w:r w:rsidR="00C3550B">
        <w:rPr>
          <w:bCs/>
        </w:rPr>
        <w:t>omits paragraph 4(2</w:t>
      </w:r>
      <w:proofErr w:type="gramStart"/>
      <w:r w:rsidR="00C3550B">
        <w:rPr>
          <w:bCs/>
        </w:rPr>
        <w:t>)(</w:t>
      </w:r>
      <w:proofErr w:type="gramEnd"/>
      <w:r w:rsidR="00C3550B">
        <w:rPr>
          <w:bCs/>
        </w:rPr>
        <w:t xml:space="preserve">o) of the Principal Declaration.  </w:t>
      </w:r>
      <w:r w:rsidR="00D519A1">
        <w:rPr>
          <w:bCs/>
        </w:rPr>
        <w:t>T</w:t>
      </w:r>
      <w:r w:rsidR="00F3156C">
        <w:rPr>
          <w:bCs/>
        </w:rPr>
        <w:t xml:space="preserve">his paragraph formerly </w:t>
      </w:r>
      <w:r w:rsidR="006D4C91">
        <w:rPr>
          <w:bCs/>
        </w:rPr>
        <w:t xml:space="preserve">allowed </w:t>
      </w:r>
      <w:r w:rsidR="00513350">
        <w:rPr>
          <w:bCs/>
        </w:rPr>
        <w:t>employees of the M</w:t>
      </w:r>
      <w:r w:rsidR="00CF3A78">
        <w:rPr>
          <w:bCs/>
        </w:rPr>
        <w:t xml:space="preserve">SB Board </w:t>
      </w:r>
      <w:r w:rsidR="00513350">
        <w:rPr>
          <w:bCs/>
        </w:rPr>
        <w:t xml:space="preserve">to be eligible employees for the purpose of the </w:t>
      </w:r>
      <w:r w:rsidR="00513350" w:rsidRPr="00513350">
        <w:rPr>
          <w:bCs/>
          <w:i/>
        </w:rPr>
        <w:t>Superannuation Act 1976</w:t>
      </w:r>
      <w:r w:rsidR="00513350">
        <w:rPr>
          <w:bCs/>
        </w:rPr>
        <w:t xml:space="preserve">.  </w:t>
      </w:r>
    </w:p>
    <w:p w:rsidR="00425D59" w:rsidRPr="00C3550B" w:rsidRDefault="00513350" w:rsidP="0075296C">
      <w:pPr>
        <w:rPr>
          <w:bCs/>
        </w:rPr>
      </w:pPr>
      <w:r>
        <w:rPr>
          <w:bCs/>
        </w:rPr>
        <w:t xml:space="preserve">The </w:t>
      </w:r>
      <w:r w:rsidR="00B73482">
        <w:rPr>
          <w:bCs/>
        </w:rPr>
        <w:t xml:space="preserve">MSB Board </w:t>
      </w:r>
      <w:r>
        <w:rPr>
          <w:bCs/>
        </w:rPr>
        <w:t xml:space="preserve">was abolished under the </w:t>
      </w:r>
      <w:r w:rsidRPr="00513350">
        <w:rPr>
          <w:bCs/>
          <w:i/>
        </w:rPr>
        <w:t xml:space="preserve">Superannuation Legislation (Consequential Amendments and Transitional Provisions) Act </w:t>
      </w:r>
      <w:r w:rsidR="00AB3AEC">
        <w:rPr>
          <w:bCs/>
          <w:i/>
        </w:rPr>
        <w:t>2011</w:t>
      </w:r>
      <w:r>
        <w:rPr>
          <w:bCs/>
        </w:rPr>
        <w:t xml:space="preserve">.  As a consequence, the paragraph </w:t>
      </w:r>
      <w:r w:rsidR="00DD6CEB">
        <w:rPr>
          <w:bCs/>
        </w:rPr>
        <w:t>is</w:t>
      </w:r>
      <w:r>
        <w:rPr>
          <w:bCs/>
        </w:rPr>
        <w:t xml:space="preserve"> no longer required.  </w:t>
      </w:r>
      <w:r w:rsidR="0075215D">
        <w:rPr>
          <w:bCs/>
        </w:rPr>
        <w:t xml:space="preserve">Employees of the MSB Board who become employees of CSC under the new arrangements will </w:t>
      </w:r>
      <w:r w:rsidR="00524A87">
        <w:rPr>
          <w:bCs/>
        </w:rPr>
        <w:t>be covered by paragraph 4(2</w:t>
      </w:r>
      <w:proofErr w:type="gramStart"/>
      <w:r w:rsidR="00524A87">
        <w:rPr>
          <w:bCs/>
        </w:rPr>
        <w:t>)(</w:t>
      </w:r>
      <w:proofErr w:type="gramEnd"/>
      <w:r w:rsidR="00524A87">
        <w:rPr>
          <w:bCs/>
        </w:rPr>
        <w:t>l) of the Principal Declaration.</w:t>
      </w:r>
      <w:r w:rsidR="00CF3A78">
        <w:rPr>
          <w:bCs/>
        </w:rPr>
        <w:t xml:space="preserve"> </w:t>
      </w:r>
    </w:p>
    <w:sectPr w:rsidR="00425D59" w:rsidRPr="00C3550B" w:rsidSect="00847190">
      <w:headerReference w:type="even" r:id="rId8"/>
      <w:headerReference w:type="default" r:id="rId9"/>
      <w:pgSz w:w="11906" w:h="16838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B82" w:rsidRDefault="009C7B82">
      <w:r>
        <w:separator/>
      </w:r>
    </w:p>
  </w:endnote>
  <w:endnote w:type="continuationSeparator" w:id="0">
    <w:p w:rsidR="009C7B82" w:rsidRDefault="009C7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B82" w:rsidRDefault="009C7B82">
      <w:r>
        <w:separator/>
      </w:r>
    </w:p>
  </w:footnote>
  <w:footnote w:type="continuationSeparator" w:id="0">
    <w:p w:rsidR="009C7B82" w:rsidRDefault="009C7B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4F6" w:rsidRDefault="00F667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A04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04F6">
      <w:rPr>
        <w:rStyle w:val="PageNumber"/>
        <w:noProof/>
      </w:rPr>
      <w:t>1</w:t>
    </w:r>
    <w:r>
      <w:rPr>
        <w:rStyle w:val="PageNumber"/>
      </w:rPr>
      <w:fldChar w:fldCharType="end"/>
    </w:r>
  </w:p>
  <w:p w:rsidR="004A04F6" w:rsidRDefault="004A04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4F6" w:rsidRDefault="00F667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A04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3269">
      <w:rPr>
        <w:rStyle w:val="PageNumber"/>
        <w:noProof/>
      </w:rPr>
      <w:t>3</w:t>
    </w:r>
    <w:r>
      <w:rPr>
        <w:rStyle w:val="PageNumber"/>
      </w:rPr>
      <w:fldChar w:fldCharType="end"/>
    </w:r>
  </w:p>
  <w:p w:rsidR="004A04F6" w:rsidRDefault="004A04F6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2D6"/>
    <w:multiLevelType w:val="hybridMultilevel"/>
    <w:tmpl w:val="7FCC34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317DA5"/>
    <w:multiLevelType w:val="singleLevel"/>
    <w:tmpl w:val="3D30A7D4"/>
    <w:lvl w:ilvl="0">
      <w:start w:val="1"/>
      <w:numFmt w:val="lowerRoman"/>
      <w:lvlText w:val="(%1)"/>
      <w:lvlJc w:val="left"/>
      <w:pPr>
        <w:tabs>
          <w:tab w:val="num" w:pos="720"/>
        </w:tabs>
        <w:ind w:left="360" w:hanging="360"/>
      </w:pPr>
    </w:lvl>
  </w:abstractNum>
  <w:abstractNum w:abstractNumId="2">
    <w:nsid w:val="1A0160DD"/>
    <w:multiLevelType w:val="singleLevel"/>
    <w:tmpl w:val="8340D518"/>
    <w:lvl w:ilvl="0">
      <w:start w:val="7"/>
      <w:numFmt w:val="decimal"/>
      <w:lvlText w:val="%1."/>
      <w:legacy w:legacy="1" w:legacySpace="0" w:legacyIndent="283"/>
      <w:lvlJc w:val="left"/>
    </w:lvl>
  </w:abstractNum>
  <w:abstractNum w:abstractNumId="3">
    <w:nsid w:val="1F484136"/>
    <w:multiLevelType w:val="hybridMultilevel"/>
    <w:tmpl w:val="02061C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1090083"/>
    <w:multiLevelType w:val="singleLevel"/>
    <w:tmpl w:val="BBE603B8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900"/>
      </w:pPr>
      <w:rPr>
        <w:rFonts w:hint="default"/>
      </w:rPr>
    </w:lvl>
  </w:abstractNum>
  <w:abstractNum w:abstractNumId="5">
    <w:nsid w:val="226007D0"/>
    <w:multiLevelType w:val="singleLevel"/>
    <w:tmpl w:val="CC44FCA0"/>
    <w:lvl w:ilvl="0">
      <w:start w:val="3"/>
      <w:numFmt w:val="decimal"/>
      <w:pStyle w:val="List1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>
    <w:nsid w:val="276D4101"/>
    <w:multiLevelType w:val="singleLevel"/>
    <w:tmpl w:val="33D4AF68"/>
    <w:lvl w:ilvl="0">
      <w:start w:val="1"/>
      <w:numFmt w:val="decimal"/>
      <w:lvlText w:val="%1."/>
      <w:legacy w:legacy="1" w:legacySpace="0" w:legacyIndent="283"/>
      <w:lvlJc w:val="left"/>
    </w:lvl>
  </w:abstractNum>
  <w:abstractNum w:abstractNumId="7">
    <w:nsid w:val="3ADA6E64"/>
    <w:multiLevelType w:val="singleLevel"/>
    <w:tmpl w:val="33D4AF68"/>
    <w:lvl w:ilvl="0">
      <w:start w:val="1"/>
      <w:numFmt w:val="decimal"/>
      <w:lvlText w:val="%1."/>
      <w:legacy w:legacy="1" w:legacySpace="0" w:legacyIndent="283"/>
      <w:lvlJc w:val="left"/>
    </w:lvl>
  </w:abstractNum>
  <w:abstractNum w:abstractNumId="8">
    <w:nsid w:val="3EAF6FE4"/>
    <w:multiLevelType w:val="hybridMultilevel"/>
    <w:tmpl w:val="FEC2EF5C"/>
    <w:lvl w:ilvl="0" w:tplc="53DCB5F4">
      <w:start w:val="1"/>
      <w:numFmt w:val="upperLetter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9">
    <w:nsid w:val="3FD46B28"/>
    <w:multiLevelType w:val="singleLevel"/>
    <w:tmpl w:val="4FD2A21A"/>
    <w:lvl w:ilvl="0">
      <w:start w:val="9"/>
      <w:numFmt w:val="decimal"/>
      <w:lvlText w:val="%1."/>
      <w:legacy w:legacy="1" w:legacySpace="0" w:legacyIndent="283"/>
      <w:lvlJc w:val="left"/>
    </w:lvl>
  </w:abstractNum>
  <w:abstractNum w:abstractNumId="10">
    <w:nsid w:val="452975B4"/>
    <w:multiLevelType w:val="singleLevel"/>
    <w:tmpl w:val="8340D518"/>
    <w:lvl w:ilvl="0">
      <w:start w:val="7"/>
      <w:numFmt w:val="decimal"/>
      <w:lvlText w:val="%1."/>
      <w:legacy w:legacy="1" w:legacySpace="0" w:legacyIndent="283"/>
      <w:lvlJc w:val="left"/>
    </w:lvl>
  </w:abstractNum>
  <w:abstractNum w:abstractNumId="11">
    <w:nsid w:val="4AAD0593"/>
    <w:multiLevelType w:val="singleLevel"/>
    <w:tmpl w:val="CBBEEE2C"/>
    <w:lvl w:ilvl="0">
      <w:start w:val="1"/>
      <w:numFmt w:val="lowerRoman"/>
      <w:pStyle w:val="Listi"/>
      <w:lvlText w:val="(%1)"/>
      <w:lvlJc w:val="left"/>
      <w:pPr>
        <w:tabs>
          <w:tab w:val="num" w:pos="1060"/>
        </w:tabs>
        <w:ind w:left="737" w:hanging="397"/>
      </w:pPr>
    </w:lvl>
  </w:abstractNum>
  <w:abstractNum w:abstractNumId="12">
    <w:nsid w:val="4F8A380D"/>
    <w:multiLevelType w:val="singleLevel"/>
    <w:tmpl w:val="B7606580"/>
    <w:lvl w:ilvl="0">
      <w:start w:val="1"/>
      <w:numFmt w:val="bullet"/>
      <w:pStyle w:val="Colonpoint"/>
      <w:lvlText w:val=":"/>
      <w:lvlJc w:val="left"/>
      <w:pPr>
        <w:tabs>
          <w:tab w:val="num" w:pos="1040"/>
        </w:tabs>
        <w:ind w:left="1021" w:hanging="341"/>
      </w:pPr>
      <w:rPr>
        <w:rFonts w:ascii="Times New Roman" w:hAnsi="Times New Roman" w:hint="default"/>
      </w:rPr>
    </w:lvl>
  </w:abstractNum>
  <w:abstractNum w:abstractNumId="13">
    <w:nsid w:val="504A6CC5"/>
    <w:multiLevelType w:val="singleLevel"/>
    <w:tmpl w:val="33D4AF68"/>
    <w:lvl w:ilvl="0">
      <w:start w:val="1"/>
      <w:numFmt w:val="decimal"/>
      <w:lvlText w:val="%1."/>
      <w:legacy w:legacy="1" w:legacySpace="0" w:legacyIndent="283"/>
      <w:lvlJc w:val="left"/>
    </w:lvl>
  </w:abstractNum>
  <w:abstractNum w:abstractNumId="14">
    <w:nsid w:val="50FF0D16"/>
    <w:multiLevelType w:val="hybridMultilevel"/>
    <w:tmpl w:val="7C5EC7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201305A"/>
    <w:multiLevelType w:val="singleLevel"/>
    <w:tmpl w:val="33D4AF68"/>
    <w:lvl w:ilvl="0">
      <w:start w:val="1"/>
      <w:numFmt w:val="decimal"/>
      <w:lvlText w:val="%1."/>
      <w:legacy w:legacy="1" w:legacySpace="0" w:legacyIndent="283"/>
      <w:lvlJc w:val="left"/>
    </w:lvl>
  </w:abstractNum>
  <w:abstractNum w:abstractNumId="16">
    <w:nsid w:val="52AE114F"/>
    <w:multiLevelType w:val="hybridMultilevel"/>
    <w:tmpl w:val="7F404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2F82A1E"/>
    <w:multiLevelType w:val="singleLevel"/>
    <w:tmpl w:val="191EEAD8"/>
    <w:lvl w:ilvl="0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8">
    <w:nsid w:val="54AD28BC"/>
    <w:multiLevelType w:val="singleLevel"/>
    <w:tmpl w:val="D0E6AF1C"/>
    <w:lvl w:ilvl="0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</w:abstractNum>
  <w:abstractNum w:abstractNumId="19">
    <w:nsid w:val="59E72E9F"/>
    <w:multiLevelType w:val="singleLevel"/>
    <w:tmpl w:val="632AD85A"/>
    <w:lvl w:ilvl="0">
      <w:start w:val="1"/>
      <w:numFmt w:val="bullet"/>
      <w:lvlText w:val="–"/>
      <w:lvlJc w:val="left"/>
      <w:pPr>
        <w:tabs>
          <w:tab w:val="num" w:pos="700"/>
        </w:tabs>
        <w:ind w:left="680" w:hanging="340"/>
      </w:pPr>
      <w:rPr>
        <w:rFonts w:ascii="Times New Roman" w:hAnsi="Times New Roman" w:hint="default"/>
        <w:b/>
        <w:i w:val="0"/>
      </w:rPr>
    </w:lvl>
  </w:abstractNum>
  <w:abstractNum w:abstractNumId="20">
    <w:nsid w:val="5EF77814"/>
    <w:multiLevelType w:val="singleLevel"/>
    <w:tmpl w:val="A7F2617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1">
    <w:nsid w:val="60561778"/>
    <w:multiLevelType w:val="singleLevel"/>
    <w:tmpl w:val="AC18B6A2"/>
    <w:lvl w:ilvl="0">
      <w:start w:val="1"/>
      <w:numFmt w:val="bullet"/>
      <w:pStyle w:val="Dash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8"/>
      </w:rPr>
    </w:lvl>
  </w:abstractNum>
  <w:abstractNum w:abstractNumId="22">
    <w:nsid w:val="668B4136"/>
    <w:multiLevelType w:val="singleLevel"/>
    <w:tmpl w:val="F2CE8894"/>
    <w:lvl w:ilvl="0">
      <w:start w:val="5"/>
      <w:numFmt w:val="decimal"/>
      <w:lvlText w:val="%1."/>
      <w:legacy w:legacy="1" w:legacySpace="0" w:legacyIndent="283"/>
      <w:lvlJc w:val="left"/>
    </w:lvl>
  </w:abstractNum>
  <w:abstractNum w:abstractNumId="23">
    <w:nsid w:val="68C3597E"/>
    <w:multiLevelType w:val="singleLevel"/>
    <w:tmpl w:val="F1362B0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>
    <w:nsid w:val="6AF87225"/>
    <w:multiLevelType w:val="hybridMultilevel"/>
    <w:tmpl w:val="6830863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4E0839"/>
    <w:multiLevelType w:val="singleLevel"/>
    <w:tmpl w:val="300A7396"/>
    <w:lvl w:ilvl="0">
      <w:start w:val="1"/>
      <w:numFmt w:val="lowerLetter"/>
      <w:pStyle w:val="List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>
    <w:nsid w:val="767E1BAE"/>
    <w:multiLevelType w:val="singleLevel"/>
    <w:tmpl w:val="8340D518"/>
    <w:lvl w:ilvl="0">
      <w:start w:val="5"/>
      <w:numFmt w:val="decimal"/>
      <w:lvlText w:val="%1."/>
      <w:legacy w:legacy="1" w:legacySpace="0" w:legacyIndent="283"/>
      <w:lvlJc w:val="left"/>
    </w:lvl>
  </w:abstractNum>
  <w:abstractNum w:abstractNumId="27">
    <w:nsid w:val="7E177B91"/>
    <w:multiLevelType w:val="hybridMultilevel"/>
    <w:tmpl w:val="1498609E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FA24DA6"/>
    <w:multiLevelType w:val="hybridMultilevel"/>
    <w:tmpl w:val="23B0793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8"/>
  </w:num>
  <w:num w:numId="4">
    <w:abstractNumId w:val="18"/>
  </w:num>
  <w:num w:numId="5">
    <w:abstractNumId w:val="12"/>
  </w:num>
  <w:num w:numId="6">
    <w:abstractNumId w:val="5"/>
  </w:num>
  <w:num w:numId="7">
    <w:abstractNumId w:val="12"/>
  </w:num>
  <w:num w:numId="8">
    <w:abstractNumId w:val="12"/>
  </w:num>
  <w:num w:numId="9">
    <w:abstractNumId w:val="1"/>
  </w:num>
  <w:num w:numId="10">
    <w:abstractNumId w:val="25"/>
  </w:num>
  <w:num w:numId="11">
    <w:abstractNumId w:val="21"/>
  </w:num>
  <w:num w:numId="12">
    <w:abstractNumId w:val="11"/>
  </w:num>
  <w:num w:numId="13">
    <w:abstractNumId w:val="19"/>
  </w:num>
  <w:num w:numId="14">
    <w:abstractNumId w:val="13"/>
  </w:num>
  <w:num w:numId="15">
    <w:abstractNumId w:val="15"/>
  </w:num>
  <w:num w:numId="16">
    <w:abstractNumId w:val="22"/>
  </w:num>
  <w:num w:numId="17">
    <w:abstractNumId w:val="2"/>
  </w:num>
  <w:num w:numId="18">
    <w:abstractNumId w:val="2"/>
    <w:lvlOverride w:ilvl="0">
      <w:lvl w:ilvl="0">
        <w:start w:val="5"/>
        <w:numFmt w:val="decimal"/>
        <w:lvlText w:val="%1."/>
        <w:legacy w:legacy="1" w:legacySpace="0" w:legacyIndent="283"/>
        <w:lvlJc w:val="left"/>
      </w:lvl>
    </w:lvlOverride>
  </w:num>
  <w:num w:numId="19">
    <w:abstractNumId w:val="7"/>
  </w:num>
  <w:num w:numId="20">
    <w:abstractNumId w:val="6"/>
  </w:num>
  <w:num w:numId="21">
    <w:abstractNumId w:val="26"/>
  </w:num>
  <w:num w:numId="22">
    <w:abstractNumId w:val="10"/>
  </w:num>
  <w:num w:numId="23">
    <w:abstractNumId w:val="9"/>
  </w:num>
  <w:num w:numId="24">
    <w:abstractNumId w:val="5"/>
  </w:num>
  <w:num w:numId="25">
    <w:abstractNumId w:val="11"/>
    <w:lvlOverride w:ilvl="0">
      <w:startOverride w:val="1"/>
    </w:lvlOverride>
  </w:num>
  <w:num w:numId="26">
    <w:abstractNumId w:val="11"/>
  </w:num>
  <w:num w:numId="27">
    <w:abstractNumId w:val="11"/>
  </w:num>
  <w:num w:numId="28">
    <w:abstractNumId w:val="21"/>
  </w:num>
  <w:num w:numId="29">
    <w:abstractNumId w:val="23"/>
  </w:num>
  <w:num w:numId="30">
    <w:abstractNumId w:val="5"/>
  </w:num>
  <w:num w:numId="31">
    <w:abstractNumId w:val="5"/>
  </w:num>
  <w:num w:numId="32">
    <w:abstractNumId w:val="5"/>
  </w:num>
  <w:num w:numId="33">
    <w:abstractNumId w:val="4"/>
  </w:num>
  <w:num w:numId="34">
    <w:abstractNumId w:val="17"/>
  </w:num>
  <w:num w:numId="35">
    <w:abstractNumId w:val="5"/>
  </w:num>
  <w:num w:numId="36">
    <w:abstractNumId w:val="3"/>
  </w:num>
  <w:num w:numId="37">
    <w:abstractNumId w:val="16"/>
  </w:num>
  <w:num w:numId="38">
    <w:abstractNumId w:val="14"/>
  </w:num>
  <w:num w:numId="39">
    <w:abstractNumId w:val="0"/>
  </w:num>
  <w:num w:numId="40">
    <w:abstractNumId w:val="8"/>
  </w:num>
  <w:num w:numId="41">
    <w:abstractNumId w:val="24"/>
  </w:num>
  <w:num w:numId="42">
    <w:abstractNumId w:val="28"/>
  </w:num>
  <w:num w:numId="4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BB6"/>
    <w:rsid w:val="00007D58"/>
    <w:rsid w:val="000314CF"/>
    <w:rsid w:val="00034335"/>
    <w:rsid w:val="0004062F"/>
    <w:rsid w:val="00084BA4"/>
    <w:rsid w:val="00091729"/>
    <w:rsid w:val="000E5F5A"/>
    <w:rsid w:val="000F286D"/>
    <w:rsid w:val="000F29CB"/>
    <w:rsid w:val="000F6FDD"/>
    <w:rsid w:val="00103A2B"/>
    <w:rsid w:val="001067C6"/>
    <w:rsid w:val="00117F13"/>
    <w:rsid w:val="001224C1"/>
    <w:rsid w:val="00122610"/>
    <w:rsid w:val="00140301"/>
    <w:rsid w:val="0015329B"/>
    <w:rsid w:val="00154127"/>
    <w:rsid w:val="001B598D"/>
    <w:rsid w:val="001C4E75"/>
    <w:rsid w:val="001D0D65"/>
    <w:rsid w:val="001F2856"/>
    <w:rsid w:val="00206790"/>
    <w:rsid w:val="002154DB"/>
    <w:rsid w:val="00215B56"/>
    <w:rsid w:val="0022124C"/>
    <w:rsid w:val="002414EF"/>
    <w:rsid w:val="00255456"/>
    <w:rsid w:val="00260640"/>
    <w:rsid w:val="0026082B"/>
    <w:rsid w:val="00294A7F"/>
    <w:rsid w:val="003151A4"/>
    <w:rsid w:val="003170F0"/>
    <w:rsid w:val="00327FCD"/>
    <w:rsid w:val="00346CD3"/>
    <w:rsid w:val="00347667"/>
    <w:rsid w:val="00353A65"/>
    <w:rsid w:val="003560FF"/>
    <w:rsid w:val="00356E60"/>
    <w:rsid w:val="0037392D"/>
    <w:rsid w:val="00382E02"/>
    <w:rsid w:val="00395718"/>
    <w:rsid w:val="003A3564"/>
    <w:rsid w:val="003A7DA2"/>
    <w:rsid w:val="003C1D59"/>
    <w:rsid w:val="003C28AC"/>
    <w:rsid w:val="003E1827"/>
    <w:rsid w:val="003E418D"/>
    <w:rsid w:val="00410DD2"/>
    <w:rsid w:val="00413656"/>
    <w:rsid w:val="00425D59"/>
    <w:rsid w:val="00437D80"/>
    <w:rsid w:val="00440C59"/>
    <w:rsid w:val="00441D1A"/>
    <w:rsid w:val="004435D9"/>
    <w:rsid w:val="004675B7"/>
    <w:rsid w:val="00490EDE"/>
    <w:rsid w:val="004A04F6"/>
    <w:rsid w:val="004A5150"/>
    <w:rsid w:val="004A74E3"/>
    <w:rsid w:val="004C24B3"/>
    <w:rsid w:val="004D021D"/>
    <w:rsid w:val="004D3444"/>
    <w:rsid w:val="004D72C7"/>
    <w:rsid w:val="004E61EB"/>
    <w:rsid w:val="00513350"/>
    <w:rsid w:val="00517BC7"/>
    <w:rsid w:val="00522DCF"/>
    <w:rsid w:val="00524A87"/>
    <w:rsid w:val="005448D2"/>
    <w:rsid w:val="0057192B"/>
    <w:rsid w:val="00571D5C"/>
    <w:rsid w:val="005C262F"/>
    <w:rsid w:val="006026B0"/>
    <w:rsid w:val="00610779"/>
    <w:rsid w:val="006130FD"/>
    <w:rsid w:val="00623754"/>
    <w:rsid w:val="006369C4"/>
    <w:rsid w:val="006501D1"/>
    <w:rsid w:val="006546F9"/>
    <w:rsid w:val="00665071"/>
    <w:rsid w:val="006677E2"/>
    <w:rsid w:val="00681C94"/>
    <w:rsid w:val="00687978"/>
    <w:rsid w:val="00691982"/>
    <w:rsid w:val="006C0E7A"/>
    <w:rsid w:val="006C515C"/>
    <w:rsid w:val="006D4C91"/>
    <w:rsid w:val="006E0389"/>
    <w:rsid w:val="006E7FE6"/>
    <w:rsid w:val="007002C0"/>
    <w:rsid w:val="00721DB4"/>
    <w:rsid w:val="007373FF"/>
    <w:rsid w:val="00742C93"/>
    <w:rsid w:val="00745938"/>
    <w:rsid w:val="0075215D"/>
    <w:rsid w:val="0075296C"/>
    <w:rsid w:val="0077374B"/>
    <w:rsid w:val="007746C4"/>
    <w:rsid w:val="007C4FDC"/>
    <w:rsid w:val="007C74A7"/>
    <w:rsid w:val="007D15E5"/>
    <w:rsid w:val="007E45D7"/>
    <w:rsid w:val="00847190"/>
    <w:rsid w:val="00860756"/>
    <w:rsid w:val="00864AF4"/>
    <w:rsid w:val="00865E82"/>
    <w:rsid w:val="00871BB6"/>
    <w:rsid w:val="008A39F5"/>
    <w:rsid w:val="008B7998"/>
    <w:rsid w:val="008D1A44"/>
    <w:rsid w:val="009044B4"/>
    <w:rsid w:val="00906DE5"/>
    <w:rsid w:val="00907563"/>
    <w:rsid w:val="009078FF"/>
    <w:rsid w:val="009143A5"/>
    <w:rsid w:val="00933A8D"/>
    <w:rsid w:val="00946B2A"/>
    <w:rsid w:val="00967441"/>
    <w:rsid w:val="00971B17"/>
    <w:rsid w:val="0097659C"/>
    <w:rsid w:val="009904A0"/>
    <w:rsid w:val="009917D5"/>
    <w:rsid w:val="009929B1"/>
    <w:rsid w:val="00997101"/>
    <w:rsid w:val="009C3458"/>
    <w:rsid w:val="009C7B82"/>
    <w:rsid w:val="009D0445"/>
    <w:rsid w:val="009E08B6"/>
    <w:rsid w:val="009E25CA"/>
    <w:rsid w:val="00A24AF9"/>
    <w:rsid w:val="00A31567"/>
    <w:rsid w:val="00A53374"/>
    <w:rsid w:val="00A6421A"/>
    <w:rsid w:val="00A6521E"/>
    <w:rsid w:val="00AA7568"/>
    <w:rsid w:val="00AB3AEC"/>
    <w:rsid w:val="00AC10DA"/>
    <w:rsid w:val="00AF54B9"/>
    <w:rsid w:val="00B04D54"/>
    <w:rsid w:val="00B109B9"/>
    <w:rsid w:val="00B3003B"/>
    <w:rsid w:val="00B5025E"/>
    <w:rsid w:val="00B73482"/>
    <w:rsid w:val="00B93352"/>
    <w:rsid w:val="00BA3269"/>
    <w:rsid w:val="00BB282F"/>
    <w:rsid w:val="00BB7FCB"/>
    <w:rsid w:val="00BC2132"/>
    <w:rsid w:val="00BC3B21"/>
    <w:rsid w:val="00BD1235"/>
    <w:rsid w:val="00BD2CB7"/>
    <w:rsid w:val="00BD380B"/>
    <w:rsid w:val="00BF07E7"/>
    <w:rsid w:val="00BF2B3A"/>
    <w:rsid w:val="00C0431F"/>
    <w:rsid w:val="00C158A1"/>
    <w:rsid w:val="00C3550B"/>
    <w:rsid w:val="00C508D9"/>
    <w:rsid w:val="00C96C6C"/>
    <w:rsid w:val="00CB2805"/>
    <w:rsid w:val="00CF3A78"/>
    <w:rsid w:val="00CF4CE5"/>
    <w:rsid w:val="00D263EF"/>
    <w:rsid w:val="00D519A1"/>
    <w:rsid w:val="00D65E93"/>
    <w:rsid w:val="00D8093D"/>
    <w:rsid w:val="00D8409D"/>
    <w:rsid w:val="00D91B35"/>
    <w:rsid w:val="00DC41A3"/>
    <w:rsid w:val="00DD21AC"/>
    <w:rsid w:val="00DD2EEE"/>
    <w:rsid w:val="00DD6CEB"/>
    <w:rsid w:val="00DE2725"/>
    <w:rsid w:val="00DF74AB"/>
    <w:rsid w:val="00E42FD9"/>
    <w:rsid w:val="00E4442D"/>
    <w:rsid w:val="00E73DC2"/>
    <w:rsid w:val="00E905E0"/>
    <w:rsid w:val="00EB62E3"/>
    <w:rsid w:val="00F049B8"/>
    <w:rsid w:val="00F3156C"/>
    <w:rsid w:val="00F420DE"/>
    <w:rsid w:val="00F47256"/>
    <w:rsid w:val="00F65257"/>
    <w:rsid w:val="00F667F9"/>
    <w:rsid w:val="00F77413"/>
    <w:rsid w:val="00F81D39"/>
    <w:rsid w:val="00F84664"/>
    <w:rsid w:val="00F86781"/>
    <w:rsid w:val="00FA372C"/>
    <w:rsid w:val="00FA68E6"/>
    <w:rsid w:val="00FB400E"/>
    <w:rsid w:val="00FC66BC"/>
    <w:rsid w:val="00FF293D"/>
    <w:rsid w:val="00FF6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7190"/>
    <w:pPr>
      <w:spacing w:after="120"/>
    </w:pPr>
    <w:rPr>
      <w:sz w:val="24"/>
      <w:lang w:eastAsia="en-US"/>
    </w:rPr>
  </w:style>
  <w:style w:type="paragraph" w:styleId="Heading1">
    <w:name w:val="heading 1"/>
    <w:aliases w:val="Centre Head"/>
    <w:next w:val="LeftHeading"/>
    <w:qFormat/>
    <w:rsid w:val="00847190"/>
    <w:pPr>
      <w:spacing w:before="240" w:after="240"/>
      <w:jc w:val="center"/>
      <w:outlineLvl w:val="0"/>
    </w:pPr>
    <w:rPr>
      <w:rFonts w:ascii="Arial" w:hAnsi="Arial"/>
      <w:b/>
      <w:caps/>
      <w:color w:val="000000"/>
      <w:sz w:val="28"/>
      <w:lang w:eastAsia="en-US"/>
    </w:rPr>
  </w:style>
  <w:style w:type="paragraph" w:styleId="Heading2">
    <w:name w:val="heading 2"/>
    <w:basedOn w:val="Normal"/>
    <w:next w:val="Normal"/>
    <w:qFormat/>
    <w:rsid w:val="0084719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847190"/>
    <w:pPr>
      <w:keepNext/>
      <w:jc w:val="center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847190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ftHeading">
    <w:name w:val="Left Heading"/>
    <w:next w:val="SubHeading"/>
    <w:rsid w:val="00847190"/>
    <w:pPr>
      <w:spacing w:before="120" w:after="240"/>
    </w:pPr>
    <w:rPr>
      <w:rFonts w:ascii="Arial" w:hAnsi="Arial"/>
      <w:b/>
      <w:caps/>
      <w:color w:val="000000"/>
      <w:sz w:val="24"/>
      <w:lang w:eastAsia="en-US"/>
    </w:rPr>
  </w:style>
  <w:style w:type="paragraph" w:customStyle="1" w:styleId="SubHeading">
    <w:name w:val="Sub Heading"/>
    <w:next w:val="Normal"/>
    <w:rsid w:val="00847190"/>
    <w:pPr>
      <w:keepNext/>
      <w:spacing w:before="120" w:after="240"/>
    </w:pPr>
    <w:rPr>
      <w:b/>
      <w:color w:val="000000"/>
      <w:sz w:val="24"/>
      <w:u w:val="single"/>
      <w:lang w:eastAsia="en-US"/>
    </w:rPr>
  </w:style>
  <w:style w:type="paragraph" w:customStyle="1" w:styleId="List1">
    <w:name w:val="List 1."/>
    <w:rsid w:val="00847190"/>
    <w:pPr>
      <w:numPr>
        <w:numId w:val="6"/>
      </w:numPr>
      <w:spacing w:after="120"/>
    </w:pPr>
    <w:rPr>
      <w:color w:val="000000"/>
      <w:sz w:val="24"/>
      <w:lang w:eastAsia="en-US"/>
    </w:rPr>
  </w:style>
  <w:style w:type="paragraph" w:styleId="BodyText">
    <w:name w:val="Body Text"/>
    <w:rsid w:val="00847190"/>
    <w:pPr>
      <w:tabs>
        <w:tab w:val="left" w:pos="912"/>
        <w:tab w:val="left" w:pos="2265"/>
        <w:tab w:val="left" w:pos="3975"/>
        <w:tab w:val="left" w:pos="5100"/>
        <w:tab w:val="decimal" w:pos="6384"/>
      </w:tabs>
      <w:spacing w:after="120"/>
    </w:pPr>
    <w:rPr>
      <w:color w:val="000000"/>
      <w:sz w:val="24"/>
      <w:lang w:eastAsia="en-US"/>
    </w:rPr>
  </w:style>
  <w:style w:type="paragraph" w:customStyle="1" w:styleId="Comment">
    <w:name w:val="Comment"/>
    <w:rsid w:val="00847190"/>
    <w:pPr>
      <w:spacing w:after="120"/>
      <w:ind w:left="680" w:hanging="680"/>
    </w:pPr>
    <w:rPr>
      <w:color w:val="000000"/>
      <w:sz w:val="24"/>
      <w:lang w:eastAsia="en-US"/>
    </w:rPr>
  </w:style>
  <w:style w:type="paragraph" w:customStyle="1" w:styleId="Comment2">
    <w:name w:val="Comment2"/>
    <w:rsid w:val="00847190"/>
    <w:pPr>
      <w:spacing w:after="120"/>
      <w:ind w:left="340"/>
    </w:pPr>
    <w:rPr>
      <w:color w:val="000000"/>
      <w:sz w:val="24"/>
      <w:lang w:eastAsia="en-US"/>
    </w:rPr>
  </w:style>
  <w:style w:type="paragraph" w:customStyle="1" w:styleId="Italicsubheading">
    <w:name w:val="Italic subheading"/>
    <w:basedOn w:val="BodyText"/>
    <w:next w:val="List1"/>
    <w:rsid w:val="00847190"/>
    <w:pPr>
      <w:spacing w:before="120" w:after="240"/>
    </w:pPr>
    <w:rPr>
      <w:i/>
    </w:rPr>
  </w:style>
  <w:style w:type="paragraph" w:customStyle="1" w:styleId="Para1">
    <w:name w:val="Para 1"/>
    <w:next w:val="List1"/>
    <w:autoRedefine/>
    <w:rsid w:val="00847190"/>
    <w:pPr>
      <w:tabs>
        <w:tab w:val="left" w:pos="912"/>
        <w:tab w:val="left" w:pos="2265"/>
        <w:tab w:val="left" w:pos="3975"/>
        <w:tab w:val="left" w:pos="5100"/>
        <w:tab w:val="decimal" w:pos="6384"/>
      </w:tabs>
      <w:spacing w:after="120"/>
    </w:pPr>
    <w:rPr>
      <w:color w:val="000000"/>
      <w:sz w:val="24"/>
      <w:lang w:eastAsia="en-US"/>
    </w:rPr>
  </w:style>
  <w:style w:type="paragraph" w:customStyle="1" w:styleId="Colonpoint">
    <w:name w:val="Colon point"/>
    <w:basedOn w:val="Normal"/>
    <w:rsid w:val="00847190"/>
    <w:pPr>
      <w:widowControl w:val="0"/>
      <w:numPr>
        <w:numId w:val="8"/>
      </w:numPr>
      <w:tabs>
        <w:tab w:val="left" w:pos="835"/>
        <w:tab w:val="left" w:pos="1706"/>
        <w:tab w:val="left" w:pos="2562"/>
        <w:tab w:val="left" w:pos="3433"/>
        <w:tab w:val="left" w:pos="4304"/>
        <w:tab w:val="left" w:pos="5115"/>
        <w:tab w:val="left" w:pos="5985"/>
        <w:tab w:val="left" w:pos="6905"/>
        <w:tab w:val="left" w:pos="7731"/>
        <w:tab w:val="left" w:pos="8602"/>
      </w:tabs>
    </w:pPr>
    <w:rPr>
      <w:snapToGrid w:val="0"/>
      <w:color w:val="000000"/>
    </w:rPr>
  </w:style>
  <w:style w:type="paragraph" w:customStyle="1" w:styleId="Listi">
    <w:name w:val="List (i)"/>
    <w:rsid w:val="00847190"/>
    <w:pPr>
      <w:numPr>
        <w:numId w:val="27"/>
      </w:numPr>
      <w:tabs>
        <w:tab w:val="left" w:pos="680"/>
        <w:tab w:val="left" w:pos="835"/>
        <w:tab w:val="left" w:pos="1706"/>
        <w:tab w:val="left" w:pos="2562"/>
        <w:tab w:val="left" w:pos="3433"/>
        <w:tab w:val="left" w:pos="4304"/>
        <w:tab w:val="left" w:pos="5115"/>
      </w:tabs>
      <w:spacing w:after="120"/>
    </w:pPr>
    <w:rPr>
      <w:color w:val="000000"/>
      <w:sz w:val="24"/>
      <w:lang w:eastAsia="en-US"/>
    </w:rPr>
  </w:style>
  <w:style w:type="paragraph" w:customStyle="1" w:styleId="Dot">
    <w:name w:val="Dot"/>
    <w:rsid w:val="00847190"/>
    <w:pPr>
      <w:tabs>
        <w:tab w:val="left" w:pos="835"/>
        <w:tab w:val="left" w:pos="1706"/>
        <w:tab w:val="left" w:pos="2562"/>
        <w:tab w:val="left" w:pos="3433"/>
        <w:tab w:val="left" w:pos="4304"/>
        <w:tab w:val="left" w:pos="5115"/>
        <w:tab w:val="left" w:pos="5985"/>
        <w:tab w:val="left" w:pos="6905"/>
        <w:tab w:val="left" w:pos="7731"/>
      </w:tabs>
      <w:spacing w:after="120"/>
    </w:pPr>
    <w:rPr>
      <w:color w:val="000000"/>
      <w:sz w:val="24"/>
      <w:lang w:eastAsia="en-US"/>
    </w:rPr>
  </w:style>
  <w:style w:type="paragraph" w:customStyle="1" w:styleId="Lista">
    <w:name w:val="List (a)"/>
    <w:rsid w:val="00847190"/>
    <w:pPr>
      <w:numPr>
        <w:numId w:val="10"/>
      </w:numPr>
      <w:spacing w:after="120"/>
    </w:pPr>
    <w:rPr>
      <w:color w:val="000000"/>
      <w:sz w:val="24"/>
      <w:lang w:eastAsia="en-US"/>
    </w:rPr>
  </w:style>
  <w:style w:type="paragraph" w:customStyle="1" w:styleId="Footer1">
    <w:name w:val="Footer1"/>
    <w:rsid w:val="00847190"/>
    <w:rPr>
      <w:color w:val="000000"/>
      <w:lang w:eastAsia="en-US"/>
    </w:rPr>
  </w:style>
  <w:style w:type="paragraph" w:customStyle="1" w:styleId="Attachment">
    <w:name w:val="Attachment"/>
    <w:next w:val="LeftHeading"/>
    <w:rsid w:val="00847190"/>
    <w:pPr>
      <w:spacing w:after="240"/>
      <w:jc w:val="right"/>
    </w:pPr>
    <w:rPr>
      <w:b/>
      <w:caps/>
      <w:color w:val="000000"/>
      <w:sz w:val="24"/>
      <w:lang w:eastAsia="en-US"/>
    </w:rPr>
  </w:style>
  <w:style w:type="paragraph" w:customStyle="1" w:styleId="BodySingle">
    <w:name w:val="Body Single"/>
    <w:rsid w:val="00847190"/>
    <w:rPr>
      <w:color w:val="000000"/>
      <w:sz w:val="24"/>
      <w:lang w:eastAsia="en-US"/>
    </w:rPr>
  </w:style>
  <w:style w:type="paragraph" w:customStyle="1" w:styleId="ResetParaNo">
    <w:name w:val="Reset Para No"/>
    <w:rsid w:val="00847190"/>
    <w:rPr>
      <w:color w:val="000000"/>
      <w:sz w:val="24"/>
      <w:lang w:eastAsia="en-US"/>
    </w:rPr>
  </w:style>
  <w:style w:type="paragraph" w:styleId="BodyTextIndent">
    <w:name w:val="Body Text Indent"/>
    <w:basedOn w:val="Normal"/>
    <w:rsid w:val="00847190"/>
    <w:pPr>
      <w:spacing w:after="0"/>
      <w:ind w:left="680" w:hanging="680"/>
    </w:pPr>
    <w:rPr>
      <w:rFonts w:ascii="Arial" w:hAnsi="Arial"/>
    </w:rPr>
  </w:style>
  <w:style w:type="paragraph" w:customStyle="1" w:styleId="Dash">
    <w:name w:val="Dash"/>
    <w:basedOn w:val="Normal"/>
    <w:rsid w:val="00847190"/>
    <w:pPr>
      <w:numPr>
        <w:numId w:val="28"/>
      </w:numPr>
    </w:pPr>
  </w:style>
  <w:style w:type="paragraph" w:styleId="Header">
    <w:name w:val="header"/>
    <w:basedOn w:val="Normal"/>
    <w:rsid w:val="008471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47190"/>
  </w:style>
  <w:style w:type="paragraph" w:customStyle="1" w:styleId="CentreHead2">
    <w:name w:val="Centre Head 2"/>
    <w:next w:val="LeftHeading"/>
    <w:autoRedefine/>
    <w:rsid w:val="00847190"/>
    <w:pPr>
      <w:spacing w:after="120"/>
      <w:jc w:val="center"/>
    </w:pPr>
    <w:rPr>
      <w:rFonts w:ascii="Arial" w:hAnsi="Arial"/>
      <w:b/>
      <w:caps/>
      <w:color w:val="000000"/>
      <w:sz w:val="26"/>
      <w:lang w:eastAsia="en-US"/>
    </w:rPr>
  </w:style>
  <w:style w:type="paragraph" w:styleId="Footer">
    <w:name w:val="footer"/>
    <w:basedOn w:val="Normal"/>
    <w:rsid w:val="00847190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847190"/>
    <w:rPr>
      <w:i/>
      <w:iCs/>
    </w:rPr>
  </w:style>
  <w:style w:type="paragraph" w:customStyle="1" w:styleId="ZP2">
    <w:name w:val="ZP2"/>
    <w:basedOn w:val="Normal"/>
    <w:rsid w:val="00D65E93"/>
    <w:pPr>
      <w:keepNext/>
      <w:tabs>
        <w:tab w:val="right" w:pos="1758"/>
        <w:tab w:val="left" w:pos="2155"/>
      </w:tabs>
      <w:spacing w:before="60" w:after="0" w:line="260" w:lineRule="exact"/>
      <w:ind w:left="1985" w:hanging="1985"/>
      <w:jc w:val="both"/>
    </w:pPr>
    <w:rPr>
      <w:szCs w:val="24"/>
    </w:rPr>
  </w:style>
  <w:style w:type="paragraph" w:customStyle="1" w:styleId="P1">
    <w:name w:val="P1"/>
    <w:aliases w:val="(a)"/>
    <w:basedOn w:val="Normal"/>
    <w:rsid w:val="0022124C"/>
    <w:pPr>
      <w:tabs>
        <w:tab w:val="right" w:pos="1191"/>
      </w:tabs>
      <w:spacing w:before="60" w:after="0" w:line="260" w:lineRule="exact"/>
      <w:ind w:left="1418" w:hanging="1418"/>
      <w:jc w:val="both"/>
    </w:pPr>
    <w:rPr>
      <w:szCs w:val="24"/>
    </w:rPr>
  </w:style>
  <w:style w:type="paragraph" w:customStyle="1" w:styleId="Zdefinition">
    <w:name w:val="Zdefinition"/>
    <w:basedOn w:val="Normal"/>
    <w:rsid w:val="0022124C"/>
    <w:pPr>
      <w:keepNext/>
      <w:spacing w:before="80" w:after="0" w:line="260" w:lineRule="exact"/>
      <w:ind w:left="964"/>
      <w:jc w:val="both"/>
    </w:pPr>
    <w:rPr>
      <w:szCs w:val="24"/>
    </w:rPr>
  </w:style>
  <w:style w:type="paragraph" w:customStyle="1" w:styleId="P2">
    <w:name w:val="P2"/>
    <w:aliases w:val="(i)"/>
    <w:basedOn w:val="Normal"/>
    <w:link w:val="P2Char"/>
    <w:rsid w:val="00513350"/>
    <w:pPr>
      <w:tabs>
        <w:tab w:val="right" w:pos="1758"/>
        <w:tab w:val="left" w:pos="2155"/>
      </w:tabs>
      <w:spacing w:before="60" w:after="0" w:line="260" w:lineRule="exact"/>
      <w:ind w:left="1985" w:hanging="1985"/>
      <w:jc w:val="both"/>
    </w:pPr>
    <w:rPr>
      <w:szCs w:val="24"/>
    </w:rPr>
  </w:style>
  <w:style w:type="character" w:customStyle="1" w:styleId="P2Char">
    <w:name w:val="P2 Char"/>
    <w:aliases w:val="(i) Char"/>
    <w:basedOn w:val="DefaultParagraphFont"/>
    <w:link w:val="P2"/>
    <w:rsid w:val="00513350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uperstyle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30875-441E-48D0-93F0-DBC2AE6B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Superstyle doc.dot</Template>
  <TotalTime>1</TotalTime>
  <Pages>3</Pages>
  <Words>811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1996/97/98</vt:lpstr>
    </vt:vector>
  </TitlesOfParts>
  <Company>Department of Finance</Company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1996/97/98</dc:title>
  <dc:creator>Wilson</dc:creator>
  <cp:lastModifiedBy>jonmel</cp:lastModifiedBy>
  <cp:revision>2</cp:revision>
  <cp:lastPrinted>2010-05-06T05:26:00Z</cp:lastPrinted>
  <dcterms:created xsi:type="dcterms:W3CDTF">2011-06-30T06:00:00Z</dcterms:created>
  <dcterms:modified xsi:type="dcterms:W3CDTF">2011-06-30T06:00:00Z</dcterms:modified>
</cp:coreProperties>
</file>