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F1" w:rsidRPr="007C0640" w:rsidRDefault="006873A4" w:rsidP="000E3E49">
      <w:pPr>
        <w:jc w:val="center"/>
        <w:outlineLvl w:val="0"/>
        <w:rPr>
          <w:rFonts w:cs="Arial"/>
          <w:b/>
        </w:rPr>
      </w:pPr>
      <w:r w:rsidRPr="007C0640">
        <w:rPr>
          <w:rFonts w:cs="Arial"/>
          <w:b/>
        </w:rPr>
        <w:t>EXPLANATORY STATEMENT</w:t>
      </w:r>
    </w:p>
    <w:p w:rsidR="006873A4" w:rsidRPr="007C0640" w:rsidRDefault="006873A4" w:rsidP="00657018">
      <w:pPr>
        <w:jc w:val="center"/>
        <w:rPr>
          <w:rFonts w:cs="Arial"/>
          <w:b/>
        </w:rPr>
      </w:pPr>
    </w:p>
    <w:p w:rsidR="00F4675D" w:rsidRPr="00F4675D" w:rsidRDefault="00F4675D" w:rsidP="005F2D4B">
      <w:pPr>
        <w:jc w:val="center"/>
        <w:rPr>
          <w:b/>
          <w:i/>
        </w:rPr>
      </w:pPr>
      <w:bookmarkStart w:id="0" w:name="Citation"/>
      <w:r w:rsidRPr="00F4675D">
        <w:rPr>
          <w:b/>
          <w:i/>
        </w:rPr>
        <w:t>Fami</w:t>
      </w:r>
      <w:r w:rsidR="00D049B8">
        <w:rPr>
          <w:b/>
          <w:i/>
        </w:rPr>
        <w:t xml:space="preserve">ly Assistance (Waiver of </w:t>
      </w:r>
      <w:r w:rsidR="00D049B8" w:rsidRPr="00D049B8">
        <w:rPr>
          <w:b/>
          <w:i/>
        </w:rPr>
        <w:t>Debts </w:t>
      </w:r>
      <w:proofErr w:type="gramStart"/>
      <w:r w:rsidR="00D049B8" w:rsidRPr="00D049B8">
        <w:rPr>
          <w:b/>
          <w:i/>
        </w:rPr>
        <w:t xml:space="preserve">— </w:t>
      </w:r>
      <w:r w:rsidRPr="00F4675D">
        <w:rPr>
          <w:b/>
          <w:i/>
        </w:rPr>
        <w:t xml:space="preserve"> Disasters</w:t>
      </w:r>
      <w:proofErr w:type="gramEnd"/>
      <w:r w:rsidRPr="00F4675D">
        <w:rPr>
          <w:b/>
          <w:i/>
        </w:rPr>
        <w:t>) (</w:t>
      </w:r>
      <w:r w:rsidR="00D049B8">
        <w:rPr>
          <w:b/>
          <w:i/>
        </w:rPr>
        <w:t>DEEWR) Specification 2011</w:t>
      </w:r>
    </w:p>
    <w:bookmarkEnd w:id="0"/>
    <w:p w:rsidR="0020691D" w:rsidRPr="0020691D" w:rsidRDefault="0020691D" w:rsidP="00657018">
      <w:pPr>
        <w:jc w:val="center"/>
        <w:rPr>
          <w:b/>
        </w:rPr>
      </w:pPr>
    </w:p>
    <w:p w:rsidR="007C0640" w:rsidRPr="007C0640" w:rsidRDefault="007C0640" w:rsidP="00657018">
      <w:pPr>
        <w:jc w:val="center"/>
        <w:rPr>
          <w:rFonts w:cs="Arial"/>
          <w:b/>
        </w:rPr>
      </w:pPr>
    </w:p>
    <w:p w:rsidR="007C0640" w:rsidRPr="007C0640" w:rsidRDefault="007C0640" w:rsidP="000E3E49">
      <w:pPr>
        <w:jc w:val="center"/>
        <w:outlineLvl w:val="0"/>
        <w:rPr>
          <w:rFonts w:cs="Arial"/>
          <w:b/>
        </w:rPr>
      </w:pPr>
      <w:r w:rsidRPr="007C0640">
        <w:rPr>
          <w:rFonts w:cs="Arial"/>
          <w:b/>
        </w:rPr>
        <w:t xml:space="preserve">Made under section </w:t>
      </w:r>
      <w:r w:rsidR="00F4675D">
        <w:rPr>
          <w:rFonts w:cs="Arial"/>
          <w:b/>
        </w:rPr>
        <w:t>102</w:t>
      </w:r>
      <w:r w:rsidRPr="007C0640">
        <w:rPr>
          <w:rFonts w:cs="Arial"/>
          <w:b/>
        </w:rPr>
        <w:t xml:space="preserve"> of the </w:t>
      </w:r>
      <w:r w:rsidR="00F4675D">
        <w:rPr>
          <w:rFonts w:cs="Arial"/>
          <w:b/>
          <w:i/>
        </w:rPr>
        <w:t>A New Tax System (Family Assistance) (Administration) Act 1999</w:t>
      </w:r>
    </w:p>
    <w:p w:rsidR="007C0640" w:rsidRPr="007C0640" w:rsidRDefault="007C0640" w:rsidP="00657018">
      <w:pPr>
        <w:rPr>
          <w:rFonts w:cs="Arial"/>
          <w:b/>
        </w:rPr>
      </w:pPr>
    </w:p>
    <w:p w:rsidR="007C0640" w:rsidRPr="007C0640" w:rsidRDefault="007C0640" w:rsidP="00657018">
      <w:pPr>
        <w:rPr>
          <w:rFonts w:cs="Arial"/>
          <w:b/>
        </w:rPr>
      </w:pPr>
    </w:p>
    <w:p w:rsidR="007C0640" w:rsidRDefault="007C0640" w:rsidP="000E3E49">
      <w:pPr>
        <w:outlineLvl w:val="0"/>
        <w:rPr>
          <w:rFonts w:cs="Arial"/>
        </w:rPr>
      </w:pPr>
      <w:r w:rsidRPr="007C0640">
        <w:rPr>
          <w:rFonts w:cs="Arial"/>
          <w:b/>
        </w:rPr>
        <w:t>Background</w:t>
      </w:r>
    </w:p>
    <w:p w:rsidR="007C0640" w:rsidRDefault="007C0640" w:rsidP="00657018">
      <w:pPr>
        <w:rPr>
          <w:rFonts w:cs="Arial"/>
        </w:rPr>
      </w:pPr>
    </w:p>
    <w:p w:rsidR="007C0640" w:rsidRDefault="00F4675D" w:rsidP="00657018">
      <w:pPr>
        <w:rPr>
          <w:rFonts w:cs="Arial"/>
        </w:rPr>
      </w:pPr>
      <w:r>
        <w:rPr>
          <w:rFonts w:cs="Arial"/>
        </w:rPr>
        <w:t>S</w:t>
      </w:r>
      <w:r w:rsidRPr="00F4675D">
        <w:rPr>
          <w:rFonts w:cs="Arial"/>
        </w:rPr>
        <w:t xml:space="preserve">ection 102 of the </w:t>
      </w:r>
      <w:r w:rsidRPr="007846C4">
        <w:rPr>
          <w:rFonts w:cs="Arial"/>
          <w:i/>
        </w:rPr>
        <w:t xml:space="preserve">A New Tax System (Family Assistance) (Administration) Act 1999 </w:t>
      </w:r>
      <w:r w:rsidR="00E10AA1">
        <w:rPr>
          <w:rFonts w:cs="Arial"/>
        </w:rPr>
        <w:t xml:space="preserve">(the Act) </w:t>
      </w:r>
      <w:r w:rsidR="007C0640">
        <w:rPr>
          <w:rFonts w:cs="Arial"/>
        </w:rPr>
        <w:t xml:space="preserve">provides that the Secretary may decide to waive the Commonwealth’s right to recover debts arising under the </w:t>
      </w:r>
      <w:r w:rsidR="00A940ED">
        <w:rPr>
          <w:rFonts w:cs="Arial"/>
        </w:rPr>
        <w:t>Act</w:t>
      </w:r>
      <w:r w:rsidR="007C0640">
        <w:rPr>
          <w:rFonts w:cs="Arial"/>
        </w:rPr>
        <w:t xml:space="preserve"> that are included as a class of debts specified by the Minister</w:t>
      </w:r>
      <w:r w:rsidR="00E10AA1">
        <w:rPr>
          <w:rFonts w:cs="Arial"/>
        </w:rPr>
        <w:t xml:space="preserve"> by legislative instrument</w:t>
      </w:r>
      <w:r w:rsidR="007C0640">
        <w:rPr>
          <w:rFonts w:cs="Arial"/>
        </w:rPr>
        <w:t>.</w:t>
      </w:r>
    </w:p>
    <w:p w:rsidR="007C0640" w:rsidRDefault="007C0640" w:rsidP="00657018">
      <w:pPr>
        <w:rPr>
          <w:rFonts w:cs="Arial"/>
        </w:rPr>
      </w:pPr>
    </w:p>
    <w:p w:rsidR="007C0640" w:rsidRDefault="007C0640" w:rsidP="00657018">
      <w:pPr>
        <w:rPr>
          <w:rFonts w:cs="Arial"/>
        </w:rPr>
      </w:pPr>
      <w:r>
        <w:rPr>
          <w:rFonts w:cs="Arial"/>
        </w:rPr>
        <w:t xml:space="preserve">The purpose of this instrument is to specify </w:t>
      </w:r>
      <w:r w:rsidR="00276106">
        <w:rPr>
          <w:rFonts w:cs="Arial"/>
        </w:rPr>
        <w:t xml:space="preserve">a </w:t>
      </w:r>
      <w:r>
        <w:rPr>
          <w:rFonts w:cs="Arial"/>
        </w:rPr>
        <w:t xml:space="preserve">class of debts </w:t>
      </w:r>
      <w:r w:rsidR="00E10AA1">
        <w:rPr>
          <w:rFonts w:cs="Arial"/>
        </w:rPr>
        <w:t>that</w:t>
      </w:r>
      <w:r>
        <w:rPr>
          <w:rFonts w:cs="Arial"/>
        </w:rPr>
        <w:t xml:space="preserve"> may be waived. This would enable the Secretary to waive the Commonwealth’s right </w:t>
      </w:r>
      <w:r w:rsidR="00AE16F5">
        <w:rPr>
          <w:rFonts w:cs="Arial"/>
        </w:rPr>
        <w:t xml:space="preserve">to recover debts arising under the </w:t>
      </w:r>
      <w:r w:rsidR="00276106">
        <w:rPr>
          <w:rFonts w:cs="Arial"/>
        </w:rPr>
        <w:t>Act, incurred by</w:t>
      </w:r>
      <w:r w:rsidR="00AE16F5">
        <w:rPr>
          <w:rFonts w:cs="Arial"/>
        </w:rPr>
        <w:t xml:space="preserve"> persons who were adversely affected by </w:t>
      </w:r>
      <w:r w:rsidR="00CD02A3" w:rsidRPr="00CD02A3">
        <w:rPr>
          <w:rFonts w:cs="Arial"/>
        </w:rPr>
        <w:t>flooding</w:t>
      </w:r>
      <w:r w:rsidR="00AE16F5" w:rsidRPr="00CD02A3">
        <w:rPr>
          <w:rFonts w:cs="Arial"/>
        </w:rPr>
        <w:t xml:space="preserve"> </w:t>
      </w:r>
      <w:r w:rsidR="003A5264" w:rsidRPr="00CD02A3">
        <w:rPr>
          <w:rFonts w:cs="Arial"/>
        </w:rPr>
        <w:t xml:space="preserve">disasters in </w:t>
      </w:r>
      <w:r w:rsidR="00C3280E">
        <w:rPr>
          <w:rFonts w:cs="Arial"/>
        </w:rPr>
        <w:t xml:space="preserve">late </w:t>
      </w:r>
      <w:r w:rsidR="003A5264" w:rsidRPr="00CD02A3">
        <w:rPr>
          <w:rFonts w:cs="Arial"/>
        </w:rPr>
        <w:t>2010</w:t>
      </w:r>
      <w:r w:rsidR="00C3280E">
        <w:rPr>
          <w:rFonts w:cs="Arial"/>
        </w:rPr>
        <w:t xml:space="preserve"> and early 20</w:t>
      </w:r>
      <w:r w:rsidR="003A5264" w:rsidRPr="00CD02A3">
        <w:rPr>
          <w:rFonts w:cs="Arial"/>
        </w:rPr>
        <w:t>11</w:t>
      </w:r>
      <w:r w:rsidR="004C7798">
        <w:rPr>
          <w:rFonts w:cs="Arial"/>
        </w:rPr>
        <w:t>.</w:t>
      </w:r>
      <w:r w:rsidR="0088649F">
        <w:rPr>
          <w:rFonts w:cs="Arial"/>
        </w:rPr>
        <w:t xml:space="preserve"> </w:t>
      </w:r>
      <w:r w:rsidR="0088649F" w:rsidRPr="00CD02A3">
        <w:rPr>
          <w:rFonts w:cs="Arial"/>
        </w:rPr>
        <w:t xml:space="preserve">A mirror instrument under the </w:t>
      </w:r>
      <w:r w:rsidR="00F4675D">
        <w:rPr>
          <w:rFonts w:cs="Arial"/>
        </w:rPr>
        <w:t>social security</w:t>
      </w:r>
      <w:r w:rsidR="0088649F" w:rsidRPr="00CD02A3">
        <w:rPr>
          <w:rFonts w:cs="Arial"/>
        </w:rPr>
        <w:t xml:space="preserve"> law has also been made to enable the waiver of debts arising from similar circumstances under the </w:t>
      </w:r>
      <w:r w:rsidR="00F4675D">
        <w:rPr>
          <w:rFonts w:cs="Arial"/>
        </w:rPr>
        <w:t>social security</w:t>
      </w:r>
      <w:r w:rsidR="0088649F" w:rsidRPr="00CD02A3">
        <w:rPr>
          <w:rFonts w:cs="Arial"/>
        </w:rPr>
        <w:t xml:space="preserve"> law.</w:t>
      </w:r>
    </w:p>
    <w:p w:rsidR="00AE16F5" w:rsidRDefault="00AE16F5" w:rsidP="00657018">
      <w:pPr>
        <w:rPr>
          <w:rFonts w:cs="Arial"/>
        </w:rPr>
      </w:pPr>
    </w:p>
    <w:p w:rsidR="009C6DDD" w:rsidRDefault="00AE16F5" w:rsidP="00657018">
      <w:pPr>
        <w:rPr>
          <w:rFonts w:cs="Arial"/>
        </w:rPr>
      </w:pPr>
      <w:r>
        <w:rPr>
          <w:rFonts w:cs="Arial"/>
        </w:rPr>
        <w:t xml:space="preserve">The </w:t>
      </w:r>
      <w:r w:rsidR="00BA7CD8" w:rsidRPr="00CD02A3">
        <w:rPr>
          <w:rFonts w:cs="Arial"/>
        </w:rPr>
        <w:t>2010</w:t>
      </w:r>
      <w:r w:rsidR="00C3280E">
        <w:rPr>
          <w:rFonts w:cs="Arial"/>
        </w:rPr>
        <w:t xml:space="preserve"> and </w:t>
      </w:r>
      <w:r w:rsidR="00BA7CD8" w:rsidRPr="00CD02A3">
        <w:rPr>
          <w:rFonts w:cs="Arial"/>
        </w:rPr>
        <w:t>2011 d</w:t>
      </w:r>
      <w:r w:rsidR="00480DE1" w:rsidRPr="00CD02A3">
        <w:rPr>
          <w:rFonts w:cs="Arial"/>
        </w:rPr>
        <w:t>isasters</w:t>
      </w:r>
      <w:r>
        <w:rPr>
          <w:rFonts w:cs="Arial"/>
        </w:rPr>
        <w:t xml:space="preserve"> have impacted physically and emotionally on </w:t>
      </w:r>
      <w:r w:rsidR="00480DE1" w:rsidRPr="00CD02A3">
        <w:rPr>
          <w:rFonts w:cs="Arial"/>
        </w:rPr>
        <w:t>disaster</w:t>
      </w:r>
      <w:r w:rsidR="00480DE1">
        <w:rPr>
          <w:rFonts w:cs="Arial"/>
        </w:rPr>
        <w:t xml:space="preserve"> </w:t>
      </w:r>
      <w:r>
        <w:rPr>
          <w:rFonts w:cs="Arial"/>
        </w:rPr>
        <w:t xml:space="preserve">victims and their families. </w:t>
      </w:r>
      <w:r w:rsidR="000C78E3">
        <w:rPr>
          <w:rFonts w:cs="Arial"/>
        </w:rPr>
        <w:t>The reason for the making of this instrument</w:t>
      </w:r>
      <w:r w:rsidR="009C6DDD">
        <w:rPr>
          <w:rFonts w:cs="Arial"/>
        </w:rPr>
        <w:t xml:space="preserve"> is to</w:t>
      </w:r>
      <w:r>
        <w:rPr>
          <w:rFonts w:cs="Arial"/>
        </w:rPr>
        <w:t xml:space="preserve"> ease the physical and emotional impact on a victim of the </w:t>
      </w:r>
      <w:r w:rsidR="00480DE1" w:rsidRPr="00CD02A3">
        <w:rPr>
          <w:rFonts w:cs="Arial"/>
        </w:rPr>
        <w:t>disasters</w:t>
      </w:r>
      <w:r w:rsidRPr="00CD02A3">
        <w:rPr>
          <w:rFonts w:cs="Arial"/>
        </w:rPr>
        <w:t xml:space="preserve">, who </w:t>
      </w:r>
      <w:r w:rsidR="000C78E3" w:rsidRPr="00CD02A3">
        <w:rPr>
          <w:rFonts w:cs="Arial"/>
        </w:rPr>
        <w:t xml:space="preserve">unintentionally </w:t>
      </w:r>
      <w:r w:rsidR="00CD02A3" w:rsidRPr="00CD02A3">
        <w:rPr>
          <w:rFonts w:cs="Arial"/>
        </w:rPr>
        <w:t xml:space="preserve">is </w:t>
      </w:r>
      <w:r w:rsidR="000C78E3" w:rsidRPr="00CD02A3">
        <w:rPr>
          <w:rFonts w:cs="Arial"/>
        </w:rPr>
        <w:t>receiving</w:t>
      </w:r>
      <w:r w:rsidRPr="00CD02A3">
        <w:rPr>
          <w:rFonts w:cs="Arial"/>
        </w:rPr>
        <w:t xml:space="preserve"> a</w:t>
      </w:r>
      <w:r w:rsidR="000C78E3" w:rsidRPr="00CD02A3">
        <w:rPr>
          <w:rFonts w:cs="Arial"/>
        </w:rPr>
        <w:t xml:space="preserve">n incorrect </w:t>
      </w:r>
      <w:r w:rsidR="00F4675D">
        <w:rPr>
          <w:rFonts w:cs="Arial"/>
        </w:rPr>
        <w:t xml:space="preserve">family </w:t>
      </w:r>
      <w:r w:rsidR="008539F3">
        <w:rPr>
          <w:rFonts w:cs="Arial"/>
        </w:rPr>
        <w:t xml:space="preserve">assistance </w:t>
      </w:r>
      <w:r w:rsidR="008539F3" w:rsidRPr="00CD02A3">
        <w:rPr>
          <w:rFonts w:cs="Arial"/>
        </w:rPr>
        <w:t>payment</w:t>
      </w:r>
      <w:r w:rsidRPr="00CD02A3">
        <w:rPr>
          <w:rFonts w:cs="Arial"/>
        </w:rPr>
        <w:t>.</w:t>
      </w:r>
    </w:p>
    <w:p w:rsidR="005C26A2" w:rsidRDefault="005C26A2" w:rsidP="00657018">
      <w:pPr>
        <w:rPr>
          <w:rFonts w:cs="Arial"/>
        </w:rPr>
      </w:pPr>
    </w:p>
    <w:p w:rsidR="00AE16F5" w:rsidRDefault="00AE16F5" w:rsidP="000E3E49">
      <w:pPr>
        <w:outlineLvl w:val="0"/>
        <w:rPr>
          <w:rFonts w:cs="Arial"/>
          <w:b/>
        </w:rPr>
      </w:pPr>
      <w:r>
        <w:rPr>
          <w:rFonts w:cs="Arial"/>
          <w:b/>
        </w:rPr>
        <w:t>Explanation of this instrument</w:t>
      </w:r>
    </w:p>
    <w:p w:rsidR="00AE16F5" w:rsidRDefault="00AE16F5" w:rsidP="00657018">
      <w:pPr>
        <w:rPr>
          <w:rFonts w:cs="Arial"/>
          <w:b/>
        </w:rPr>
      </w:pPr>
    </w:p>
    <w:p w:rsidR="00F4675D" w:rsidRPr="00F4675D" w:rsidRDefault="00AE16F5" w:rsidP="00F4675D">
      <w:pPr>
        <w:rPr>
          <w:rFonts w:cs="Arial"/>
          <w:i/>
        </w:rPr>
      </w:pPr>
      <w:proofErr w:type="gramStart"/>
      <w:r w:rsidRPr="00533365">
        <w:rPr>
          <w:rFonts w:cs="Arial"/>
          <w:b/>
        </w:rPr>
        <w:t>Section 1</w:t>
      </w:r>
      <w:r w:rsidR="000C78E3">
        <w:rPr>
          <w:rFonts w:cs="Arial"/>
        </w:rPr>
        <w:t xml:space="preserve"> sets out the name of the instrument, being the </w:t>
      </w:r>
      <w:r w:rsidR="00F4675D" w:rsidRPr="00F4675D">
        <w:rPr>
          <w:rFonts w:cs="Arial"/>
          <w:i/>
        </w:rPr>
        <w:t xml:space="preserve">Family Assistance (Waiver of </w:t>
      </w:r>
      <w:r w:rsidR="00D049B8" w:rsidRPr="00D049B8">
        <w:rPr>
          <w:rFonts w:cs="Arial"/>
          <w:i/>
        </w:rPr>
        <w:t xml:space="preserve">Debts — </w:t>
      </w:r>
      <w:r w:rsidR="00F4675D" w:rsidRPr="00F4675D">
        <w:rPr>
          <w:rFonts w:cs="Arial"/>
          <w:i/>
        </w:rPr>
        <w:t xml:space="preserve">Disasters) (DEEWR) Specification </w:t>
      </w:r>
      <w:r w:rsidR="00D049B8">
        <w:rPr>
          <w:rFonts w:cs="Arial"/>
          <w:i/>
        </w:rPr>
        <w:t>2011.</w:t>
      </w:r>
      <w:proofErr w:type="gramEnd"/>
    </w:p>
    <w:p w:rsidR="000C78E3" w:rsidRDefault="00D46D9F" w:rsidP="00657018">
      <w:pPr>
        <w:rPr>
          <w:rFonts w:cs="Arial"/>
        </w:rPr>
      </w:pPr>
      <w:r>
        <w:rPr>
          <w:rFonts w:cs="Arial"/>
        </w:rPr>
        <w:t xml:space="preserve"> </w:t>
      </w:r>
    </w:p>
    <w:p w:rsidR="000C78E3" w:rsidRDefault="000C78E3" w:rsidP="00657018">
      <w:pPr>
        <w:rPr>
          <w:rFonts w:cs="Arial"/>
        </w:rPr>
      </w:pPr>
      <w:r w:rsidRPr="00533365">
        <w:rPr>
          <w:rFonts w:cs="Arial"/>
          <w:b/>
        </w:rPr>
        <w:t>Section 2</w:t>
      </w:r>
      <w:r>
        <w:rPr>
          <w:rFonts w:cs="Arial"/>
        </w:rPr>
        <w:t xml:space="preserve"> provides that the instrument commences on the day after the end of the period for disallowing it, in accordance with section 42 of the </w:t>
      </w:r>
      <w:r w:rsidRPr="000C78E3">
        <w:rPr>
          <w:rFonts w:cs="Arial"/>
          <w:i/>
        </w:rPr>
        <w:t>Legislative Instruments Act 2003</w:t>
      </w:r>
      <w:r>
        <w:rPr>
          <w:rFonts w:cs="Arial"/>
        </w:rPr>
        <w:t>.</w:t>
      </w:r>
    </w:p>
    <w:p w:rsidR="005C26A2" w:rsidRDefault="005C26A2" w:rsidP="00657018">
      <w:pPr>
        <w:rPr>
          <w:rFonts w:cs="Arial"/>
        </w:rPr>
      </w:pPr>
    </w:p>
    <w:p w:rsidR="00C3280E" w:rsidRDefault="0088649F" w:rsidP="00C3280E">
      <w:pPr>
        <w:rPr>
          <w:rFonts w:cs="Arial"/>
        </w:rPr>
      </w:pPr>
      <w:r w:rsidRPr="00CA2353">
        <w:rPr>
          <w:rFonts w:cs="Arial"/>
          <w:b/>
        </w:rPr>
        <w:t>Section 3</w:t>
      </w:r>
      <w:r>
        <w:rPr>
          <w:rFonts w:cs="Arial"/>
        </w:rPr>
        <w:t xml:space="preserve"> contains definitions relevant to the Specification.</w:t>
      </w:r>
      <w:r w:rsidR="00C3280E">
        <w:rPr>
          <w:rFonts w:cs="Arial"/>
        </w:rPr>
        <w:t xml:space="preserve"> Significantly, the term </w:t>
      </w:r>
      <w:r w:rsidR="00C3280E">
        <w:rPr>
          <w:rFonts w:cs="Arial"/>
          <w:b/>
          <w:i/>
        </w:rPr>
        <w:t>disaster</w:t>
      </w:r>
      <w:r w:rsidR="00C3280E">
        <w:rPr>
          <w:rFonts w:cs="Arial"/>
        </w:rPr>
        <w:t xml:space="preserve"> is defined as:</w:t>
      </w:r>
    </w:p>
    <w:p w:rsidR="00C3280E" w:rsidRDefault="00C3280E" w:rsidP="00C3280E">
      <w:pPr>
        <w:numPr>
          <w:ilvl w:val="0"/>
          <w:numId w:val="8"/>
        </w:numPr>
      </w:pPr>
      <w:r w:rsidRPr="008C1340">
        <w:t>the heavy rainfall, storm damage and associated flooding in Queensland that began in November 2010 and continued into January 2011;</w:t>
      </w:r>
    </w:p>
    <w:p w:rsidR="00C3280E" w:rsidRDefault="00C3280E" w:rsidP="00C3280E">
      <w:pPr>
        <w:numPr>
          <w:ilvl w:val="0"/>
          <w:numId w:val="8"/>
        </w:numPr>
      </w:pPr>
      <w:r w:rsidRPr="008C1340">
        <w:t>the flooding in New South Wales</w:t>
      </w:r>
      <w:r>
        <w:t xml:space="preserve"> determined to be a major disaster on 14 January 2011</w:t>
      </w:r>
      <w:r w:rsidRPr="008C1340">
        <w:t>; and</w:t>
      </w:r>
    </w:p>
    <w:p w:rsidR="005F2D4B" w:rsidRDefault="002572AB" w:rsidP="00C3280E">
      <w:pPr>
        <w:numPr>
          <w:ilvl w:val="0"/>
          <w:numId w:val="8"/>
        </w:numPr>
      </w:pPr>
      <w:r>
        <w:t>the flooding in Victoria deter</w:t>
      </w:r>
      <w:r w:rsidR="005F2D4B">
        <w:t xml:space="preserve">mined to be a major disaster </w:t>
      </w:r>
      <w:r w:rsidR="005F2D4B" w:rsidRPr="005F2D4B">
        <w:t>on</w:t>
      </w:r>
      <w:r w:rsidR="005F2D4B">
        <w:t xml:space="preserve">  </w:t>
      </w:r>
    </w:p>
    <w:p w:rsidR="002572AB" w:rsidRDefault="002572AB" w:rsidP="005F2D4B">
      <w:pPr>
        <w:ind w:left="720"/>
      </w:pPr>
      <w:r w:rsidRPr="005F2D4B">
        <w:t>19</w:t>
      </w:r>
      <w:r>
        <w:t xml:space="preserve"> January 2011; and</w:t>
      </w:r>
    </w:p>
    <w:p w:rsidR="00C3280E" w:rsidRPr="008C1340" w:rsidRDefault="00C3280E" w:rsidP="00C3280E">
      <w:pPr>
        <w:numPr>
          <w:ilvl w:val="0"/>
          <w:numId w:val="8"/>
        </w:numPr>
      </w:pPr>
      <w:proofErr w:type="gramStart"/>
      <w:r w:rsidRPr="008C1340">
        <w:lastRenderedPageBreak/>
        <w:t>the</w:t>
      </w:r>
      <w:proofErr w:type="gramEnd"/>
      <w:r w:rsidRPr="008C1340">
        <w:t xml:space="preserve"> severe weather, storm surges and flooding in Queensland that resulted from Tropical Cyclone </w:t>
      </w:r>
      <w:proofErr w:type="spellStart"/>
      <w:r w:rsidRPr="008C1340">
        <w:t>Yasi</w:t>
      </w:r>
      <w:proofErr w:type="spellEnd"/>
      <w:r w:rsidRPr="008C1340">
        <w:t>.</w:t>
      </w:r>
    </w:p>
    <w:p w:rsidR="0088649F" w:rsidRDefault="0088649F" w:rsidP="00657018">
      <w:pPr>
        <w:rPr>
          <w:rFonts w:cs="Arial"/>
        </w:rPr>
      </w:pPr>
    </w:p>
    <w:p w:rsidR="004535A8" w:rsidRPr="007645D7" w:rsidRDefault="004535A8" w:rsidP="00657018">
      <w:pPr>
        <w:rPr>
          <w:rFonts w:cs="Arial"/>
        </w:rPr>
      </w:pPr>
      <w:r w:rsidRPr="00533365">
        <w:rPr>
          <w:rFonts w:cs="Arial"/>
          <w:b/>
        </w:rPr>
        <w:t>Section 4</w:t>
      </w:r>
      <w:r>
        <w:rPr>
          <w:rFonts w:cs="Arial"/>
        </w:rPr>
        <w:t xml:space="preserve"> </w:t>
      </w:r>
      <w:r w:rsidRPr="007645D7">
        <w:rPr>
          <w:rFonts w:cs="Arial"/>
        </w:rPr>
        <w:t xml:space="preserve">specifies the class of debt that may be waived. </w:t>
      </w:r>
      <w:r w:rsidR="00C02971" w:rsidRPr="007645D7">
        <w:rPr>
          <w:rFonts w:cs="Arial"/>
        </w:rPr>
        <w:t>A debt is in a specified class if:</w:t>
      </w:r>
    </w:p>
    <w:p w:rsidR="00A03AA7" w:rsidRPr="007645D7" w:rsidRDefault="00C02971" w:rsidP="00657018">
      <w:pPr>
        <w:numPr>
          <w:ilvl w:val="0"/>
          <w:numId w:val="3"/>
        </w:numPr>
        <w:rPr>
          <w:rFonts w:cs="Arial"/>
        </w:rPr>
      </w:pPr>
      <w:r w:rsidRPr="007645D7">
        <w:rPr>
          <w:rFonts w:cs="Arial"/>
        </w:rPr>
        <w:t xml:space="preserve">the debt was incurred by a person, </w:t>
      </w:r>
      <w:r w:rsidR="00A03AA7" w:rsidRPr="007645D7">
        <w:rPr>
          <w:rFonts w:cs="Arial"/>
        </w:rPr>
        <w:t xml:space="preserve">and </w:t>
      </w:r>
      <w:r w:rsidRPr="007645D7">
        <w:rPr>
          <w:rFonts w:cs="Arial"/>
        </w:rPr>
        <w:t xml:space="preserve">the person was adversely affected by the </w:t>
      </w:r>
      <w:r w:rsidR="00A116F7" w:rsidRPr="007645D7">
        <w:rPr>
          <w:rFonts w:cs="Arial"/>
        </w:rPr>
        <w:t xml:space="preserve">disasters </w:t>
      </w:r>
      <w:r w:rsidRPr="007645D7">
        <w:rPr>
          <w:rFonts w:cs="Arial"/>
        </w:rPr>
        <w:t xml:space="preserve">during the </w:t>
      </w:r>
      <w:r w:rsidR="00A116F7" w:rsidRPr="007645D7">
        <w:rPr>
          <w:rFonts w:cs="Arial"/>
        </w:rPr>
        <w:t>disaster</w:t>
      </w:r>
      <w:r w:rsidRPr="007645D7">
        <w:rPr>
          <w:rFonts w:cs="Arial"/>
        </w:rPr>
        <w:t xml:space="preserve"> period</w:t>
      </w:r>
      <w:r w:rsidR="00E10AA1" w:rsidRPr="007645D7">
        <w:rPr>
          <w:rFonts w:cs="Arial"/>
        </w:rPr>
        <w:t xml:space="preserve"> (</w:t>
      </w:r>
      <w:r w:rsidR="00C179A6" w:rsidRPr="007645D7">
        <w:rPr>
          <w:rFonts w:cs="Arial"/>
        </w:rPr>
        <w:t xml:space="preserve">the period beginning </w:t>
      </w:r>
      <w:r w:rsidR="007645D7" w:rsidRPr="007645D7">
        <w:rPr>
          <w:rFonts w:cs="Arial"/>
        </w:rPr>
        <w:t xml:space="preserve">1 </w:t>
      </w:r>
      <w:r w:rsidR="00D46D9F">
        <w:rPr>
          <w:rFonts w:cs="Arial"/>
        </w:rPr>
        <w:t>November</w:t>
      </w:r>
      <w:r w:rsidR="007645D7" w:rsidRPr="007645D7">
        <w:rPr>
          <w:rFonts w:cs="Arial"/>
        </w:rPr>
        <w:t xml:space="preserve"> 201</w:t>
      </w:r>
      <w:r w:rsidR="00D46D9F">
        <w:rPr>
          <w:rFonts w:cs="Arial"/>
        </w:rPr>
        <w:t>0</w:t>
      </w:r>
      <w:r w:rsidR="00A116F7" w:rsidRPr="007645D7">
        <w:rPr>
          <w:rFonts w:cs="Arial"/>
        </w:rPr>
        <w:t xml:space="preserve"> </w:t>
      </w:r>
      <w:r w:rsidR="00C179A6" w:rsidRPr="007645D7">
        <w:rPr>
          <w:rFonts w:cs="Arial"/>
        </w:rPr>
        <w:t xml:space="preserve">and ending at </w:t>
      </w:r>
      <w:r w:rsidR="007645D7" w:rsidRPr="007645D7">
        <w:rPr>
          <w:rFonts w:cs="Arial"/>
        </w:rPr>
        <w:t>19 March 2011</w:t>
      </w:r>
      <w:r w:rsidR="00E10AA1" w:rsidRPr="007645D7">
        <w:rPr>
          <w:rFonts w:cs="Arial"/>
        </w:rPr>
        <w:t>)</w:t>
      </w:r>
      <w:r w:rsidRPr="007645D7">
        <w:rPr>
          <w:rFonts w:cs="Arial"/>
        </w:rPr>
        <w:t xml:space="preserve">; and </w:t>
      </w:r>
    </w:p>
    <w:p w:rsidR="00A03AA7" w:rsidRPr="007645D7" w:rsidRDefault="00A03AA7" w:rsidP="00657018">
      <w:pPr>
        <w:numPr>
          <w:ilvl w:val="0"/>
          <w:numId w:val="3"/>
        </w:numPr>
        <w:rPr>
          <w:rFonts w:cs="Arial"/>
        </w:rPr>
      </w:pPr>
      <w:r w:rsidRPr="007645D7">
        <w:rPr>
          <w:rFonts w:cs="Arial"/>
        </w:rPr>
        <w:t xml:space="preserve">the debt was for a period that occurred either wholly or partly during the </w:t>
      </w:r>
      <w:r w:rsidR="00BA7CD8" w:rsidRPr="007645D7">
        <w:rPr>
          <w:rFonts w:cs="Arial"/>
        </w:rPr>
        <w:t>disaster</w:t>
      </w:r>
      <w:r w:rsidRPr="007645D7">
        <w:rPr>
          <w:rFonts w:cs="Arial"/>
        </w:rPr>
        <w:t xml:space="preserve"> period; and </w:t>
      </w:r>
    </w:p>
    <w:p w:rsidR="004535A8" w:rsidRPr="007645D7" w:rsidRDefault="00C3280E" w:rsidP="00657018">
      <w:pPr>
        <w:numPr>
          <w:ilvl w:val="0"/>
          <w:numId w:val="3"/>
        </w:numPr>
        <w:rPr>
          <w:rFonts w:cs="Arial"/>
        </w:rPr>
      </w:pPr>
      <w:proofErr w:type="gramStart"/>
      <w:r>
        <w:rPr>
          <w:rFonts w:cs="Arial"/>
        </w:rPr>
        <w:t>i</w:t>
      </w:r>
      <w:r w:rsidR="00A03AA7" w:rsidRPr="007645D7">
        <w:rPr>
          <w:rFonts w:cs="Arial"/>
        </w:rPr>
        <w:t>f</w:t>
      </w:r>
      <w:proofErr w:type="gramEnd"/>
      <w:r w:rsidR="00A03AA7" w:rsidRPr="007645D7">
        <w:rPr>
          <w:rFonts w:cs="Arial"/>
        </w:rPr>
        <w:t xml:space="preserve"> the debt was incurred for a period which occurred only partly during the </w:t>
      </w:r>
      <w:r w:rsidR="00BA7CD8" w:rsidRPr="007645D7">
        <w:rPr>
          <w:rFonts w:cs="Arial"/>
        </w:rPr>
        <w:t>disaster</w:t>
      </w:r>
      <w:r w:rsidR="00A03AA7" w:rsidRPr="007645D7">
        <w:rPr>
          <w:rFonts w:cs="Arial"/>
        </w:rPr>
        <w:t xml:space="preserve"> period, then it is the part of the debt that is attributable to days occurring in the </w:t>
      </w:r>
      <w:r w:rsidR="00BA7CD8" w:rsidRPr="007645D7">
        <w:rPr>
          <w:rFonts w:cs="Arial"/>
        </w:rPr>
        <w:t>disaster</w:t>
      </w:r>
      <w:r w:rsidR="00A03AA7" w:rsidRPr="007645D7">
        <w:rPr>
          <w:rFonts w:cs="Arial"/>
        </w:rPr>
        <w:t xml:space="preserve"> period. </w:t>
      </w:r>
    </w:p>
    <w:p w:rsidR="00533365" w:rsidRDefault="00533365" w:rsidP="00657018">
      <w:pPr>
        <w:rPr>
          <w:rFonts w:cs="Arial"/>
        </w:rPr>
      </w:pPr>
    </w:p>
    <w:p w:rsidR="0088649F" w:rsidRDefault="0088649F" w:rsidP="00657018">
      <w:pPr>
        <w:rPr>
          <w:rFonts w:cs="Arial"/>
        </w:rPr>
      </w:pPr>
      <w:r w:rsidRPr="00533365">
        <w:rPr>
          <w:rFonts w:cs="Arial"/>
          <w:b/>
        </w:rPr>
        <w:t>Section 5</w:t>
      </w:r>
      <w:r>
        <w:rPr>
          <w:rFonts w:cs="Arial"/>
        </w:rPr>
        <w:t xml:space="preserve"> provides for when a person is considered ‘adversely affected’ by </w:t>
      </w:r>
      <w:r w:rsidR="000C0A52">
        <w:rPr>
          <w:rFonts w:cs="Arial"/>
        </w:rPr>
        <w:t xml:space="preserve">a </w:t>
      </w:r>
      <w:r w:rsidR="00480DE1">
        <w:rPr>
          <w:rFonts w:cs="Arial"/>
        </w:rPr>
        <w:t>disaster</w:t>
      </w:r>
      <w:r>
        <w:rPr>
          <w:rFonts w:cs="Arial"/>
        </w:rPr>
        <w:t xml:space="preserve">. A person is adversely affected if, as a direct result of </w:t>
      </w:r>
      <w:r w:rsidR="000C0A52">
        <w:rPr>
          <w:rFonts w:cs="Arial"/>
        </w:rPr>
        <w:t>a</w:t>
      </w:r>
      <w:r>
        <w:rPr>
          <w:rFonts w:cs="Arial"/>
        </w:rPr>
        <w:t xml:space="preserve"> </w:t>
      </w:r>
      <w:r w:rsidR="00480DE1" w:rsidRPr="007645D7">
        <w:rPr>
          <w:rFonts w:cs="Arial"/>
        </w:rPr>
        <w:t>disaster</w:t>
      </w:r>
      <w:r w:rsidRPr="007645D7">
        <w:rPr>
          <w:rFonts w:cs="Arial"/>
        </w:rPr>
        <w:t>:</w:t>
      </w:r>
    </w:p>
    <w:p w:rsidR="0088649F" w:rsidRDefault="0088649F" w:rsidP="00657018">
      <w:pPr>
        <w:numPr>
          <w:ilvl w:val="0"/>
          <w:numId w:val="1"/>
        </w:numPr>
        <w:rPr>
          <w:rFonts w:cs="Arial"/>
        </w:rPr>
      </w:pPr>
      <w:r>
        <w:rPr>
          <w:rFonts w:cs="Arial"/>
        </w:rPr>
        <w:t xml:space="preserve">the person was seriously injured; or </w:t>
      </w:r>
    </w:p>
    <w:p w:rsidR="0088649F" w:rsidRDefault="0088649F" w:rsidP="00657018">
      <w:pPr>
        <w:numPr>
          <w:ilvl w:val="0"/>
          <w:numId w:val="1"/>
        </w:numPr>
        <w:rPr>
          <w:rFonts w:cs="Arial"/>
        </w:rPr>
      </w:pPr>
      <w:r>
        <w:rPr>
          <w:rFonts w:cs="Arial"/>
        </w:rPr>
        <w:t xml:space="preserve">an affected family member of the person was killed; or </w:t>
      </w:r>
    </w:p>
    <w:p w:rsidR="0088649F" w:rsidRDefault="0088649F" w:rsidP="00657018">
      <w:pPr>
        <w:numPr>
          <w:ilvl w:val="0"/>
          <w:numId w:val="1"/>
        </w:numPr>
        <w:rPr>
          <w:rFonts w:cs="Arial"/>
        </w:rPr>
      </w:pPr>
      <w:r>
        <w:rPr>
          <w:rFonts w:cs="Arial"/>
        </w:rPr>
        <w:t xml:space="preserve">the person’s principal place of residence was destroyed; or </w:t>
      </w:r>
    </w:p>
    <w:p w:rsidR="0088649F" w:rsidRDefault="0088649F" w:rsidP="00657018">
      <w:pPr>
        <w:numPr>
          <w:ilvl w:val="0"/>
          <w:numId w:val="1"/>
        </w:numPr>
        <w:rPr>
          <w:rFonts w:cs="Arial"/>
        </w:rPr>
      </w:pPr>
      <w:r>
        <w:rPr>
          <w:rFonts w:cs="Arial"/>
        </w:rPr>
        <w:t>the person’s principal place of residence sustained major damage; or</w:t>
      </w:r>
    </w:p>
    <w:p w:rsidR="0088649F" w:rsidRDefault="0088649F" w:rsidP="00657018">
      <w:pPr>
        <w:numPr>
          <w:ilvl w:val="0"/>
          <w:numId w:val="1"/>
        </w:numPr>
        <w:rPr>
          <w:rFonts w:cs="Arial"/>
        </w:rPr>
      </w:pPr>
      <w:r>
        <w:rPr>
          <w:rFonts w:cs="Arial"/>
        </w:rPr>
        <w:t>the person was unable to return to his or her principal place of residence for at least 24 hours; or</w:t>
      </w:r>
    </w:p>
    <w:p w:rsidR="0088649F" w:rsidRDefault="0088649F" w:rsidP="00657018">
      <w:pPr>
        <w:numPr>
          <w:ilvl w:val="0"/>
          <w:numId w:val="1"/>
        </w:numPr>
        <w:rPr>
          <w:rFonts w:cs="Arial"/>
        </w:rPr>
      </w:pPr>
      <w:r>
        <w:rPr>
          <w:rFonts w:cs="Arial"/>
        </w:rPr>
        <w:t>a utility failure occurred in the person’s principal place of residence; or</w:t>
      </w:r>
    </w:p>
    <w:p w:rsidR="0088649F" w:rsidRPr="000E0F1E" w:rsidRDefault="0088649F" w:rsidP="00657018">
      <w:pPr>
        <w:numPr>
          <w:ilvl w:val="0"/>
          <w:numId w:val="1"/>
        </w:numPr>
        <w:rPr>
          <w:rFonts w:cs="Arial"/>
        </w:rPr>
      </w:pPr>
      <w:proofErr w:type="gramStart"/>
      <w:r>
        <w:rPr>
          <w:rFonts w:cs="Arial"/>
        </w:rPr>
        <w:t>the</w:t>
      </w:r>
      <w:proofErr w:type="gramEnd"/>
      <w:r>
        <w:rPr>
          <w:rFonts w:cs="Arial"/>
        </w:rPr>
        <w:t xml:space="preserve"> person experienced psychological trauma.</w:t>
      </w:r>
    </w:p>
    <w:p w:rsidR="00952EF4" w:rsidRDefault="00952EF4" w:rsidP="00657018">
      <w:pPr>
        <w:rPr>
          <w:rFonts w:cs="Arial"/>
        </w:rPr>
      </w:pPr>
      <w:r>
        <w:rPr>
          <w:rFonts w:cs="Arial"/>
        </w:rPr>
        <w:t xml:space="preserve">It is intended that a causal relationship must exist between the </w:t>
      </w:r>
      <w:r w:rsidR="003A5264" w:rsidRPr="007645D7">
        <w:rPr>
          <w:rFonts w:cs="Arial"/>
        </w:rPr>
        <w:t>disaster</w:t>
      </w:r>
      <w:r>
        <w:rPr>
          <w:rFonts w:cs="Arial"/>
        </w:rPr>
        <w:t xml:space="preserve"> and any of the circumstances listed above. For example, the utility failure must be caused </w:t>
      </w:r>
      <w:r w:rsidRPr="007645D7">
        <w:rPr>
          <w:rFonts w:cs="Arial"/>
        </w:rPr>
        <w:t xml:space="preserve">by the </w:t>
      </w:r>
      <w:r w:rsidR="007645D7" w:rsidRPr="007645D7">
        <w:rPr>
          <w:rFonts w:cs="Arial"/>
        </w:rPr>
        <w:t>disaster</w:t>
      </w:r>
      <w:r>
        <w:rPr>
          <w:rFonts w:cs="Arial"/>
        </w:rPr>
        <w:t>.</w:t>
      </w:r>
    </w:p>
    <w:p w:rsidR="001365E5" w:rsidRDefault="001365E5" w:rsidP="00657018">
      <w:pPr>
        <w:rPr>
          <w:rFonts w:cs="Arial"/>
        </w:rPr>
      </w:pPr>
    </w:p>
    <w:p w:rsidR="00E10AA1" w:rsidRDefault="00E10AA1" w:rsidP="00657018">
      <w:pPr>
        <w:rPr>
          <w:rFonts w:cs="Arial"/>
        </w:rPr>
      </w:pPr>
      <w:r>
        <w:rPr>
          <w:rFonts w:cs="Arial"/>
        </w:rPr>
        <w:t xml:space="preserve">The term ‘seriously injured’ is defined in section 3. A person is seriously injured if they sustained injury and was admitted to hospital. </w:t>
      </w:r>
      <w:r w:rsidR="001365E5">
        <w:rPr>
          <w:rFonts w:cs="Arial"/>
        </w:rPr>
        <w:t>It</w:t>
      </w:r>
      <w:r>
        <w:rPr>
          <w:rFonts w:cs="Arial"/>
        </w:rPr>
        <w:t xml:space="preserve"> also includes the circumstance where a person would require admittance to hospital for their injury under normal circumstances, but due to the </w:t>
      </w:r>
      <w:r w:rsidR="00480DE1" w:rsidRPr="007645D7">
        <w:rPr>
          <w:rFonts w:cs="Arial"/>
        </w:rPr>
        <w:t>disaster</w:t>
      </w:r>
      <w:r>
        <w:rPr>
          <w:rFonts w:cs="Arial"/>
        </w:rPr>
        <w:t xml:space="preserve"> conditions, this was not possible.</w:t>
      </w:r>
    </w:p>
    <w:p w:rsidR="00E10AA1" w:rsidRDefault="00E10AA1" w:rsidP="00657018">
      <w:pPr>
        <w:rPr>
          <w:rFonts w:cs="Arial"/>
        </w:rPr>
      </w:pPr>
    </w:p>
    <w:p w:rsidR="002A1E63" w:rsidRDefault="00E10AA1" w:rsidP="000E3E49">
      <w:pPr>
        <w:outlineLvl w:val="0"/>
        <w:rPr>
          <w:rFonts w:cs="Arial"/>
        </w:rPr>
      </w:pPr>
      <w:r>
        <w:rPr>
          <w:rFonts w:cs="Arial"/>
        </w:rPr>
        <w:t>The term</w:t>
      </w:r>
      <w:r w:rsidR="00B57FD0">
        <w:rPr>
          <w:rFonts w:cs="Arial"/>
        </w:rPr>
        <w:t>s</w:t>
      </w:r>
      <w:r>
        <w:rPr>
          <w:rFonts w:cs="Arial"/>
        </w:rPr>
        <w:t xml:space="preserve"> ‘affected family member’</w:t>
      </w:r>
      <w:r w:rsidR="00952EF4">
        <w:rPr>
          <w:rFonts w:cs="Arial"/>
        </w:rPr>
        <w:t xml:space="preserve"> and ‘destroyed’</w:t>
      </w:r>
      <w:r>
        <w:rPr>
          <w:rFonts w:cs="Arial"/>
        </w:rPr>
        <w:t xml:space="preserve"> </w:t>
      </w:r>
      <w:r w:rsidR="000C0A52">
        <w:rPr>
          <w:rFonts w:cs="Arial"/>
        </w:rPr>
        <w:t xml:space="preserve">are </w:t>
      </w:r>
      <w:r w:rsidR="002A1E63">
        <w:rPr>
          <w:rFonts w:cs="Arial"/>
        </w:rPr>
        <w:t xml:space="preserve">also </w:t>
      </w:r>
      <w:r>
        <w:rPr>
          <w:rFonts w:cs="Arial"/>
        </w:rPr>
        <w:t>defined</w:t>
      </w:r>
      <w:r w:rsidR="005F2D4B">
        <w:rPr>
          <w:rFonts w:cs="Arial"/>
        </w:rPr>
        <w:t xml:space="preserve"> in</w:t>
      </w:r>
      <w:proofErr w:type="gramStart"/>
      <w:r w:rsidR="005F2D4B">
        <w:rPr>
          <w:rFonts w:cs="Arial"/>
        </w:rPr>
        <w:t xml:space="preserve">  </w:t>
      </w:r>
      <w:r w:rsidR="001365E5">
        <w:rPr>
          <w:rFonts w:cs="Arial"/>
        </w:rPr>
        <w:t>section</w:t>
      </w:r>
      <w:proofErr w:type="gramEnd"/>
      <w:r w:rsidR="001365E5">
        <w:rPr>
          <w:rFonts w:cs="Arial"/>
        </w:rPr>
        <w:t xml:space="preserve"> 3</w:t>
      </w:r>
      <w:r w:rsidR="00952EF4">
        <w:rPr>
          <w:rFonts w:cs="Arial"/>
        </w:rPr>
        <w:t xml:space="preserve">. </w:t>
      </w:r>
    </w:p>
    <w:p w:rsidR="002A1E63" w:rsidRDefault="002A1E63" w:rsidP="00657018">
      <w:pPr>
        <w:rPr>
          <w:rFonts w:cs="Arial"/>
        </w:rPr>
      </w:pPr>
    </w:p>
    <w:p w:rsidR="00E10AA1" w:rsidRDefault="002A1E63" w:rsidP="00657018">
      <w:pPr>
        <w:rPr>
          <w:rFonts w:cs="Arial"/>
        </w:rPr>
      </w:pPr>
      <w:r>
        <w:rPr>
          <w:rFonts w:cs="Arial"/>
        </w:rPr>
        <w:t>Subsections 5(2) to 5(6) provide further definitions relevant to determining when a person is adversely affected.</w:t>
      </w:r>
    </w:p>
    <w:p w:rsidR="0088649F" w:rsidRPr="000956A7" w:rsidRDefault="0088649F" w:rsidP="00657018">
      <w:pPr>
        <w:rPr>
          <w:rFonts w:cs="Arial"/>
        </w:rPr>
      </w:pPr>
    </w:p>
    <w:p w:rsidR="0088649F" w:rsidRPr="00952EF4" w:rsidRDefault="004357E5" w:rsidP="00657018">
      <w:pPr>
        <w:rPr>
          <w:rFonts w:cs="Arial"/>
        </w:rPr>
      </w:pPr>
      <w:r>
        <w:rPr>
          <w:rFonts w:cs="Arial"/>
        </w:rPr>
        <w:t xml:space="preserve">A person is taken to have experienced ‘psychological trauma’ (as defined in subsection 5(6)) if they were in the immediate area of the </w:t>
      </w:r>
      <w:r w:rsidR="00480DE1">
        <w:rPr>
          <w:rFonts w:cs="Arial"/>
        </w:rPr>
        <w:t>disaster</w:t>
      </w:r>
      <w:r>
        <w:rPr>
          <w:rFonts w:cs="Arial"/>
        </w:rPr>
        <w:t xml:space="preserve"> </w:t>
      </w:r>
      <w:r w:rsidRPr="004357E5">
        <w:rPr>
          <w:rFonts w:cs="Arial"/>
          <w:u w:val="single"/>
        </w:rPr>
        <w:t>and</w:t>
      </w:r>
      <w:r>
        <w:rPr>
          <w:rFonts w:cs="Arial"/>
        </w:rPr>
        <w:t xml:space="preserve"> one of the circumstances under paragraph 5(6</w:t>
      </w:r>
      <w:proofErr w:type="gramStart"/>
      <w:r>
        <w:rPr>
          <w:rFonts w:cs="Arial"/>
        </w:rPr>
        <w:t>)(</w:t>
      </w:r>
      <w:proofErr w:type="gramEnd"/>
      <w:r>
        <w:rPr>
          <w:rFonts w:cs="Arial"/>
        </w:rPr>
        <w:t xml:space="preserve">b) was met. It is not necessary </w:t>
      </w:r>
      <w:r w:rsidR="000C0A52">
        <w:rPr>
          <w:rFonts w:cs="Arial"/>
        </w:rPr>
        <w:t xml:space="preserve">that a person has been medically diagnosed with psychological trauma, nor otherwise </w:t>
      </w:r>
      <w:r>
        <w:rPr>
          <w:rFonts w:cs="Arial"/>
        </w:rPr>
        <w:t xml:space="preserve">to prove that a person has actually experienced psychological trauma. </w:t>
      </w:r>
    </w:p>
    <w:p w:rsidR="001365E5" w:rsidRDefault="001365E5" w:rsidP="00657018">
      <w:pPr>
        <w:rPr>
          <w:rFonts w:cs="Arial"/>
          <w:b/>
        </w:rPr>
      </w:pPr>
    </w:p>
    <w:p w:rsidR="00B57FD0" w:rsidRDefault="000E0F1E" w:rsidP="00B57FD0">
      <w:pPr>
        <w:rPr>
          <w:rFonts w:cs="Arial"/>
        </w:rPr>
      </w:pPr>
      <w:r w:rsidRPr="00533365">
        <w:rPr>
          <w:rFonts w:cs="Arial"/>
          <w:b/>
        </w:rPr>
        <w:t xml:space="preserve">Section </w:t>
      </w:r>
      <w:r w:rsidR="00533365" w:rsidRPr="00533365">
        <w:rPr>
          <w:rFonts w:cs="Arial"/>
          <w:b/>
        </w:rPr>
        <w:t>6</w:t>
      </w:r>
      <w:r>
        <w:rPr>
          <w:rFonts w:cs="Arial"/>
        </w:rPr>
        <w:t xml:space="preserve"> </w:t>
      </w:r>
      <w:r w:rsidR="00B57FD0">
        <w:rPr>
          <w:rFonts w:cs="Arial"/>
        </w:rPr>
        <w:t>provides for an exception to th</w:t>
      </w:r>
      <w:r w:rsidR="00D46D9F">
        <w:rPr>
          <w:rFonts w:cs="Arial"/>
        </w:rPr>
        <w:t>e class of debts specified in section</w:t>
      </w:r>
      <w:r w:rsidR="00FA0432">
        <w:rPr>
          <w:rFonts w:cs="Arial"/>
        </w:rPr>
        <w:t> </w:t>
      </w:r>
      <w:r w:rsidR="00D46D9F">
        <w:rPr>
          <w:rFonts w:cs="Arial"/>
        </w:rPr>
        <w:t>4</w:t>
      </w:r>
      <w:r w:rsidR="00FA0432">
        <w:rPr>
          <w:rFonts w:cs="Arial"/>
        </w:rPr>
        <w:t xml:space="preserve">. That is, a debt is excluded from the class of debts which may be </w:t>
      </w:r>
      <w:r w:rsidR="00FA0432">
        <w:rPr>
          <w:rFonts w:cs="Arial"/>
        </w:rPr>
        <w:lastRenderedPageBreak/>
        <w:t>waived if a debt is incurred wholly or partly due to the person, or another person, knowingly making a false statement or false representation or failing or omitting to comply with a provision of the family assistance law.</w:t>
      </w:r>
    </w:p>
    <w:p w:rsidR="003A5264" w:rsidRDefault="003A5264" w:rsidP="000E3E49">
      <w:pPr>
        <w:keepNext/>
        <w:keepLines/>
        <w:outlineLvl w:val="0"/>
        <w:rPr>
          <w:rFonts w:cs="Arial"/>
          <w:b/>
        </w:rPr>
      </w:pPr>
    </w:p>
    <w:p w:rsidR="000E0F1E" w:rsidRDefault="000E0F1E" w:rsidP="000E3E49">
      <w:pPr>
        <w:keepNext/>
        <w:keepLines/>
        <w:outlineLvl w:val="0"/>
        <w:rPr>
          <w:rFonts w:cs="Arial"/>
        </w:rPr>
      </w:pPr>
      <w:r>
        <w:rPr>
          <w:rFonts w:cs="Arial"/>
          <w:b/>
        </w:rPr>
        <w:t>Consultation</w:t>
      </w:r>
    </w:p>
    <w:p w:rsidR="000E0F1E" w:rsidRDefault="000E0F1E" w:rsidP="00657018">
      <w:pPr>
        <w:keepNext/>
        <w:keepLines/>
        <w:rPr>
          <w:rFonts w:cs="Arial"/>
        </w:rPr>
      </w:pPr>
    </w:p>
    <w:p w:rsidR="000E0F1E" w:rsidRDefault="00FD109C" w:rsidP="00657018">
      <w:pPr>
        <w:keepNext/>
        <w:keepLines/>
        <w:rPr>
          <w:rFonts w:cs="Arial"/>
        </w:rPr>
      </w:pPr>
      <w:r w:rsidRPr="007645D7">
        <w:rPr>
          <w:rFonts w:cs="Arial"/>
        </w:rPr>
        <w:t>Public consultation has not been undertaken as t</w:t>
      </w:r>
      <w:r w:rsidR="000E0F1E" w:rsidRPr="007645D7">
        <w:rPr>
          <w:rFonts w:cs="Arial"/>
        </w:rPr>
        <w:t xml:space="preserve">his instrument is </w:t>
      </w:r>
      <w:r w:rsidRPr="007645D7">
        <w:rPr>
          <w:rFonts w:cs="Arial"/>
        </w:rPr>
        <w:t xml:space="preserve">of a purely </w:t>
      </w:r>
      <w:r w:rsidR="000E0F1E" w:rsidRPr="007645D7">
        <w:rPr>
          <w:rFonts w:cs="Arial"/>
        </w:rPr>
        <w:t>beneficial</w:t>
      </w:r>
      <w:r w:rsidRPr="007645D7">
        <w:rPr>
          <w:rFonts w:cs="Arial"/>
        </w:rPr>
        <w:t xml:space="preserve"> character</w:t>
      </w:r>
      <w:r w:rsidR="000E0F1E" w:rsidRPr="007645D7">
        <w:rPr>
          <w:rFonts w:cs="Arial"/>
        </w:rPr>
        <w:t xml:space="preserve">. Consultation was undertaken with </w:t>
      </w:r>
      <w:r w:rsidR="00E01CDC" w:rsidRPr="007645D7">
        <w:rPr>
          <w:rFonts w:cs="Arial"/>
        </w:rPr>
        <w:t xml:space="preserve">Centrelink and </w:t>
      </w:r>
      <w:r w:rsidR="000E0F1E" w:rsidRPr="007645D7">
        <w:rPr>
          <w:rFonts w:cs="Arial"/>
        </w:rPr>
        <w:t xml:space="preserve">the Department of </w:t>
      </w:r>
      <w:r w:rsidR="003E6E73" w:rsidRPr="007645D7">
        <w:rPr>
          <w:rFonts w:cs="Arial"/>
        </w:rPr>
        <w:t>Families, Housing, Community Services and Indigenous Affairs</w:t>
      </w:r>
      <w:r w:rsidR="00E25432" w:rsidRPr="007645D7">
        <w:rPr>
          <w:rFonts w:cs="Arial"/>
        </w:rPr>
        <w:t xml:space="preserve"> in relation to this instrument. A mirror instrument has also been made by the Minister for </w:t>
      </w:r>
      <w:r w:rsidR="00F559F2" w:rsidRPr="007645D7">
        <w:rPr>
          <w:rFonts w:cs="Arial"/>
        </w:rPr>
        <w:t>Families, Housing, Community Services and Indigenous Affairs</w:t>
      </w:r>
      <w:r w:rsidR="00E25432" w:rsidRPr="007645D7">
        <w:rPr>
          <w:rFonts w:cs="Arial"/>
        </w:rPr>
        <w:t xml:space="preserve"> to allow the waiver of debts for which the Minister for </w:t>
      </w:r>
      <w:r w:rsidR="00F559F2" w:rsidRPr="007645D7">
        <w:rPr>
          <w:rFonts w:cs="Arial"/>
        </w:rPr>
        <w:t>Families, Housing, Community Services and Indigenous Affairs</w:t>
      </w:r>
      <w:r w:rsidR="00E25432" w:rsidRPr="007645D7">
        <w:rPr>
          <w:rFonts w:cs="Arial"/>
        </w:rPr>
        <w:t xml:space="preserve"> </w:t>
      </w:r>
      <w:r w:rsidR="00E01CDC" w:rsidRPr="007645D7">
        <w:rPr>
          <w:rFonts w:cs="Arial"/>
        </w:rPr>
        <w:t xml:space="preserve">has </w:t>
      </w:r>
      <w:r w:rsidR="00E25432" w:rsidRPr="007645D7">
        <w:rPr>
          <w:rFonts w:cs="Arial"/>
        </w:rPr>
        <w:t>responsibility.</w:t>
      </w:r>
    </w:p>
    <w:p w:rsidR="00E25432" w:rsidRDefault="00E25432" w:rsidP="00657018">
      <w:pPr>
        <w:rPr>
          <w:rFonts w:cs="Arial"/>
        </w:rPr>
      </w:pPr>
    </w:p>
    <w:p w:rsidR="00E25432" w:rsidRDefault="00E25432" w:rsidP="000E3E49">
      <w:pPr>
        <w:outlineLvl w:val="0"/>
        <w:rPr>
          <w:rFonts w:cs="Arial"/>
          <w:b/>
        </w:rPr>
      </w:pPr>
      <w:r>
        <w:rPr>
          <w:rFonts w:cs="Arial"/>
          <w:b/>
        </w:rPr>
        <w:t>Regulatory Impact Statement</w:t>
      </w:r>
    </w:p>
    <w:p w:rsidR="00FD109C" w:rsidRDefault="00FD109C" w:rsidP="00657018">
      <w:pPr>
        <w:rPr>
          <w:rFonts w:cs="Arial"/>
          <w:b/>
        </w:rPr>
      </w:pPr>
    </w:p>
    <w:p w:rsidR="00E25432" w:rsidRPr="00E25432" w:rsidRDefault="00E25432" w:rsidP="00657018">
      <w:pPr>
        <w:rPr>
          <w:rFonts w:cs="Arial"/>
        </w:rPr>
      </w:pPr>
      <w:r w:rsidRPr="007645D7">
        <w:rPr>
          <w:rFonts w:cs="Arial"/>
        </w:rPr>
        <w:t>A Regulatory Impact Statement and a Business Costs Calculator are not required as the waiver of the Commonwealth’s right to recovery social security debts will have no regulatory or competition impacts, and will not impose compliance costs on businesses.</w:t>
      </w:r>
    </w:p>
    <w:sectPr w:rsidR="00E25432" w:rsidRPr="00E25432" w:rsidSect="003602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9F3" w:rsidRDefault="008539F3" w:rsidP="00F4675D">
      <w:r>
        <w:separator/>
      </w:r>
    </w:p>
  </w:endnote>
  <w:endnote w:type="continuationSeparator" w:id="0">
    <w:p w:rsidR="008539F3" w:rsidRDefault="008539F3" w:rsidP="00F46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3" w:rsidRDefault="008539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3" w:rsidRDefault="008539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3" w:rsidRDefault="008539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9F3" w:rsidRDefault="008539F3" w:rsidP="00F4675D">
      <w:r>
        <w:separator/>
      </w:r>
    </w:p>
  </w:footnote>
  <w:footnote w:type="continuationSeparator" w:id="0">
    <w:p w:rsidR="008539F3" w:rsidRDefault="008539F3" w:rsidP="00F46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3" w:rsidRDefault="00853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3" w:rsidRDefault="008539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3" w:rsidRDefault="008539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1D3"/>
    <w:multiLevelType w:val="hybridMultilevel"/>
    <w:tmpl w:val="4EE881DC"/>
    <w:lvl w:ilvl="0" w:tplc="F216E73A">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nsid w:val="1B03660D"/>
    <w:multiLevelType w:val="hybridMultilevel"/>
    <w:tmpl w:val="B44A28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C3E7AB6"/>
    <w:multiLevelType w:val="hybridMultilevel"/>
    <w:tmpl w:val="EF24E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B96A60"/>
    <w:multiLevelType w:val="hybridMultilevel"/>
    <w:tmpl w:val="73424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07505"/>
    <w:multiLevelType w:val="hybridMultilevel"/>
    <w:tmpl w:val="462443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2F13696"/>
    <w:multiLevelType w:val="hybridMultilevel"/>
    <w:tmpl w:val="B456C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C510E8"/>
    <w:multiLevelType w:val="hybridMultilevel"/>
    <w:tmpl w:val="3E9E9B66"/>
    <w:lvl w:ilvl="0" w:tplc="DCF2CC2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761C5A43"/>
    <w:multiLevelType w:val="hybridMultilevel"/>
    <w:tmpl w:val="2F1485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rsids>
    <w:rsidRoot w:val="006873A4"/>
    <w:rsid w:val="000218DE"/>
    <w:rsid w:val="00024130"/>
    <w:rsid w:val="00034644"/>
    <w:rsid w:val="00034D16"/>
    <w:rsid w:val="00065407"/>
    <w:rsid w:val="00066F2B"/>
    <w:rsid w:val="000956A7"/>
    <w:rsid w:val="000A1E98"/>
    <w:rsid w:val="000B25A3"/>
    <w:rsid w:val="000C0A52"/>
    <w:rsid w:val="000C78E3"/>
    <w:rsid w:val="000C7D27"/>
    <w:rsid w:val="000E0F1E"/>
    <w:rsid w:val="000E3E49"/>
    <w:rsid w:val="000E7216"/>
    <w:rsid w:val="000F3944"/>
    <w:rsid w:val="00114485"/>
    <w:rsid w:val="001202C3"/>
    <w:rsid w:val="00125C21"/>
    <w:rsid w:val="00134A5C"/>
    <w:rsid w:val="001365E5"/>
    <w:rsid w:val="001445D6"/>
    <w:rsid w:val="00150842"/>
    <w:rsid w:val="0015332B"/>
    <w:rsid w:val="001748E7"/>
    <w:rsid w:val="00177066"/>
    <w:rsid w:val="0018246E"/>
    <w:rsid w:val="001824AD"/>
    <w:rsid w:val="0018706E"/>
    <w:rsid w:val="0019781C"/>
    <w:rsid w:val="001B0C81"/>
    <w:rsid w:val="001B23C4"/>
    <w:rsid w:val="001C272E"/>
    <w:rsid w:val="001C2C89"/>
    <w:rsid w:val="001E58F5"/>
    <w:rsid w:val="0020691D"/>
    <w:rsid w:val="00217A8F"/>
    <w:rsid w:val="0022472C"/>
    <w:rsid w:val="0023116B"/>
    <w:rsid w:val="00245ED5"/>
    <w:rsid w:val="002572AB"/>
    <w:rsid w:val="00272E4B"/>
    <w:rsid w:val="00276106"/>
    <w:rsid w:val="00294185"/>
    <w:rsid w:val="002A1E63"/>
    <w:rsid w:val="002A3C14"/>
    <w:rsid w:val="002B67DD"/>
    <w:rsid w:val="002C499F"/>
    <w:rsid w:val="002D1309"/>
    <w:rsid w:val="00304498"/>
    <w:rsid w:val="00326D0F"/>
    <w:rsid w:val="00332C83"/>
    <w:rsid w:val="0034092E"/>
    <w:rsid w:val="0036020F"/>
    <w:rsid w:val="00384E85"/>
    <w:rsid w:val="003A5264"/>
    <w:rsid w:val="003A6EF6"/>
    <w:rsid w:val="003C1B86"/>
    <w:rsid w:val="003E13DF"/>
    <w:rsid w:val="003E6E73"/>
    <w:rsid w:val="004010DF"/>
    <w:rsid w:val="00412EB4"/>
    <w:rsid w:val="004140E2"/>
    <w:rsid w:val="004272AB"/>
    <w:rsid w:val="004335DC"/>
    <w:rsid w:val="004357E5"/>
    <w:rsid w:val="0044102A"/>
    <w:rsid w:val="004535A8"/>
    <w:rsid w:val="00467DBB"/>
    <w:rsid w:val="004804F9"/>
    <w:rsid w:val="00480DE1"/>
    <w:rsid w:val="00485BD4"/>
    <w:rsid w:val="004908C4"/>
    <w:rsid w:val="004A2B6E"/>
    <w:rsid w:val="004A4218"/>
    <w:rsid w:val="004B3B34"/>
    <w:rsid w:val="004B5645"/>
    <w:rsid w:val="004C384C"/>
    <w:rsid w:val="004C4E04"/>
    <w:rsid w:val="004C7798"/>
    <w:rsid w:val="004D6D4D"/>
    <w:rsid w:val="004E38E7"/>
    <w:rsid w:val="004E3AC4"/>
    <w:rsid w:val="004E3C19"/>
    <w:rsid w:val="00513083"/>
    <w:rsid w:val="00520A99"/>
    <w:rsid w:val="00523610"/>
    <w:rsid w:val="00533365"/>
    <w:rsid w:val="00562D67"/>
    <w:rsid w:val="00577BCD"/>
    <w:rsid w:val="005B0059"/>
    <w:rsid w:val="005B4E48"/>
    <w:rsid w:val="005C26A2"/>
    <w:rsid w:val="005D15E6"/>
    <w:rsid w:val="005D24D8"/>
    <w:rsid w:val="005F2D4B"/>
    <w:rsid w:val="0061236E"/>
    <w:rsid w:val="00613A56"/>
    <w:rsid w:val="00617001"/>
    <w:rsid w:val="00627759"/>
    <w:rsid w:val="00630496"/>
    <w:rsid w:val="00637339"/>
    <w:rsid w:val="00637402"/>
    <w:rsid w:val="006528E8"/>
    <w:rsid w:val="00657018"/>
    <w:rsid w:val="006623C5"/>
    <w:rsid w:val="006873A4"/>
    <w:rsid w:val="00693103"/>
    <w:rsid w:val="006A41A1"/>
    <w:rsid w:val="006A6AA2"/>
    <w:rsid w:val="006B2CA4"/>
    <w:rsid w:val="006D3D4D"/>
    <w:rsid w:val="006D7A58"/>
    <w:rsid w:val="006E442F"/>
    <w:rsid w:val="006E696B"/>
    <w:rsid w:val="006F0869"/>
    <w:rsid w:val="006F5E14"/>
    <w:rsid w:val="00723DBE"/>
    <w:rsid w:val="00726361"/>
    <w:rsid w:val="007267E2"/>
    <w:rsid w:val="0072721D"/>
    <w:rsid w:val="007645D7"/>
    <w:rsid w:val="00777BB3"/>
    <w:rsid w:val="007846C4"/>
    <w:rsid w:val="00792FCC"/>
    <w:rsid w:val="007A61AD"/>
    <w:rsid w:val="007C0640"/>
    <w:rsid w:val="007D02F6"/>
    <w:rsid w:val="007D060A"/>
    <w:rsid w:val="007F2008"/>
    <w:rsid w:val="007F5FB0"/>
    <w:rsid w:val="0080137F"/>
    <w:rsid w:val="00802F2A"/>
    <w:rsid w:val="00803168"/>
    <w:rsid w:val="008355DD"/>
    <w:rsid w:val="00851F32"/>
    <w:rsid w:val="008539F3"/>
    <w:rsid w:val="00863F5E"/>
    <w:rsid w:val="00874675"/>
    <w:rsid w:val="00881247"/>
    <w:rsid w:val="00881B23"/>
    <w:rsid w:val="0088649F"/>
    <w:rsid w:val="008A078A"/>
    <w:rsid w:val="008A221D"/>
    <w:rsid w:val="008A5B1F"/>
    <w:rsid w:val="008B090C"/>
    <w:rsid w:val="008B144E"/>
    <w:rsid w:val="008B3FA5"/>
    <w:rsid w:val="008C1852"/>
    <w:rsid w:val="008C2D9E"/>
    <w:rsid w:val="008D3065"/>
    <w:rsid w:val="008E7E85"/>
    <w:rsid w:val="008F4416"/>
    <w:rsid w:val="008F7BDF"/>
    <w:rsid w:val="00913E36"/>
    <w:rsid w:val="009158AF"/>
    <w:rsid w:val="009375BD"/>
    <w:rsid w:val="00937E09"/>
    <w:rsid w:val="00951CF3"/>
    <w:rsid w:val="00952EF4"/>
    <w:rsid w:val="00955594"/>
    <w:rsid w:val="00957A49"/>
    <w:rsid w:val="0096514C"/>
    <w:rsid w:val="0098473B"/>
    <w:rsid w:val="009B62D4"/>
    <w:rsid w:val="009C6DDD"/>
    <w:rsid w:val="009D181C"/>
    <w:rsid w:val="009D5CFD"/>
    <w:rsid w:val="009F33D1"/>
    <w:rsid w:val="00A03AA7"/>
    <w:rsid w:val="00A116F7"/>
    <w:rsid w:val="00A13A89"/>
    <w:rsid w:val="00A1505B"/>
    <w:rsid w:val="00A22BA7"/>
    <w:rsid w:val="00A2323E"/>
    <w:rsid w:val="00A23453"/>
    <w:rsid w:val="00A40370"/>
    <w:rsid w:val="00A529DD"/>
    <w:rsid w:val="00A560A1"/>
    <w:rsid w:val="00A940ED"/>
    <w:rsid w:val="00AA057E"/>
    <w:rsid w:val="00AA303E"/>
    <w:rsid w:val="00AA46C6"/>
    <w:rsid w:val="00AC1049"/>
    <w:rsid w:val="00AE16F5"/>
    <w:rsid w:val="00AE3E04"/>
    <w:rsid w:val="00AE7877"/>
    <w:rsid w:val="00AE7D20"/>
    <w:rsid w:val="00B04E66"/>
    <w:rsid w:val="00B11954"/>
    <w:rsid w:val="00B1639B"/>
    <w:rsid w:val="00B347D0"/>
    <w:rsid w:val="00B462EA"/>
    <w:rsid w:val="00B47E03"/>
    <w:rsid w:val="00B57FD0"/>
    <w:rsid w:val="00B65A97"/>
    <w:rsid w:val="00B85FC1"/>
    <w:rsid w:val="00BA7CD8"/>
    <w:rsid w:val="00BB62BA"/>
    <w:rsid w:val="00BC2C5C"/>
    <w:rsid w:val="00BD1E5C"/>
    <w:rsid w:val="00BF4237"/>
    <w:rsid w:val="00C02971"/>
    <w:rsid w:val="00C15593"/>
    <w:rsid w:val="00C179A6"/>
    <w:rsid w:val="00C26502"/>
    <w:rsid w:val="00C3280E"/>
    <w:rsid w:val="00C41877"/>
    <w:rsid w:val="00C65421"/>
    <w:rsid w:val="00C678AC"/>
    <w:rsid w:val="00C7351B"/>
    <w:rsid w:val="00CA1074"/>
    <w:rsid w:val="00CA7E63"/>
    <w:rsid w:val="00CB6406"/>
    <w:rsid w:val="00CC7BF8"/>
    <w:rsid w:val="00CD02A3"/>
    <w:rsid w:val="00CD15E0"/>
    <w:rsid w:val="00CD1DBF"/>
    <w:rsid w:val="00CF5C09"/>
    <w:rsid w:val="00D00502"/>
    <w:rsid w:val="00D049B8"/>
    <w:rsid w:val="00D21506"/>
    <w:rsid w:val="00D27BBA"/>
    <w:rsid w:val="00D43DF1"/>
    <w:rsid w:val="00D46D9F"/>
    <w:rsid w:val="00D53530"/>
    <w:rsid w:val="00D556D4"/>
    <w:rsid w:val="00D57CD4"/>
    <w:rsid w:val="00D61B4B"/>
    <w:rsid w:val="00D6221D"/>
    <w:rsid w:val="00DF3F5A"/>
    <w:rsid w:val="00DF5110"/>
    <w:rsid w:val="00DF7CA7"/>
    <w:rsid w:val="00E01CDC"/>
    <w:rsid w:val="00E10AA1"/>
    <w:rsid w:val="00E14BB3"/>
    <w:rsid w:val="00E212AB"/>
    <w:rsid w:val="00E23742"/>
    <w:rsid w:val="00E25432"/>
    <w:rsid w:val="00E352B2"/>
    <w:rsid w:val="00E4088C"/>
    <w:rsid w:val="00E503FE"/>
    <w:rsid w:val="00E64BB4"/>
    <w:rsid w:val="00E71791"/>
    <w:rsid w:val="00EC3F91"/>
    <w:rsid w:val="00ED5996"/>
    <w:rsid w:val="00EE0F6E"/>
    <w:rsid w:val="00EE3375"/>
    <w:rsid w:val="00EF1057"/>
    <w:rsid w:val="00EF6CF1"/>
    <w:rsid w:val="00F11BF3"/>
    <w:rsid w:val="00F22726"/>
    <w:rsid w:val="00F246D8"/>
    <w:rsid w:val="00F35134"/>
    <w:rsid w:val="00F4675D"/>
    <w:rsid w:val="00F559F2"/>
    <w:rsid w:val="00F565DE"/>
    <w:rsid w:val="00F62870"/>
    <w:rsid w:val="00F6467B"/>
    <w:rsid w:val="00F8721D"/>
    <w:rsid w:val="00F87E1D"/>
    <w:rsid w:val="00FA0432"/>
    <w:rsid w:val="00FA6CA8"/>
    <w:rsid w:val="00FB4FE4"/>
    <w:rsid w:val="00FB7051"/>
    <w:rsid w:val="00FC50AD"/>
    <w:rsid w:val="00FC54CB"/>
    <w:rsid w:val="00FD109C"/>
    <w:rsid w:val="00FD3E09"/>
    <w:rsid w:val="00FE27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80E"/>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6467B"/>
  </w:style>
  <w:style w:type="paragraph" w:styleId="BalloonText">
    <w:name w:val="Balloon Text"/>
    <w:basedOn w:val="Normal"/>
    <w:semiHidden/>
    <w:rsid w:val="002B67DD"/>
    <w:rPr>
      <w:rFonts w:ascii="Tahoma" w:hAnsi="Tahoma" w:cs="Tahoma"/>
      <w:sz w:val="16"/>
      <w:szCs w:val="16"/>
    </w:rPr>
  </w:style>
  <w:style w:type="paragraph" w:styleId="DocumentMap">
    <w:name w:val="Document Map"/>
    <w:basedOn w:val="Normal"/>
    <w:semiHidden/>
    <w:rsid w:val="000E3E49"/>
    <w:pPr>
      <w:shd w:val="clear" w:color="auto" w:fill="000080"/>
    </w:pPr>
    <w:rPr>
      <w:rFonts w:ascii="Tahoma" w:hAnsi="Tahoma" w:cs="Tahoma"/>
      <w:sz w:val="20"/>
      <w:szCs w:val="20"/>
    </w:rPr>
  </w:style>
  <w:style w:type="character" w:styleId="CommentReference">
    <w:name w:val="annotation reference"/>
    <w:basedOn w:val="DefaultParagraphFont"/>
    <w:uiPriority w:val="99"/>
    <w:rsid w:val="00CD02A3"/>
    <w:rPr>
      <w:sz w:val="16"/>
      <w:szCs w:val="16"/>
    </w:rPr>
  </w:style>
  <w:style w:type="paragraph" w:styleId="CommentText">
    <w:name w:val="annotation text"/>
    <w:basedOn w:val="Normal"/>
    <w:link w:val="CommentTextChar"/>
    <w:uiPriority w:val="99"/>
    <w:rsid w:val="00CD02A3"/>
    <w:rPr>
      <w:sz w:val="20"/>
      <w:szCs w:val="20"/>
    </w:rPr>
  </w:style>
  <w:style w:type="character" w:customStyle="1" w:styleId="CommentTextChar">
    <w:name w:val="Comment Text Char"/>
    <w:basedOn w:val="DefaultParagraphFont"/>
    <w:link w:val="CommentText"/>
    <w:uiPriority w:val="99"/>
    <w:rsid w:val="00CD02A3"/>
  </w:style>
  <w:style w:type="paragraph" w:styleId="CommentSubject">
    <w:name w:val="annotation subject"/>
    <w:basedOn w:val="CommentText"/>
    <w:next w:val="CommentText"/>
    <w:link w:val="CommentSubjectChar"/>
    <w:rsid w:val="00CD02A3"/>
    <w:rPr>
      <w:b/>
      <w:bCs/>
    </w:rPr>
  </w:style>
  <w:style w:type="character" w:customStyle="1" w:styleId="CommentSubjectChar">
    <w:name w:val="Comment Subject Char"/>
    <w:basedOn w:val="CommentTextChar"/>
    <w:link w:val="CommentSubject"/>
    <w:rsid w:val="00CD02A3"/>
    <w:rPr>
      <w:b/>
      <w:bCs/>
    </w:rPr>
  </w:style>
  <w:style w:type="paragraph" w:customStyle="1" w:styleId="P1">
    <w:name w:val="P1"/>
    <w:aliases w:val="(a)"/>
    <w:basedOn w:val="Normal"/>
    <w:rsid w:val="00C3280E"/>
    <w:pPr>
      <w:keepLines/>
      <w:tabs>
        <w:tab w:val="right" w:pos="1191"/>
      </w:tabs>
      <w:spacing w:before="60" w:line="260" w:lineRule="exact"/>
      <w:ind w:left="1418" w:hanging="1418"/>
    </w:pPr>
  </w:style>
  <w:style w:type="paragraph" w:styleId="Header">
    <w:name w:val="header"/>
    <w:basedOn w:val="Normal"/>
    <w:link w:val="HeaderChar"/>
    <w:rsid w:val="00F4675D"/>
    <w:pPr>
      <w:tabs>
        <w:tab w:val="center" w:pos="4513"/>
        <w:tab w:val="right" w:pos="9026"/>
      </w:tabs>
    </w:pPr>
  </w:style>
  <w:style w:type="character" w:customStyle="1" w:styleId="HeaderChar">
    <w:name w:val="Header Char"/>
    <w:basedOn w:val="DefaultParagraphFont"/>
    <w:link w:val="Header"/>
    <w:rsid w:val="00F4675D"/>
    <w:rPr>
      <w:rFonts w:ascii="Arial" w:hAnsi="Arial"/>
      <w:sz w:val="24"/>
      <w:szCs w:val="24"/>
    </w:rPr>
  </w:style>
  <w:style w:type="paragraph" w:styleId="Footer">
    <w:name w:val="footer"/>
    <w:basedOn w:val="Normal"/>
    <w:link w:val="FooterChar"/>
    <w:rsid w:val="00F4675D"/>
    <w:pPr>
      <w:tabs>
        <w:tab w:val="center" w:pos="4513"/>
        <w:tab w:val="right" w:pos="9026"/>
      </w:tabs>
    </w:pPr>
  </w:style>
  <w:style w:type="character" w:customStyle="1" w:styleId="FooterChar">
    <w:name w:val="Footer Char"/>
    <w:basedOn w:val="DefaultParagraphFont"/>
    <w:link w:val="Footer"/>
    <w:rsid w:val="00F4675D"/>
    <w:rPr>
      <w:rFonts w:ascii="Arial" w:hAnsi="Arial"/>
      <w:sz w:val="24"/>
      <w:szCs w:val="24"/>
    </w:rPr>
  </w:style>
  <w:style w:type="paragraph" w:styleId="Title">
    <w:name w:val="Title"/>
    <w:basedOn w:val="Normal"/>
    <w:next w:val="Normal"/>
    <w:link w:val="TitleChar"/>
    <w:qFormat/>
    <w:rsid w:val="00F4675D"/>
    <w:pPr>
      <w:spacing w:before="480"/>
      <w:jc w:val="left"/>
    </w:pPr>
    <w:rPr>
      <w:rFonts w:cs="Arial"/>
      <w:b/>
      <w:bCs/>
      <w:sz w:val="40"/>
      <w:szCs w:val="40"/>
    </w:rPr>
  </w:style>
  <w:style w:type="character" w:customStyle="1" w:styleId="TitleChar">
    <w:name w:val="Title Char"/>
    <w:basedOn w:val="DefaultParagraphFont"/>
    <w:link w:val="Title"/>
    <w:rsid w:val="00F4675D"/>
    <w:rPr>
      <w:rFonts w:ascii="Arial" w:hAnsi="Arial" w:cs="Arial"/>
      <w:b/>
      <w:bCs/>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7F83-C268-47A7-A1A5-1964369A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ATTACHMENT D - ES Social Security Waiver</vt:lpstr>
    </vt:vector>
  </TitlesOfParts>
  <Company>Families, Community Services and Indigenous Affairs</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ES Social Security Waiver</dc:title>
  <dc:creator>MEREDITH,Hannah</dc:creator>
  <cp:lastModifiedBy>Steven Robert</cp:lastModifiedBy>
  <cp:revision>2</cp:revision>
  <cp:lastPrinted>2011-05-16T05:04:00Z</cp:lastPrinted>
  <dcterms:created xsi:type="dcterms:W3CDTF">2011-06-20T01:02:00Z</dcterms:created>
  <dcterms:modified xsi:type="dcterms:W3CDTF">2011-06-20T01:02:00Z</dcterms:modified>
</cp:coreProperties>
</file>