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1B" w:rsidRPr="0070531B" w:rsidRDefault="0070531B" w:rsidP="0070531B">
      <w:pPr>
        <w:keepNext/>
        <w:spacing w:before="240" w:after="60"/>
        <w:jc w:val="center"/>
        <w:outlineLvl w:val="1"/>
        <w:rPr>
          <w:b/>
          <w:sz w:val="28"/>
          <w:u w:val="single"/>
        </w:rPr>
      </w:pPr>
      <w:bookmarkStart w:id="0" w:name="_Toc192474919"/>
      <w:r w:rsidRPr="0070531B">
        <w:rPr>
          <w:b/>
          <w:sz w:val="28"/>
          <w:u w:val="single"/>
        </w:rPr>
        <w:t>EXPLANATORY STATEMENT</w:t>
      </w:r>
      <w:bookmarkEnd w:id="0"/>
    </w:p>
    <w:p w:rsidR="0070531B" w:rsidRPr="0070531B" w:rsidRDefault="000117D2" w:rsidP="0070531B">
      <w:pPr>
        <w:keepNext/>
        <w:spacing w:before="240" w:after="60"/>
        <w:jc w:val="center"/>
        <w:outlineLvl w:val="1"/>
        <w:rPr>
          <w:b/>
          <w:sz w:val="28"/>
          <w:u w:val="single"/>
        </w:rPr>
      </w:pPr>
      <w:bookmarkStart w:id="1" w:name="_Toc192474920"/>
      <w:r>
        <w:rPr>
          <w:b/>
          <w:sz w:val="28"/>
          <w:u w:val="single"/>
        </w:rPr>
        <w:t>Select Legislative Instrument</w:t>
      </w:r>
      <w:r w:rsidR="0070531B" w:rsidRPr="0070531B">
        <w:rPr>
          <w:b/>
          <w:sz w:val="28"/>
          <w:u w:val="single"/>
        </w:rPr>
        <w:t xml:space="preserve"> 201</w:t>
      </w:r>
      <w:r w:rsidR="00D820CE">
        <w:rPr>
          <w:b/>
          <w:sz w:val="28"/>
          <w:u w:val="single"/>
        </w:rPr>
        <w:t>1</w:t>
      </w:r>
      <w:r w:rsidR="0070531B" w:rsidRPr="0070531B">
        <w:rPr>
          <w:b/>
          <w:sz w:val="28"/>
          <w:u w:val="single"/>
        </w:rPr>
        <w:t xml:space="preserve"> No.</w:t>
      </w:r>
      <w:bookmarkEnd w:id="1"/>
      <w:r w:rsidR="0070531B" w:rsidRPr="0070531B">
        <w:rPr>
          <w:b/>
          <w:sz w:val="28"/>
          <w:u w:val="single"/>
        </w:rPr>
        <w:t xml:space="preserve"> </w:t>
      </w:r>
      <w:r>
        <w:rPr>
          <w:b/>
          <w:sz w:val="28"/>
          <w:u w:val="single"/>
        </w:rPr>
        <w:t>111</w:t>
      </w:r>
    </w:p>
    <w:p w:rsidR="0070531B" w:rsidRPr="0070531B" w:rsidRDefault="0070531B" w:rsidP="0070531B">
      <w:pPr>
        <w:keepNext/>
        <w:tabs>
          <w:tab w:val="left" w:pos="1987"/>
        </w:tabs>
        <w:spacing w:before="240" w:after="120"/>
        <w:jc w:val="center"/>
        <w:outlineLvl w:val="2"/>
        <w:rPr>
          <w:b/>
          <w:kern w:val="28"/>
          <w:u w:val="single"/>
        </w:rPr>
      </w:pPr>
      <w:r w:rsidRPr="0070531B">
        <w:rPr>
          <w:b/>
          <w:kern w:val="28"/>
          <w:u w:val="single"/>
        </w:rPr>
        <w:t>Issued by authority of the Assistant Treasurer</w:t>
      </w:r>
      <w:r>
        <w:rPr>
          <w:b/>
          <w:kern w:val="28"/>
          <w:u w:val="single"/>
        </w:rPr>
        <w:t xml:space="preserve"> and Minister for Financial Services and Superannuation</w:t>
      </w:r>
    </w:p>
    <w:p w:rsidR="0070531B" w:rsidRPr="0070531B" w:rsidRDefault="0070531B" w:rsidP="0070531B">
      <w:pPr>
        <w:spacing w:before="120" w:after="120"/>
        <w:jc w:val="center"/>
        <w:rPr>
          <w:i/>
        </w:rPr>
      </w:pPr>
      <w:r w:rsidRPr="0070531B">
        <w:rPr>
          <w:i/>
        </w:rPr>
        <w:t>Tax Agent Services Act 2009</w:t>
      </w:r>
    </w:p>
    <w:p w:rsidR="0070531B" w:rsidRPr="0070531B" w:rsidRDefault="0070531B" w:rsidP="0070531B">
      <w:pPr>
        <w:spacing w:before="120" w:after="120"/>
        <w:jc w:val="center"/>
        <w:rPr>
          <w:i/>
        </w:rPr>
      </w:pPr>
      <w:r w:rsidRPr="0070531B">
        <w:rPr>
          <w:i/>
        </w:rPr>
        <w:t>Tax Agent Ser</w:t>
      </w:r>
      <w:r>
        <w:rPr>
          <w:i/>
        </w:rPr>
        <w:t>vices Amendment Regulations 2011</w:t>
      </w:r>
      <w:r w:rsidRPr="0070531B">
        <w:rPr>
          <w:i/>
        </w:rPr>
        <w:t xml:space="preserve"> (No. </w:t>
      </w:r>
      <w:r w:rsidR="000117D2">
        <w:rPr>
          <w:i/>
        </w:rPr>
        <w:t>1</w:t>
      </w:r>
      <w:r w:rsidRPr="0070531B">
        <w:rPr>
          <w:i/>
        </w:rPr>
        <w:t>)</w:t>
      </w:r>
    </w:p>
    <w:p w:rsidR="0070531B" w:rsidRDefault="0070531B" w:rsidP="0070531B">
      <w:pPr>
        <w:tabs>
          <w:tab w:val="right" w:pos="9072"/>
        </w:tabs>
        <w:ind w:right="91"/>
      </w:pPr>
    </w:p>
    <w:p w:rsidR="0070531B" w:rsidRDefault="0070531B" w:rsidP="0070531B">
      <w:pPr>
        <w:tabs>
          <w:tab w:val="right" w:pos="9072"/>
        </w:tabs>
        <w:ind w:right="91"/>
      </w:pPr>
      <w:r w:rsidRPr="007A70AE">
        <w:t xml:space="preserve">Section 70-55 of the </w:t>
      </w:r>
      <w:r w:rsidRPr="007A70AE">
        <w:rPr>
          <w:i/>
        </w:rPr>
        <w:t>Tax Agent Services Act 2009</w:t>
      </w:r>
      <w:r>
        <w:t xml:space="preserve"> (the Act) provides, in part, that the Governor</w:t>
      </w:r>
      <w:r>
        <w:noBreakHyphen/>
        <w:t xml:space="preserve">General may make regulations prescribing matters required or permitted by the Act to be prescribed, or necessary or convenient to be prescribed for carrying out or giving effect to the </w:t>
      </w:r>
      <w:r w:rsidRPr="00247753">
        <w:t>Act</w:t>
      </w:r>
      <w:r>
        <w:t>.</w:t>
      </w:r>
    </w:p>
    <w:p w:rsidR="0070531B" w:rsidRDefault="0070531B" w:rsidP="0070531B">
      <w:pPr>
        <w:tabs>
          <w:tab w:val="right" w:pos="9072"/>
        </w:tabs>
        <w:ind w:right="91"/>
      </w:pPr>
    </w:p>
    <w:p w:rsidR="0070531B" w:rsidRDefault="0070531B" w:rsidP="0070531B">
      <w:pPr>
        <w:tabs>
          <w:tab w:val="right" w:pos="9072"/>
        </w:tabs>
        <w:ind w:right="91"/>
      </w:pPr>
      <w:r>
        <w:t>Section 90-5 of the Act</w:t>
      </w:r>
      <w:r>
        <w:rPr>
          <w:i/>
        </w:rPr>
        <w:t xml:space="preserve"> </w:t>
      </w:r>
      <w:r>
        <w:t>provides that regulations may specify services that are not tax agent services.</w:t>
      </w:r>
    </w:p>
    <w:p w:rsidR="0070531B" w:rsidRDefault="0070531B" w:rsidP="0070531B">
      <w:pPr>
        <w:ind w:right="91"/>
      </w:pPr>
    </w:p>
    <w:p w:rsidR="0070531B" w:rsidRDefault="00D5019B" w:rsidP="0070531B">
      <w:pPr>
        <w:ind w:right="91"/>
      </w:pPr>
      <w:r>
        <w:t>These Regulations extend the</w:t>
      </w:r>
      <w:r w:rsidR="0070531B">
        <w:t xml:space="preserve"> defer</w:t>
      </w:r>
      <w:r>
        <w:t>ral of</w:t>
      </w:r>
      <w:r w:rsidR="0070531B" w:rsidRPr="003872BA">
        <w:t xml:space="preserve"> t</w:t>
      </w:r>
      <w:r w:rsidR="0070531B">
        <w:t>he application of the tax agent services</w:t>
      </w:r>
      <w:r w:rsidR="0070531B" w:rsidRPr="003872BA">
        <w:t xml:space="preserve"> regime</w:t>
      </w:r>
      <w:r w:rsidR="0070531B">
        <w:t xml:space="preserve"> to holders of Australian Financial Services Licenses (registered financial planners) until 30 June 2012.</w:t>
      </w:r>
    </w:p>
    <w:p w:rsidR="0070531B" w:rsidRDefault="0070531B" w:rsidP="0070531B">
      <w:pPr>
        <w:ind w:right="91"/>
      </w:pPr>
    </w:p>
    <w:p w:rsidR="0070531B" w:rsidRDefault="0070531B" w:rsidP="0070531B">
      <w:pPr>
        <w:ind w:right="91"/>
      </w:pPr>
      <w:r>
        <w:t xml:space="preserve">The current deferral is in place until 30 June 2011.  </w:t>
      </w:r>
    </w:p>
    <w:p w:rsidR="0070531B" w:rsidRDefault="0070531B" w:rsidP="0070531B">
      <w:pPr>
        <w:ind w:right="91"/>
      </w:pPr>
    </w:p>
    <w:p w:rsidR="0070531B" w:rsidRDefault="0070531B" w:rsidP="0070531B">
      <w:pPr>
        <w:ind w:right="91"/>
      </w:pPr>
      <w:r>
        <w:t>The extension of the deferral allow</w:t>
      </w:r>
      <w:r w:rsidR="00D820CE">
        <w:t>s</w:t>
      </w:r>
      <w:r>
        <w:t xml:space="preserve"> for consultation on, and development of, an appropriate regulatory regime for registered financial planners.  Given the extensive scope of the Future of Financial Advice reforms, it is essential that adequate consultation be undertaken before regulating registered financial planners who provide tax agent services.  </w:t>
      </w:r>
    </w:p>
    <w:p w:rsidR="0070531B" w:rsidRDefault="0070531B" w:rsidP="0070531B">
      <w:pPr>
        <w:ind w:right="91"/>
      </w:pPr>
    </w:p>
    <w:p w:rsidR="0070531B" w:rsidRDefault="0070531B" w:rsidP="0070531B">
      <w:pPr>
        <w:ind w:right="91"/>
      </w:pPr>
      <w:r>
        <w:t>The</w:t>
      </w:r>
      <w:r w:rsidR="00D820CE">
        <w:t>se</w:t>
      </w:r>
      <w:r>
        <w:t xml:space="preserve"> Regulations also provide certainty to registered financial planners during this </w:t>
      </w:r>
      <w:r w:rsidR="00D820CE">
        <w:t xml:space="preserve">consultation and </w:t>
      </w:r>
      <w:r>
        <w:t xml:space="preserve">development process.  </w:t>
      </w:r>
    </w:p>
    <w:p w:rsidR="0070531B" w:rsidRDefault="0070531B" w:rsidP="0070531B">
      <w:pPr>
        <w:ind w:right="91"/>
      </w:pPr>
    </w:p>
    <w:p w:rsidR="0070531B" w:rsidRPr="00D60A81" w:rsidRDefault="00D60A81" w:rsidP="00D60A81">
      <w:pPr>
        <w:tabs>
          <w:tab w:val="left" w:pos="1701"/>
          <w:tab w:val="right" w:pos="9072"/>
        </w:tabs>
        <w:ind w:right="91"/>
      </w:pPr>
      <w:r>
        <w:t>The details of these Regulations were developed as part of a broader consultation process with representatives of the tax, finance and accounting industries. The Act specifies no conditions that need to be satisfied before the power to make these Regulations may be exercised.</w:t>
      </w:r>
    </w:p>
    <w:p w:rsidR="0070531B" w:rsidRDefault="0070531B" w:rsidP="0070531B">
      <w:pPr>
        <w:tabs>
          <w:tab w:val="left" w:pos="1701"/>
          <w:tab w:val="right" w:pos="9072"/>
        </w:tabs>
        <w:ind w:right="91"/>
      </w:pPr>
    </w:p>
    <w:p w:rsidR="0070531B" w:rsidRDefault="0070531B" w:rsidP="0070531B">
      <w:pPr>
        <w:tabs>
          <w:tab w:val="left" w:pos="1701"/>
          <w:tab w:val="right" w:pos="9072"/>
        </w:tabs>
        <w:ind w:right="91"/>
      </w:pPr>
      <w:r>
        <w:t>The</w:t>
      </w:r>
      <w:r w:rsidR="001E45C3">
        <w:t>se</w:t>
      </w:r>
      <w:r>
        <w:t xml:space="preserve"> Regulations are a legislative instrument for the purposes of the </w:t>
      </w:r>
      <w:r w:rsidRPr="00E114E2">
        <w:rPr>
          <w:i/>
        </w:rPr>
        <w:t>Legislative Instruments Act 2003</w:t>
      </w:r>
      <w:r>
        <w:t>.</w:t>
      </w:r>
    </w:p>
    <w:p w:rsidR="0070531B" w:rsidRDefault="0070531B" w:rsidP="0070531B">
      <w:pPr>
        <w:tabs>
          <w:tab w:val="left" w:pos="1701"/>
          <w:tab w:val="right" w:pos="9072"/>
        </w:tabs>
        <w:ind w:right="91"/>
      </w:pPr>
    </w:p>
    <w:p w:rsidR="0070531B" w:rsidRDefault="0070531B" w:rsidP="0070531B">
      <w:pPr>
        <w:tabs>
          <w:tab w:val="left" w:pos="1701"/>
          <w:tab w:val="right" w:pos="9072"/>
        </w:tabs>
        <w:ind w:right="91"/>
      </w:pPr>
      <w:r>
        <w:t>The</w:t>
      </w:r>
      <w:r w:rsidR="001E45C3">
        <w:t>se</w:t>
      </w:r>
      <w:r>
        <w:t xml:space="preserve"> Regulations commence on the day after they are registered on the Federal Register of Legislative Instruments.</w:t>
      </w:r>
    </w:p>
    <w:p w:rsidR="0070531B" w:rsidRDefault="0070531B" w:rsidP="0070531B">
      <w:pPr>
        <w:tabs>
          <w:tab w:val="left" w:pos="1701"/>
          <w:tab w:val="right" w:pos="9072"/>
        </w:tabs>
        <w:ind w:right="91"/>
      </w:pPr>
    </w:p>
    <w:p w:rsidR="0070531B" w:rsidRDefault="0070531B" w:rsidP="0070531B">
      <w:pPr>
        <w:tabs>
          <w:tab w:val="left" w:pos="1701"/>
          <w:tab w:val="right" w:pos="9072"/>
        </w:tabs>
        <w:ind w:right="91"/>
      </w:pPr>
    </w:p>
    <w:tbl>
      <w:tblPr>
        <w:tblW w:w="3685" w:type="dxa"/>
        <w:tblInd w:w="4928" w:type="dxa"/>
        <w:tblLayout w:type="fixed"/>
        <w:tblLook w:val="04A0"/>
      </w:tblPr>
      <w:tblGrid>
        <w:gridCol w:w="1417"/>
        <w:gridCol w:w="2268"/>
      </w:tblGrid>
      <w:tr w:rsidR="0070531B" w:rsidTr="008B577F">
        <w:tc>
          <w:tcPr>
            <w:tcW w:w="1417" w:type="dxa"/>
          </w:tcPr>
          <w:p w:rsidR="0070531B" w:rsidRDefault="0070531B" w:rsidP="008B577F">
            <w:pPr>
              <w:tabs>
                <w:tab w:val="left" w:pos="2835"/>
                <w:tab w:val="left" w:pos="6096"/>
                <w:tab w:val="left" w:pos="6237"/>
                <w:tab w:val="left" w:pos="7088"/>
              </w:tabs>
              <w:ind w:right="91"/>
              <w:jc w:val="right"/>
            </w:pPr>
            <w:r w:rsidRPr="00C035D7">
              <w:rPr>
                <w:u w:val="single"/>
              </w:rPr>
              <w:t>Authority</w:t>
            </w:r>
            <w:r>
              <w:t xml:space="preserve">:  </w:t>
            </w:r>
          </w:p>
        </w:tc>
        <w:tc>
          <w:tcPr>
            <w:tcW w:w="2268" w:type="dxa"/>
          </w:tcPr>
          <w:p w:rsidR="0070531B" w:rsidRPr="00C035D7" w:rsidRDefault="0070531B" w:rsidP="008B577F">
            <w:pPr>
              <w:tabs>
                <w:tab w:val="left" w:pos="2835"/>
                <w:tab w:val="left" w:pos="6096"/>
                <w:tab w:val="left" w:pos="6237"/>
                <w:tab w:val="left" w:pos="7088"/>
              </w:tabs>
              <w:ind w:right="91"/>
              <w:rPr>
                <w:i/>
              </w:rPr>
            </w:pPr>
            <w:r w:rsidRPr="008762F6">
              <w:t>Section 70-55 of the</w:t>
            </w:r>
            <w:r w:rsidRPr="00C035D7">
              <w:rPr>
                <w:i/>
              </w:rPr>
              <w:t xml:space="preserve"> Tax Agent Services Act 2009</w:t>
            </w:r>
          </w:p>
        </w:tc>
      </w:tr>
    </w:tbl>
    <w:p w:rsidR="0070531B" w:rsidRDefault="0070531B" w:rsidP="0070531B">
      <w:pPr>
        <w:ind w:right="91"/>
      </w:pPr>
    </w:p>
    <w:p w:rsidR="0070531B" w:rsidRDefault="0070531B" w:rsidP="0070531B">
      <w:pPr>
        <w:ind w:right="91"/>
      </w:pPr>
    </w:p>
    <w:p w:rsidR="00A32B49" w:rsidRDefault="00A32B49" w:rsidP="0070531B">
      <w:pPr>
        <w:tabs>
          <w:tab w:val="right" w:pos="9072"/>
        </w:tabs>
        <w:ind w:right="91"/>
      </w:pPr>
    </w:p>
    <w:sectPr w:rsidR="00A32B49" w:rsidSect="002658B3">
      <w:pgSz w:w="11906" w:h="16838" w:code="9"/>
      <w:pgMar w:top="1134" w:right="1797" w:bottom="1134" w:left="1797"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noPunctuationKerning/>
  <w:characterSpacingControl w:val="doNotCompress"/>
  <w:compat/>
  <w:rsids>
    <w:rsidRoot w:val="0070531B"/>
    <w:rsid w:val="000117D2"/>
    <w:rsid w:val="001E45C3"/>
    <w:rsid w:val="002658B3"/>
    <w:rsid w:val="00280A94"/>
    <w:rsid w:val="0047176B"/>
    <w:rsid w:val="00502E30"/>
    <w:rsid w:val="005E1500"/>
    <w:rsid w:val="00640968"/>
    <w:rsid w:val="0070531B"/>
    <w:rsid w:val="00871E0F"/>
    <w:rsid w:val="009A24E0"/>
    <w:rsid w:val="00A32B49"/>
    <w:rsid w:val="00D5019B"/>
    <w:rsid w:val="00D60A81"/>
    <w:rsid w:val="00D820CE"/>
    <w:rsid w:val="00E726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B3"/>
    <w:rPr>
      <w:sz w:val="24"/>
    </w:rPr>
  </w:style>
  <w:style w:type="paragraph" w:styleId="Heading1">
    <w:name w:val="heading 1"/>
    <w:basedOn w:val="Normal"/>
    <w:next w:val="Normal"/>
    <w:qFormat/>
    <w:rsid w:val="002658B3"/>
    <w:pPr>
      <w:keepNext/>
      <w:spacing w:before="240" w:after="360"/>
      <w:outlineLvl w:val="0"/>
    </w:pPr>
    <w:rPr>
      <w:b/>
      <w:caps/>
      <w:sz w:val="28"/>
    </w:rPr>
  </w:style>
  <w:style w:type="paragraph" w:styleId="Heading2">
    <w:name w:val="heading 2"/>
    <w:basedOn w:val="Normal"/>
    <w:next w:val="Normal"/>
    <w:qFormat/>
    <w:rsid w:val="002658B3"/>
    <w:pPr>
      <w:keepNext/>
      <w:spacing w:before="120"/>
      <w:outlineLvl w:val="1"/>
    </w:pPr>
    <w:rPr>
      <w:b/>
      <w:caps/>
    </w:rPr>
  </w:style>
  <w:style w:type="paragraph" w:styleId="Heading3">
    <w:name w:val="heading 3"/>
    <w:basedOn w:val="Normal"/>
    <w:next w:val="Normal"/>
    <w:qFormat/>
    <w:rsid w:val="002658B3"/>
    <w:pPr>
      <w:keepNext/>
      <w:spacing w:before="60"/>
      <w:outlineLvl w:val="2"/>
    </w:pPr>
    <w:rPr>
      <w:b/>
    </w:rPr>
  </w:style>
  <w:style w:type="paragraph" w:styleId="Heading4">
    <w:name w:val="heading 4"/>
    <w:basedOn w:val="Normal"/>
    <w:next w:val="Normal"/>
    <w:qFormat/>
    <w:rsid w:val="002658B3"/>
    <w:pPr>
      <w:keepNext/>
      <w:outlineLvl w:val="3"/>
    </w:pPr>
    <w:rPr>
      <w:i/>
      <w:sz w:val="20"/>
    </w:rPr>
  </w:style>
  <w:style w:type="paragraph" w:styleId="Heading6">
    <w:name w:val="heading 6"/>
    <w:basedOn w:val="Normal"/>
    <w:next w:val="Normal"/>
    <w:qFormat/>
    <w:rsid w:val="002658B3"/>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2658B3"/>
  </w:style>
  <w:style w:type="paragraph" w:customStyle="1" w:styleId="ChartMainHeading">
    <w:name w:val="Chart Main Heading"/>
    <w:basedOn w:val="SingleParagraph"/>
    <w:next w:val="Normal"/>
    <w:rsid w:val="002658B3"/>
    <w:pPr>
      <w:jc w:val="center"/>
    </w:pPr>
    <w:rPr>
      <w:b/>
      <w:caps/>
    </w:rPr>
  </w:style>
  <w:style w:type="paragraph" w:customStyle="1" w:styleId="ChartSecondHeading">
    <w:name w:val="Chart Second Heading"/>
    <w:basedOn w:val="SingleParagraph"/>
    <w:next w:val="Normal"/>
    <w:rsid w:val="002658B3"/>
    <w:pPr>
      <w:jc w:val="center"/>
    </w:pPr>
    <w:rPr>
      <w:b/>
    </w:rPr>
  </w:style>
  <w:style w:type="paragraph" w:customStyle="1" w:styleId="TableMainHeading">
    <w:name w:val="Table Main Heading"/>
    <w:basedOn w:val="Heading2"/>
    <w:next w:val="Normal"/>
    <w:rsid w:val="002658B3"/>
    <w:pPr>
      <w:spacing w:before="240"/>
      <w:outlineLvl w:val="9"/>
    </w:pPr>
    <w:rPr>
      <w:rFonts w:ascii="Helvetica" w:hAnsi="Helvetica"/>
      <w:b w:val="0"/>
      <w:caps w:val="0"/>
      <w:spacing w:val="30"/>
      <w:sz w:val="22"/>
    </w:r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XCo Explanatory Memorandum - General</Template>
  <TotalTime>5</TotalTime>
  <Pages>1</Pages>
  <Words>286</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McGovern, Claire</dc:creator>
  <cp:lastModifiedBy>gobbid</cp:lastModifiedBy>
  <cp:revision>3</cp:revision>
  <cp:lastPrinted>1601-01-01T00:00:00Z</cp:lastPrinted>
  <dcterms:created xsi:type="dcterms:W3CDTF">2011-06-08T01:05:00Z</dcterms:created>
  <dcterms:modified xsi:type="dcterms:W3CDTF">2011-06-16T00:04:00Z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-1910344711</vt:i4>
  </property>
  <property fmtid="{D5CDD505-2E9C-101B-9397-08002B2CF9AE}" pid="3" name="_NewReviewCycle">
    <vt:lpwstr/>
  </property>
  <property fmtid="{D5CDD505-2E9C-101B-9397-08002B2CF9AE}" pid="4" name="_EmailSubject">
    <vt:lpwstr>TRIM registration - Tax Agent Services Amendment Regulations 2011 (No.  ) [SEC=UNCLASSIFIED]</vt:lpwstr>
  </property>
  <property fmtid="{D5CDD505-2E9C-101B-9397-08002B2CF9AE}" pid="5" name="_AuthorEmail">
    <vt:lpwstr>Claire.McGovern@TREASURY.GOV.AU</vt:lpwstr>
  </property>
  <property fmtid="{D5CDD505-2E9C-101B-9397-08002B2CF9AE}" pid="6" name="_AuthorEmailDisplayName">
    <vt:lpwstr>McGovern, Claire</vt:lpwstr>
  </property>
  <property fmtid="{D5CDD505-2E9C-101B-9397-08002B2CF9AE}" pid="7" name="_ReviewingToolsShownOnce">
    <vt:lpwstr/>
  </property>
</Properties>
</file>