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C7" w:rsidRPr="004822E1" w:rsidRDefault="00A74D5E" w:rsidP="00A74D5E">
      <w:pPr>
        <w:jc w:val="center"/>
        <w:rPr>
          <w:rFonts w:ascii="Arial" w:hAnsi="Arial" w:cs="Arial"/>
          <w:b/>
        </w:rPr>
      </w:pPr>
      <w:r w:rsidRPr="004822E1">
        <w:rPr>
          <w:rFonts w:ascii="Arial" w:hAnsi="Arial" w:cs="Arial"/>
          <w:b/>
        </w:rPr>
        <w:t>EXPLANATORY STATEMENT</w:t>
      </w:r>
    </w:p>
    <w:p w:rsidR="00A74D5E" w:rsidRPr="004822E1" w:rsidRDefault="00A74D5E" w:rsidP="00A74D5E">
      <w:pPr>
        <w:jc w:val="center"/>
        <w:rPr>
          <w:rFonts w:ascii="Arial" w:hAnsi="Arial" w:cs="Arial"/>
          <w:b/>
        </w:rPr>
      </w:pPr>
    </w:p>
    <w:p w:rsidR="00A74D5E" w:rsidRPr="004822E1" w:rsidRDefault="00A74D5E" w:rsidP="00A74D5E">
      <w:pPr>
        <w:jc w:val="center"/>
        <w:rPr>
          <w:rFonts w:ascii="Arial" w:hAnsi="Arial" w:cs="Arial"/>
          <w:b/>
          <w:i/>
        </w:rPr>
      </w:pPr>
      <w:r w:rsidRPr="004822E1">
        <w:rPr>
          <w:rFonts w:ascii="Arial" w:hAnsi="Arial" w:cs="Arial"/>
          <w:b/>
          <w:i/>
        </w:rPr>
        <w:t>Social Security (Waiver of Debts – Self Managed Superannuation Funds</w:t>
      </w:r>
      <w:r w:rsidR="00877E3B" w:rsidRPr="004822E1">
        <w:rPr>
          <w:rFonts w:ascii="Arial" w:hAnsi="Arial" w:cs="Arial"/>
          <w:b/>
          <w:i/>
        </w:rPr>
        <w:t xml:space="preserve"> and Small APRA Funds) (</w:t>
      </w:r>
      <w:r w:rsidR="004822E1" w:rsidRPr="004822E1">
        <w:rPr>
          <w:rFonts w:ascii="Arial" w:hAnsi="Arial" w:cs="Arial"/>
          <w:b/>
          <w:i/>
        </w:rPr>
        <w:t>DEEWR</w:t>
      </w:r>
      <w:r w:rsidR="00877E3B" w:rsidRPr="004822E1">
        <w:rPr>
          <w:rFonts w:ascii="Arial" w:hAnsi="Arial" w:cs="Arial"/>
          <w:b/>
          <w:i/>
        </w:rPr>
        <w:t>) Specification 2011</w:t>
      </w:r>
    </w:p>
    <w:p w:rsidR="00A74D5E" w:rsidRPr="004822E1" w:rsidRDefault="00A74D5E" w:rsidP="00A74D5E">
      <w:pPr>
        <w:jc w:val="center"/>
        <w:rPr>
          <w:rFonts w:ascii="Arial" w:hAnsi="Arial" w:cs="Arial"/>
          <w:b/>
          <w:i/>
        </w:rPr>
      </w:pPr>
    </w:p>
    <w:p w:rsidR="00A74D5E" w:rsidRPr="004822E1" w:rsidRDefault="00A74D5E" w:rsidP="00A74D5E">
      <w:pPr>
        <w:jc w:val="both"/>
        <w:rPr>
          <w:rFonts w:ascii="Arial" w:hAnsi="Arial" w:cs="Arial"/>
          <w:b/>
        </w:rPr>
      </w:pPr>
    </w:p>
    <w:p w:rsidR="005E73E1" w:rsidRPr="004822E1" w:rsidRDefault="005E73E1" w:rsidP="00A74D5E">
      <w:pPr>
        <w:jc w:val="both"/>
        <w:rPr>
          <w:rFonts w:ascii="Arial" w:hAnsi="Arial" w:cs="Arial"/>
          <w:b/>
        </w:rPr>
      </w:pPr>
      <w:r w:rsidRPr="004822E1">
        <w:rPr>
          <w:rFonts w:ascii="Arial" w:hAnsi="Arial" w:cs="Arial"/>
          <w:b/>
        </w:rPr>
        <w:t>Summary</w:t>
      </w:r>
    </w:p>
    <w:p w:rsidR="005E73E1" w:rsidRPr="004822E1" w:rsidRDefault="005E73E1" w:rsidP="00A74D5E">
      <w:pPr>
        <w:jc w:val="both"/>
        <w:rPr>
          <w:rFonts w:ascii="Arial" w:hAnsi="Arial" w:cs="Arial"/>
          <w:b/>
        </w:rPr>
      </w:pPr>
    </w:p>
    <w:p w:rsidR="005E73E1" w:rsidRPr="004822E1" w:rsidRDefault="004A4102" w:rsidP="00A74D5E">
      <w:pPr>
        <w:jc w:val="both"/>
        <w:rPr>
          <w:rFonts w:ascii="Arial" w:hAnsi="Arial" w:cs="Arial"/>
        </w:rPr>
      </w:pPr>
      <w:r w:rsidRPr="004822E1">
        <w:rPr>
          <w:rFonts w:ascii="Arial" w:hAnsi="Arial" w:cs="Arial"/>
        </w:rPr>
        <w:t xml:space="preserve">The </w:t>
      </w:r>
      <w:r w:rsidRPr="004822E1">
        <w:rPr>
          <w:rFonts w:ascii="Arial" w:hAnsi="Arial" w:cs="Arial"/>
          <w:i/>
        </w:rPr>
        <w:t>Social Security (Waiver of Debts – Self Managed Superannuation Funds</w:t>
      </w:r>
      <w:r w:rsidR="00877E3B" w:rsidRPr="004822E1">
        <w:rPr>
          <w:rFonts w:ascii="Arial" w:hAnsi="Arial" w:cs="Arial"/>
          <w:i/>
        </w:rPr>
        <w:t xml:space="preserve"> and Small APRA Funds</w:t>
      </w:r>
      <w:r w:rsidRPr="004822E1">
        <w:rPr>
          <w:rFonts w:ascii="Arial" w:hAnsi="Arial" w:cs="Arial"/>
          <w:i/>
        </w:rPr>
        <w:t>) (</w:t>
      </w:r>
      <w:r w:rsidR="004822E1" w:rsidRPr="004822E1">
        <w:rPr>
          <w:rFonts w:ascii="Arial" w:hAnsi="Arial" w:cs="Arial"/>
          <w:i/>
        </w:rPr>
        <w:t>DEEWR</w:t>
      </w:r>
      <w:r w:rsidRPr="004822E1">
        <w:rPr>
          <w:rFonts w:ascii="Arial" w:hAnsi="Arial" w:cs="Arial"/>
          <w:i/>
        </w:rPr>
        <w:t>) Specification 20</w:t>
      </w:r>
      <w:r w:rsidR="00877E3B" w:rsidRPr="004822E1">
        <w:rPr>
          <w:rFonts w:ascii="Arial" w:hAnsi="Arial" w:cs="Arial"/>
          <w:i/>
        </w:rPr>
        <w:t>11</w:t>
      </w:r>
      <w:r w:rsidRPr="004822E1">
        <w:rPr>
          <w:rFonts w:ascii="Arial" w:hAnsi="Arial" w:cs="Arial"/>
        </w:rPr>
        <w:t xml:space="preserve"> (the Specification) is made under </w:t>
      </w:r>
      <w:r w:rsidR="003A4119" w:rsidRPr="004822E1">
        <w:rPr>
          <w:rFonts w:ascii="Arial" w:hAnsi="Arial" w:cs="Arial"/>
        </w:rPr>
        <w:t>sub</w:t>
      </w:r>
      <w:r w:rsidRPr="004822E1">
        <w:rPr>
          <w:rFonts w:ascii="Arial" w:hAnsi="Arial" w:cs="Arial"/>
        </w:rPr>
        <w:t>section 1237AB</w:t>
      </w:r>
      <w:r w:rsidR="003A4119" w:rsidRPr="004822E1">
        <w:rPr>
          <w:rFonts w:ascii="Arial" w:hAnsi="Arial" w:cs="Arial"/>
        </w:rPr>
        <w:t>(1)</w:t>
      </w:r>
      <w:r w:rsidRPr="004822E1">
        <w:rPr>
          <w:rFonts w:ascii="Arial" w:hAnsi="Arial" w:cs="Arial"/>
        </w:rPr>
        <w:t xml:space="preserve"> of the </w:t>
      </w:r>
      <w:r w:rsidRPr="004822E1">
        <w:rPr>
          <w:rFonts w:ascii="Arial" w:hAnsi="Arial" w:cs="Arial"/>
          <w:i/>
        </w:rPr>
        <w:t>Social Security Act 1991</w:t>
      </w:r>
      <w:r w:rsidRPr="004822E1">
        <w:rPr>
          <w:rFonts w:ascii="Arial" w:hAnsi="Arial" w:cs="Arial"/>
        </w:rPr>
        <w:t xml:space="preserve"> (the Act). </w:t>
      </w:r>
    </w:p>
    <w:p w:rsidR="004A4102" w:rsidRPr="004822E1" w:rsidRDefault="004A4102" w:rsidP="00A74D5E">
      <w:pPr>
        <w:jc w:val="both"/>
        <w:rPr>
          <w:rFonts w:ascii="Arial" w:hAnsi="Arial" w:cs="Arial"/>
        </w:rPr>
      </w:pPr>
    </w:p>
    <w:p w:rsidR="004A4102" w:rsidRPr="004822E1" w:rsidRDefault="004A4102" w:rsidP="00A74D5E">
      <w:pPr>
        <w:jc w:val="both"/>
        <w:rPr>
          <w:rFonts w:ascii="Arial" w:hAnsi="Arial" w:cs="Arial"/>
        </w:rPr>
      </w:pPr>
      <w:r w:rsidRPr="004822E1">
        <w:rPr>
          <w:rFonts w:ascii="Arial" w:hAnsi="Arial" w:cs="Arial"/>
        </w:rPr>
        <w:t xml:space="preserve">The purpose of the Specification is to specify a class of debts </w:t>
      </w:r>
      <w:r w:rsidR="007E7051">
        <w:rPr>
          <w:rFonts w:ascii="Arial" w:hAnsi="Arial" w:cs="Arial"/>
        </w:rPr>
        <w:t xml:space="preserve">arising under the Act </w:t>
      </w:r>
      <w:r w:rsidRPr="004822E1">
        <w:rPr>
          <w:rFonts w:ascii="Arial" w:hAnsi="Arial" w:cs="Arial"/>
        </w:rPr>
        <w:t>that may be waived</w:t>
      </w:r>
      <w:r w:rsidR="007E7051">
        <w:rPr>
          <w:rFonts w:ascii="Arial" w:hAnsi="Arial" w:cs="Arial"/>
        </w:rPr>
        <w:t xml:space="preserve"> by the Secretary</w:t>
      </w:r>
      <w:r w:rsidRPr="004822E1">
        <w:rPr>
          <w:rFonts w:ascii="Arial" w:hAnsi="Arial" w:cs="Arial"/>
        </w:rPr>
        <w:t>.</w:t>
      </w:r>
    </w:p>
    <w:p w:rsidR="005E73E1" w:rsidRPr="004822E1" w:rsidRDefault="005E73E1" w:rsidP="00A74D5E">
      <w:pPr>
        <w:jc w:val="both"/>
        <w:rPr>
          <w:rFonts w:ascii="Arial" w:hAnsi="Arial" w:cs="Arial"/>
          <w:b/>
          <w:highlight w:val="yellow"/>
        </w:rPr>
      </w:pPr>
    </w:p>
    <w:p w:rsidR="00A74D5E" w:rsidRPr="005C3B8A" w:rsidRDefault="00A74D5E" w:rsidP="00A74D5E">
      <w:pPr>
        <w:jc w:val="both"/>
        <w:rPr>
          <w:rFonts w:ascii="Arial" w:hAnsi="Arial" w:cs="Arial"/>
          <w:b/>
        </w:rPr>
      </w:pPr>
      <w:r w:rsidRPr="005C3B8A">
        <w:rPr>
          <w:rFonts w:ascii="Arial" w:hAnsi="Arial" w:cs="Arial"/>
          <w:b/>
        </w:rPr>
        <w:t>Background</w:t>
      </w:r>
    </w:p>
    <w:p w:rsidR="00A74D5E" w:rsidRPr="005C3B8A" w:rsidRDefault="00A74D5E" w:rsidP="00A74D5E">
      <w:pPr>
        <w:jc w:val="both"/>
        <w:rPr>
          <w:rFonts w:ascii="Arial" w:hAnsi="Arial" w:cs="Arial"/>
          <w:b/>
        </w:rPr>
      </w:pPr>
    </w:p>
    <w:p w:rsidR="00A74D5E" w:rsidRPr="005C3B8A" w:rsidRDefault="004A4102" w:rsidP="00A74D5E">
      <w:pPr>
        <w:jc w:val="both"/>
        <w:rPr>
          <w:rFonts w:ascii="Arial" w:hAnsi="Arial" w:cs="Arial"/>
        </w:rPr>
      </w:pPr>
      <w:r w:rsidRPr="005C3B8A">
        <w:rPr>
          <w:rFonts w:ascii="Arial" w:hAnsi="Arial" w:cs="Arial"/>
        </w:rPr>
        <w:t>S</w:t>
      </w:r>
      <w:r w:rsidR="003A4119" w:rsidRPr="005C3B8A">
        <w:rPr>
          <w:rFonts w:ascii="Arial" w:hAnsi="Arial" w:cs="Arial"/>
        </w:rPr>
        <w:t>ubs</w:t>
      </w:r>
      <w:r w:rsidRPr="005C3B8A">
        <w:rPr>
          <w:rFonts w:ascii="Arial" w:hAnsi="Arial" w:cs="Arial"/>
        </w:rPr>
        <w:t>ection 1237AB</w:t>
      </w:r>
      <w:r w:rsidR="003A4119" w:rsidRPr="005C3B8A">
        <w:rPr>
          <w:rFonts w:ascii="Arial" w:hAnsi="Arial" w:cs="Arial"/>
        </w:rPr>
        <w:t>(1)</w:t>
      </w:r>
      <w:r w:rsidRPr="005C3B8A">
        <w:rPr>
          <w:rFonts w:ascii="Arial" w:hAnsi="Arial" w:cs="Arial"/>
        </w:rPr>
        <w:t xml:space="preserve"> of the Act</w:t>
      </w:r>
      <w:r w:rsidR="00A74D5E" w:rsidRPr="005C3B8A">
        <w:rPr>
          <w:rFonts w:ascii="Arial" w:hAnsi="Arial" w:cs="Arial"/>
        </w:rPr>
        <w:t xml:space="preserve"> provides that the Secretary may decide to waive the Commonwealth’s right to recover debts arising under the Act that </w:t>
      </w:r>
      <w:r w:rsidR="00D177F4" w:rsidRPr="005C3B8A">
        <w:rPr>
          <w:rFonts w:ascii="Arial" w:hAnsi="Arial" w:cs="Arial"/>
        </w:rPr>
        <w:t>are included as a class of debts specified by the Minister by legislative instrument.</w:t>
      </w:r>
    </w:p>
    <w:p w:rsidR="00D177F4" w:rsidRPr="005C3B8A" w:rsidRDefault="00D177F4" w:rsidP="00A74D5E">
      <w:pPr>
        <w:jc w:val="both"/>
        <w:rPr>
          <w:rFonts w:ascii="Arial" w:hAnsi="Arial" w:cs="Arial"/>
        </w:rPr>
      </w:pPr>
    </w:p>
    <w:p w:rsidR="00877E3B" w:rsidRPr="005C3B8A" w:rsidRDefault="00437C3F" w:rsidP="00A74D5E">
      <w:pPr>
        <w:jc w:val="both"/>
        <w:rPr>
          <w:rFonts w:ascii="Arial" w:hAnsi="Arial" w:cs="Arial"/>
        </w:rPr>
      </w:pPr>
      <w:r w:rsidRPr="005C3B8A">
        <w:rPr>
          <w:rFonts w:ascii="Arial" w:hAnsi="Arial" w:cs="Arial"/>
        </w:rPr>
        <w:t>Income streams sourced from a self managed superannuation fund</w:t>
      </w:r>
      <w:r w:rsidR="00877E3B" w:rsidRPr="005C3B8A">
        <w:rPr>
          <w:rFonts w:ascii="Arial" w:hAnsi="Arial" w:cs="Arial"/>
        </w:rPr>
        <w:t xml:space="preserve"> or a small APRA </w:t>
      </w:r>
      <w:r w:rsidR="00DA0BC3" w:rsidRPr="005C3B8A">
        <w:rPr>
          <w:rFonts w:ascii="Arial" w:hAnsi="Arial" w:cs="Arial"/>
        </w:rPr>
        <w:t xml:space="preserve">(Australian Prudential Regulation Authority) </w:t>
      </w:r>
      <w:r w:rsidR="00877E3B" w:rsidRPr="005C3B8A">
        <w:rPr>
          <w:rFonts w:ascii="Arial" w:hAnsi="Arial" w:cs="Arial"/>
        </w:rPr>
        <w:t>fund:</w:t>
      </w:r>
      <w:r w:rsidRPr="005C3B8A">
        <w:rPr>
          <w:rFonts w:ascii="Arial" w:hAnsi="Arial" w:cs="Arial"/>
        </w:rPr>
        <w:t xml:space="preserve"> </w:t>
      </w:r>
    </w:p>
    <w:p w:rsidR="00877E3B" w:rsidRPr="005C3B8A" w:rsidRDefault="00877E3B" w:rsidP="00A74D5E">
      <w:pPr>
        <w:jc w:val="both"/>
        <w:rPr>
          <w:rFonts w:ascii="Arial" w:hAnsi="Arial" w:cs="Arial"/>
        </w:rPr>
      </w:pPr>
    </w:p>
    <w:p w:rsidR="00877E3B" w:rsidRPr="005C3B8A" w:rsidRDefault="00437C3F" w:rsidP="00877E3B">
      <w:pPr>
        <w:numPr>
          <w:ilvl w:val="0"/>
          <w:numId w:val="4"/>
        </w:numPr>
        <w:jc w:val="both"/>
        <w:rPr>
          <w:rFonts w:ascii="Arial" w:hAnsi="Arial" w:cs="Arial"/>
        </w:rPr>
      </w:pPr>
      <w:r w:rsidRPr="005C3B8A">
        <w:rPr>
          <w:rFonts w:ascii="Arial" w:hAnsi="Arial" w:cs="Arial"/>
        </w:rPr>
        <w:t>before 20</w:t>
      </w:r>
      <w:r w:rsidR="006364FC" w:rsidRPr="005C3B8A">
        <w:rPr>
          <w:rFonts w:ascii="Arial" w:hAnsi="Arial" w:cs="Arial"/>
        </w:rPr>
        <w:t> </w:t>
      </w:r>
      <w:r w:rsidRPr="005C3B8A">
        <w:rPr>
          <w:rFonts w:ascii="Arial" w:hAnsi="Arial" w:cs="Arial"/>
        </w:rPr>
        <w:t>September 200</w:t>
      </w:r>
      <w:r w:rsidR="00156301" w:rsidRPr="005C3B8A">
        <w:rPr>
          <w:rFonts w:ascii="Arial" w:hAnsi="Arial" w:cs="Arial"/>
        </w:rPr>
        <w:t xml:space="preserve">4 (or </w:t>
      </w:r>
      <w:r w:rsidR="00B97B82" w:rsidRPr="005C3B8A">
        <w:rPr>
          <w:rFonts w:ascii="Arial" w:hAnsi="Arial" w:cs="Arial"/>
        </w:rPr>
        <w:t xml:space="preserve">that </w:t>
      </w:r>
      <w:r w:rsidR="00156301" w:rsidRPr="005C3B8A">
        <w:rPr>
          <w:rFonts w:ascii="Arial" w:hAnsi="Arial" w:cs="Arial"/>
        </w:rPr>
        <w:t xml:space="preserve">were commuted and rolled over </w:t>
      </w:r>
      <w:r w:rsidR="00F52E97" w:rsidRPr="005C3B8A">
        <w:rPr>
          <w:rFonts w:ascii="Arial" w:hAnsi="Arial" w:cs="Arial"/>
        </w:rPr>
        <w:t>on or after</w:t>
      </w:r>
      <w:r w:rsidR="00156301" w:rsidRPr="005C3B8A">
        <w:rPr>
          <w:rFonts w:ascii="Arial" w:hAnsi="Arial" w:cs="Arial"/>
        </w:rPr>
        <w:t xml:space="preserve"> 20</w:t>
      </w:r>
      <w:r w:rsidR="00877E3B" w:rsidRPr="005C3B8A">
        <w:rPr>
          <w:rFonts w:ascii="Arial" w:hAnsi="Arial" w:cs="Arial"/>
        </w:rPr>
        <w:t> </w:t>
      </w:r>
      <w:r w:rsidR="00F121AF" w:rsidRPr="005C3B8A">
        <w:rPr>
          <w:rFonts w:ascii="Arial" w:hAnsi="Arial" w:cs="Arial"/>
        </w:rPr>
        <w:t xml:space="preserve">September 2004 </w:t>
      </w:r>
      <w:r w:rsidR="00F343D5" w:rsidRPr="005C3B8A">
        <w:rPr>
          <w:rFonts w:ascii="Arial" w:hAnsi="Arial" w:cs="Arial"/>
        </w:rPr>
        <w:t>from those</w:t>
      </w:r>
      <w:r w:rsidR="00743B0C" w:rsidRPr="005C3B8A">
        <w:rPr>
          <w:rFonts w:ascii="Arial" w:hAnsi="Arial" w:cs="Arial"/>
        </w:rPr>
        <w:t xml:space="preserve"> income stream</w:t>
      </w:r>
      <w:r w:rsidR="00DF1044" w:rsidRPr="005C3B8A">
        <w:rPr>
          <w:rFonts w:ascii="Arial" w:hAnsi="Arial" w:cs="Arial"/>
        </w:rPr>
        <w:t>s</w:t>
      </w:r>
      <w:r w:rsidR="00743B0C" w:rsidRPr="005C3B8A">
        <w:rPr>
          <w:rFonts w:ascii="Arial" w:hAnsi="Arial" w:cs="Arial"/>
        </w:rPr>
        <w:t xml:space="preserve"> </w:t>
      </w:r>
      <w:r w:rsidR="00156301" w:rsidRPr="005C3B8A">
        <w:rPr>
          <w:rFonts w:ascii="Arial" w:hAnsi="Arial" w:cs="Arial"/>
        </w:rPr>
        <w:t>and retained their 100</w:t>
      </w:r>
      <w:r w:rsidR="004E1222" w:rsidRPr="005C3B8A">
        <w:rPr>
          <w:rFonts w:ascii="Arial" w:hAnsi="Arial" w:cs="Arial"/>
        </w:rPr>
        <w:t xml:space="preserve"> percent</w:t>
      </w:r>
      <w:r w:rsidR="00156301" w:rsidRPr="005C3B8A">
        <w:rPr>
          <w:rFonts w:ascii="Arial" w:hAnsi="Arial" w:cs="Arial"/>
        </w:rPr>
        <w:t xml:space="preserve"> exemption)</w:t>
      </w:r>
      <w:r w:rsidR="00877E3B" w:rsidRPr="005C3B8A">
        <w:rPr>
          <w:rFonts w:ascii="Arial" w:hAnsi="Arial" w:cs="Arial"/>
        </w:rPr>
        <w:t>; or</w:t>
      </w:r>
    </w:p>
    <w:p w:rsidR="00F121AF" w:rsidRPr="005C3B8A" w:rsidRDefault="00877E3B" w:rsidP="00877E3B">
      <w:pPr>
        <w:numPr>
          <w:ilvl w:val="0"/>
          <w:numId w:val="4"/>
        </w:numPr>
        <w:jc w:val="both"/>
        <w:rPr>
          <w:rFonts w:ascii="Arial" w:hAnsi="Arial" w:cs="Arial"/>
        </w:rPr>
      </w:pPr>
      <w:r w:rsidRPr="005C3B8A">
        <w:rPr>
          <w:rFonts w:ascii="Arial" w:hAnsi="Arial" w:cs="Arial"/>
        </w:rPr>
        <w:t xml:space="preserve">between </w:t>
      </w:r>
      <w:r w:rsidR="00F121AF" w:rsidRPr="005C3B8A">
        <w:rPr>
          <w:rFonts w:ascii="Arial" w:hAnsi="Arial" w:cs="Arial"/>
        </w:rPr>
        <w:t>20 September 2004 and 19 September 2007</w:t>
      </w:r>
      <w:r w:rsidR="00F52E97" w:rsidRPr="005C3B8A">
        <w:rPr>
          <w:rFonts w:ascii="Arial" w:hAnsi="Arial" w:cs="Arial"/>
        </w:rPr>
        <w:t xml:space="preserve"> (or that were commuted and rolled over on or after 20 September 2007 from those income streams and retained their 50</w:t>
      </w:r>
      <w:r w:rsidR="004E1222" w:rsidRPr="005C3B8A">
        <w:rPr>
          <w:rFonts w:ascii="Arial" w:hAnsi="Arial" w:cs="Arial"/>
        </w:rPr>
        <w:t xml:space="preserve"> percent</w:t>
      </w:r>
      <w:r w:rsidR="00F52E97" w:rsidRPr="005C3B8A">
        <w:rPr>
          <w:rFonts w:ascii="Arial" w:hAnsi="Arial" w:cs="Arial"/>
        </w:rPr>
        <w:t xml:space="preserve"> asset-test exemption)</w:t>
      </w:r>
      <w:r w:rsidR="00F121AF" w:rsidRPr="005C3B8A">
        <w:rPr>
          <w:rFonts w:ascii="Arial" w:hAnsi="Arial" w:cs="Arial"/>
        </w:rPr>
        <w:t>;</w:t>
      </w:r>
      <w:r w:rsidR="00437C3F" w:rsidRPr="005C3B8A">
        <w:rPr>
          <w:rFonts w:ascii="Arial" w:hAnsi="Arial" w:cs="Arial"/>
        </w:rPr>
        <w:t xml:space="preserve"> and </w:t>
      </w:r>
    </w:p>
    <w:p w:rsidR="00F121AF" w:rsidRPr="004822E1" w:rsidRDefault="00F121AF" w:rsidP="00F121AF">
      <w:pPr>
        <w:jc w:val="both"/>
        <w:rPr>
          <w:rFonts w:ascii="Arial" w:hAnsi="Arial" w:cs="Arial"/>
          <w:highlight w:val="yellow"/>
        </w:rPr>
      </w:pPr>
    </w:p>
    <w:p w:rsidR="00437C3F" w:rsidRPr="005C3B8A" w:rsidRDefault="00437C3F" w:rsidP="00F121AF">
      <w:pPr>
        <w:jc w:val="both"/>
        <w:rPr>
          <w:rFonts w:ascii="Arial" w:hAnsi="Arial" w:cs="Arial"/>
        </w:rPr>
      </w:pPr>
      <w:r w:rsidRPr="005C3B8A">
        <w:rPr>
          <w:rFonts w:ascii="Arial" w:hAnsi="Arial" w:cs="Arial"/>
        </w:rPr>
        <w:t>which comply w</w:t>
      </w:r>
      <w:r w:rsidR="00B97B82" w:rsidRPr="005C3B8A">
        <w:rPr>
          <w:rFonts w:ascii="Arial" w:hAnsi="Arial" w:cs="Arial"/>
        </w:rPr>
        <w:t>ith the requirements of section</w:t>
      </w:r>
      <w:r w:rsidRPr="005C3B8A">
        <w:rPr>
          <w:rFonts w:ascii="Arial" w:hAnsi="Arial" w:cs="Arial"/>
        </w:rPr>
        <w:t xml:space="preserve"> 9A </w:t>
      </w:r>
      <w:r w:rsidR="00B97B82" w:rsidRPr="005C3B8A">
        <w:rPr>
          <w:rFonts w:ascii="Arial" w:hAnsi="Arial" w:cs="Arial"/>
        </w:rPr>
        <w:t>or</w:t>
      </w:r>
      <w:r w:rsidRPr="005C3B8A">
        <w:rPr>
          <w:rFonts w:ascii="Arial" w:hAnsi="Arial" w:cs="Arial"/>
        </w:rPr>
        <w:t xml:space="preserve"> 9B of the Act, are </w:t>
      </w:r>
      <w:r w:rsidR="005143EE">
        <w:rPr>
          <w:rFonts w:ascii="Arial" w:hAnsi="Arial" w:cs="Arial"/>
        </w:rPr>
        <w:t xml:space="preserve">100 per cent or 50 per cent </w:t>
      </w:r>
      <w:r w:rsidRPr="005C3B8A">
        <w:rPr>
          <w:rFonts w:ascii="Arial" w:hAnsi="Arial" w:cs="Arial"/>
        </w:rPr>
        <w:t>asset</w:t>
      </w:r>
      <w:r w:rsidR="00F379EB" w:rsidRPr="005C3B8A">
        <w:rPr>
          <w:rFonts w:ascii="Arial" w:hAnsi="Arial" w:cs="Arial"/>
        </w:rPr>
        <w:noBreakHyphen/>
      </w:r>
      <w:r w:rsidRPr="005C3B8A">
        <w:rPr>
          <w:rFonts w:ascii="Arial" w:hAnsi="Arial" w:cs="Arial"/>
        </w:rPr>
        <w:t xml:space="preserve">test exempt.  If these income streams are commuted, the asset-test exemption may be retained provided the new income stream complies with the requirements of the </w:t>
      </w:r>
      <w:r w:rsidRPr="005C3B8A">
        <w:rPr>
          <w:rFonts w:ascii="Arial" w:hAnsi="Arial" w:cs="Arial"/>
          <w:i/>
        </w:rPr>
        <w:t>S</w:t>
      </w:r>
      <w:r w:rsidR="003A4119" w:rsidRPr="005C3B8A">
        <w:rPr>
          <w:rFonts w:ascii="Arial" w:hAnsi="Arial" w:cs="Arial"/>
          <w:i/>
        </w:rPr>
        <w:t>ocial Security (Guidelines for D</w:t>
      </w:r>
      <w:r w:rsidRPr="005C3B8A">
        <w:rPr>
          <w:rFonts w:ascii="Arial" w:hAnsi="Arial" w:cs="Arial"/>
          <w:i/>
        </w:rPr>
        <w:t>etermining whether Income Stream is Asset-test Exempt) (</w:t>
      </w:r>
      <w:r w:rsidR="00321DCF">
        <w:rPr>
          <w:rFonts w:ascii="Arial" w:hAnsi="Arial" w:cs="Arial"/>
          <w:i/>
        </w:rPr>
        <w:t>DEST</w:t>
      </w:r>
      <w:r w:rsidRPr="005C3B8A">
        <w:rPr>
          <w:rFonts w:ascii="Arial" w:hAnsi="Arial" w:cs="Arial"/>
          <w:i/>
        </w:rPr>
        <w:t>) Determination 2007 (No. 1)</w:t>
      </w:r>
      <w:r w:rsidR="00F04CD1" w:rsidRPr="005C3B8A">
        <w:rPr>
          <w:rFonts w:ascii="Arial" w:hAnsi="Arial" w:cs="Arial"/>
          <w:i/>
        </w:rPr>
        <w:t xml:space="preserve"> </w:t>
      </w:r>
      <w:r w:rsidR="00321DCF">
        <w:rPr>
          <w:rFonts w:ascii="Arial" w:hAnsi="Arial" w:cs="Arial"/>
        </w:rPr>
        <w:t xml:space="preserve">or the </w:t>
      </w:r>
      <w:r w:rsidR="00321DCF" w:rsidRPr="005C3B8A">
        <w:rPr>
          <w:rFonts w:ascii="Arial" w:hAnsi="Arial" w:cs="Arial"/>
          <w:i/>
        </w:rPr>
        <w:t>Social Security (Guidelines for Determining whether Income Stream is Asset-test Exempt) (</w:t>
      </w:r>
      <w:r w:rsidR="00321DCF">
        <w:rPr>
          <w:rFonts w:ascii="Arial" w:hAnsi="Arial" w:cs="Arial"/>
          <w:i/>
        </w:rPr>
        <w:t>DEWR</w:t>
      </w:r>
      <w:r w:rsidR="00321DCF" w:rsidRPr="005C3B8A">
        <w:rPr>
          <w:rFonts w:ascii="Arial" w:hAnsi="Arial" w:cs="Arial"/>
          <w:i/>
        </w:rPr>
        <w:t xml:space="preserve">) Determination 2007 (No. 1) </w:t>
      </w:r>
      <w:r w:rsidR="00F04CD1" w:rsidRPr="005C3B8A">
        <w:rPr>
          <w:rFonts w:ascii="Arial" w:hAnsi="Arial" w:cs="Arial"/>
        </w:rPr>
        <w:t xml:space="preserve">or the </w:t>
      </w:r>
      <w:r w:rsidR="00321DCF" w:rsidRPr="005C3B8A">
        <w:rPr>
          <w:rFonts w:ascii="Arial" w:hAnsi="Arial" w:cs="Arial"/>
          <w:i/>
        </w:rPr>
        <w:t>Social Security (Retention of Exemption for Asset-test Exempt Income Streams) (</w:t>
      </w:r>
      <w:r w:rsidR="00321DCF">
        <w:rPr>
          <w:rFonts w:ascii="Arial" w:hAnsi="Arial" w:cs="Arial"/>
          <w:i/>
        </w:rPr>
        <w:t>DEST</w:t>
      </w:r>
      <w:r w:rsidR="00321DCF" w:rsidRPr="005C3B8A">
        <w:rPr>
          <w:rFonts w:ascii="Arial" w:hAnsi="Arial" w:cs="Arial"/>
          <w:i/>
        </w:rPr>
        <w:t>) Principles 2007</w:t>
      </w:r>
      <w:r w:rsidR="00321DCF">
        <w:rPr>
          <w:rFonts w:ascii="Arial" w:hAnsi="Arial" w:cs="Arial"/>
        </w:rPr>
        <w:t xml:space="preserve"> or the </w:t>
      </w:r>
      <w:r w:rsidR="00321DCF" w:rsidRPr="005C3B8A">
        <w:rPr>
          <w:rFonts w:ascii="Arial" w:hAnsi="Arial" w:cs="Arial"/>
          <w:i/>
        </w:rPr>
        <w:t>Social Security (Retention of Exemption for Asset-test Exempt Income Streams) (</w:t>
      </w:r>
      <w:r w:rsidR="00321DCF">
        <w:rPr>
          <w:rFonts w:ascii="Arial" w:hAnsi="Arial" w:cs="Arial"/>
          <w:i/>
        </w:rPr>
        <w:t>DEWR</w:t>
      </w:r>
      <w:r w:rsidR="00321DCF" w:rsidRPr="005C3B8A">
        <w:rPr>
          <w:rFonts w:ascii="Arial" w:hAnsi="Arial" w:cs="Arial"/>
          <w:i/>
        </w:rPr>
        <w:t>) Principles 2007</w:t>
      </w:r>
      <w:r w:rsidRPr="005C3B8A">
        <w:rPr>
          <w:rFonts w:ascii="Arial" w:hAnsi="Arial" w:cs="Arial"/>
        </w:rPr>
        <w:t>.</w:t>
      </w:r>
      <w:r w:rsidR="00F52E97" w:rsidRPr="005C3B8A">
        <w:rPr>
          <w:rFonts w:ascii="Arial" w:hAnsi="Arial" w:cs="Arial"/>
        </w:rPr>
        <w:t xml:space="preserve">  These requirements include commuting the income stream and purchasing a similar income stream product from a retail provider.  This option is available at any time to the owner of the income stream under this instrument.</w:t>
      </w:r>
    </w:p>
    <w:p w:rsidR="00437C3F" w:rsidRPr="005C3B8A" w:rsidRDefault="00437C3F" w:rsidP="00A74D5E">
      <w:pPr>
        <w:jc w:val="both"/>
        <w:rPr>
          <w:rFonts w:ascii="Arial" w:hAnsi="Arial" w:cs="Arial"/>
        </w:rPr>
      </w:pPr>
    </w:p>
    <w:p w:rsidR="009342CD" w:rsidRPr="005C3B8A" w:rsidRDefault="0095795B" w:rsidP="00540972">
      <w:pPr>
        <w:autoSpaceDE w:val="0"/>
        <w:autoSpaceDN w:val="0"/>
        <w:adjustRightInd w:val="0"/>
        <w:jc w:val="both"/>
        <w:rPr>
          <w:rFonts w:ascii="Arial" w:hAnsi="Arial" w:cs="Arial"/>
          <w:color w:val="000000"/>
        </w:rPr>
      </w:pPr>
      <w:r w:rsidRPr="005C3B8A">
        <w:rPr>
          <w:rFonts w:ascii="Arial" w:hAnsi="Arial" w:cs="Arial"/>
          <w:color w:val="000000"/>
        </w:rPr>
        <w:t>These income streams</w:t>
      </w:r>
      <w:r w:rsidR="009342CD" w:rsidRPr="005C3B8A">
        <w:rPr>
          <w:rFonts w:ascii="Arial" w:hAnsi="Arial" w:cs="Arial"/>
          <w:color w:val="000000"/>
        </w:rPr>
        <w:t xml:space="preserve"> are required</w:t>
      </w:r>
      <w:r w:rsidR="00551F69" w:rsidRPr="005C3B8A">
        <w:rPr>
          <w:rFonts w:ascii="Arial" w:hAnsi="Arial" w:cs="Arial"/>
          <w:color w:val="000000"/>
        </w:rPr>
        <w:t>, among other things,</w:t>
      </w:r>
      <w:r w:rsidR="009342CD" w:rsidRPr="005C3B8A">
        <w:rPr>
          <w:rFonts w:ascii="Arial" w:hAnsi="Arial" w:cs="Arial"/>
          <w:color w:val="000000"/>
        </w:rPr>
        <w:t xml:space="preserve"> to meet a ‘high probability’ actuarial test that </w:t>
      </w:r>
      <w:r w:rsidR="00B97B82" w:rsidRPr="005C3B8A">
        <w:rPr>
          <w:rFonts w:ascii="Arial" w:hAnsi="Arial" w:cs="Arial"/>
          <w:color w:val="000000"/>
        </w:rPr>
        <w:t xml:space="preserve">the provider of the income stream will be able to </w:t>
      </w:r>
      <w:r w:rsidR="00B97B82" w:rsidRPr="005C3B8A">
        <w:rPr>
          <w:rFonts w:ascii="Arial" w:hAnsi="Arial" w:cs="Arial"/>
          <w:color w:val="000000"/>
        </w:rPr>
        <w:lastRenderedPageBreak/>
        <w:t>pay the income stream as required,</w:t>
      </w:r>
      <w:r w:rsidR="009342CD" w:rsidRPr="005C3B8A">
        <w:rPr>
          <w:rFonts w:ascii="Arial" w:hAnsi="Arial" w:cs="Arial"/>
          <w:color w:val="000000"/>
        </w:rPr>
        <w:t xml:space="preserve"> so as to </w:t>
      </w:r>
      <w:r w:rsidRPr="005C3B8A">
        <w:rPr>
          <w:rFonts w:ascii="Arial" w:hAnsi="Arial" w:cs="Arial"/>
        </w:rPr>
        <w:t>comply w</w:t>
      </w:r>
      <w:r w:rsidR="00B97B82" w:rsidRPr="005C3B8A">
        <w:rPr>
          <w:rFonts w:ascii="Arial" w:hAnsi="Arial" w:cs="Arial"/>
        </w:rPr>
        <w:t>ith the requirements of section</w:t>
      </w:r>
      <w:r w:rsidRPr="005C3B8A">
        <w:rPr>
          <w:rFonts w:ascii="Arial" w:hAnsi="Arial" w:cs="Arial"/>
        </w:rPr>
        <w:t xml:space="preserve"> 9A </w:t>
      </w:r>
      <w:r w:rsidR="00B97B82" w:rsidRPr="005C3B8A">
        <w:rPr>
          <w:rFonts w:ascii="Arial" w:hAnsi="Arial" w:cs="Arial"/>
        </w:rPr>
        <w:t>or</w:t>
      </w:r>
      <w:r w:rsidRPr="005C3B8A">
        <w:rPr>
          <w:rFonts w:ascii="Arial" w:hAnsi="Arial" w:cs="Arial"/>
        </w:rPr>
        <w:t xml:space="preserve"> 9B of the Act</w:t>
      </w:r>
      <w:r w:rsidR="009342CD" w:rsidRPr="005C3B8A">
        <w:rPr>
          <w:rFonts w:ascii="Arial" w:hAnsi="Arial" w:cs="Arial"/>
          <w:color w:val="000000"/>
        </w:rPr>
        <w:t xml:space="preserve">.  However, some </w:t>
      </w:r>
      <w:r w:rsidRPr="005C3B8A">
        <w:rPr>
          <w:rFonts w:ascii="Arial" w:hAnsi="Arial" w:cs="Arial"/>
        </w:rPr>
        <w:t>self managed superannuation funds</w:t>
      </w:r>
      <w:r w:rsidR="00781AA2" w:rsidRPr="005C3B8A">
        <w:rPr>
          <w:rFonts w:ascii="Arial" w:hAnsi="Arial" w:cs="Arial"/>
        </w:rPr>
        <w:t xml:space="preserve"> or small APRA funds</w:t>
      </w:r>
      <w:r w:rsidRPr="005C3B8A">
        <w:rPr>
          <w:rFonts w:ascii="Arial" w:hAnsi="Arial" w:cs="Arial"/>
        </w:rPr>
        <w:t xml:space="preserve"> </w:t>
      </w:r>
      <w:r w:rsidR="009342CD" w:rsidRPr="005C3B8A">
        <w:rPr>
          <w:rFonts w:ascii="Arial" w:hAnsi="Arial" w:cs="Arial"/>
          <w:color w:val="000000"/>
        </w:rPr>
        <w:t xml:space="preserve">may </w:t>
      </w:r>
      <w:r w:rsidR="006C6438" w:rsidRPr="005C3B8A">
        <w:rPr>
          <w:rFonts w:ascii="Arial" w:hAnsi="Arial" w:cs="Arial"/>
          <w:color w:val="000000"/>
        </w:rPr>
        <w:t>no longer</w:t>
      </w:r>
      <w:r w:rsidR="009342CD" w:rsidRPr="005C3B8A">
        <w:rPr>
          <w:rFonts w:ascii="Arial" w:hAnsi="Arial" w:cs="Arial"/>
          <w:color w:val="000000"/>
        </w:rPr>
        <w:t xml:space="preserve"> be able to meet this requirement due to </w:t>
      </w:r>
      <w:r w:rsidR="00F52E97" w:rsidRPr="005C3B8A">
        <w:rPr>
          <w:rFonts w:ascii="Arial" w:hAnsi="Arial" w:cs="Arial"/>
          <w:color w:val="000000"/>
        </w:rPr>
        <w:t>changes in the value of assets backing their income stream</w:t>
      </w:r>
      <w:r w:rsidR="009342CD" w:rsidRPr="005C3B8A">
        <w:rPr>
          <w:rFonts w:ascii="Arial" w:hAnsi="Arial" w:cs="Arial"/>
          <w:color w:val="000000"/>
        </w:rPr>
        <w:t>.</w:t>
      </w:r>
    </w:p>
    <w:p w:rsidR="009342CD" w:rsidRPr="004822E1" w:rsidRDefault="009342CD" w:rsidP="00540972">
      <w:pPr>
        <w:jc w:val="both"/>
        <w:rPr>
          <w:rFonts w:ascii="Arial" w:hAnsi="Arial" w:cs="Arial"/>
          <w:highlight w:val="yellow"/>
        </w:rPr>
      </w:pPr>
    </w:p>
    <w:p w:rsidR="00B85C89" w:rsidRPr="005C3B8A" w:rsidRDefault="00B85C89" w:rsidP="00540972">
      <w:pPr>
        <w:jc w:val="both"/>
        <w:rPr>
          <w:rFonts w:ascii="Arial" w:hAnsi="Arial" w:cs="Arial"/>
        </w:rPr>
      </w:pPr>
      <w:r w:rsidRPr="005C3B8A">
        <w:rPr>
          <w:rFonts w:ascii="Arial" w:hAnsi="Arial" w:cs="Arial"/>
        </w:rPr>
        <w:t>Where an income stream</w:t>
      </w:r>
      <w:r w:rsidR="00A71A41" w:rsidRPr="005C3B8A">
        <w:rPr>
          <w:rFonts w:ascii="Arial" w:hAnsi="Arial" w:cs="Arial"/>
        </w:rPr>
        <w:t xml:space="preserve"> do</w:t>
      </w:r>
      <w:r w:rsidRPr="005C3B8A">
        <w:rPr>
          <w:rFonts w:ascii="Arial" w:hAnsi="Arial" w:cs="Arial"/>
        </w:rPr>
        <w:t>es</w:t>
      </w:r>
      <w:r w:rsidR="00A71A41" w:rsidRPr="005C3B8A">
        <w:rPr>
          <w:rFonts w:ascii="Arial" w:hAnsi="Arial" w:cs="Arial"/>
        </w:rPr>
        <w:t xml:space="preserve"> not meet the high probability test</w:t>
      </w:r>
      <w:r w:rsidRPr="005C3B8A">
        <w:rPr>
          <w:rFonts w:ascii="Arial" w:hAnsi="Arial" w:cs="Arial"/>
        </w:rPr>
        <w:t>, it may</w:t>
      </w:r>
      <w:r w:rsidR="00A71A41" w:rsidRPr="005C3B8A">
        <w:rPr>
          <w:rFonts w:ascii="Arial" w:hAnsi="Arial" w:cs="Arial"/>
        </w:rPr>
        <w:t xml:space="preserve"> be restructured by purchasing a retail </w:t>
      </w:r>
      <w:r w:rsidR="00BE2787" w:rsidRPr="005C3B8A">
        <w:rPr>
          <w:rFonts w:ascii="Arial" w:hAnsi="Arial" w:cs="Arial"/>
        </w:rPr>
        <w:t>asset-</w:t>
      </w:r>
      <w:r w:rsidR="006C6438" w:rsidRPr="005C3B8A">
        <w:rPr>
          <w:rFonts w:ascii="Arial" w:hAnsi="Arial" w:cs="Arial"/>
        </w:rPr>
        <w:t>test exempt</w:t>
      </w:r>
      <w:r w:rsidR="00A71A41" w:rsidRPr="005C3B8A">
        <w:rPr>
          <w:rFonts w:ascii="Arial" w:hAnsi="Arial" w:cs="Arial"/>
        </w:rPr>
        <w:t xml:space="preserve"> product</w:t>
      </w:r>
      <w:r w:rsidR="00300C4F" w:rsidRPr="005C3B8A">
        <w:rPr>
          <w:rFonts w:ascii="Arial" w:hAnsi="Arial" w:cs="Arial"/>
        </w:rPr>
        <w:t xml:space="preserve"> (which will co</w:t>
      </w:r>
      <w:r w:rsidR="00C226DD" w:rsidRPr="005C3B8A">
        <w:rPr>
          <w:rFonts w:ascii="Arial" w:hAnsi="Arial" w:cs="Arial"/>
        </w:rPr>
        <w:t>m</w:t>
      </w:r>
      <w:r w:rsidR="00300C4F" w:rsidRPr="005C3B8A">
        <w:rPr>
          <w:rFonts w:ascii="Arial" w:hAnsi="Arial" w:cs="Arial"/>
        </w:rPr>
        <w:t>ply with the requirements of the social security law)</w:t>
      </w:r>
      <w:r w:rsidRPr="005C3B8A">
        <w:rPr>
          <w:rFonts w:ascii="Arial" w:hAnsi="Arial" w:cs="Arial"/>
        </w:rPr>
        <w:t>.</w:t>
      </w:r>
      <w:r w:rsidR="00A71A41" w:rsidRPr="005C3B8A">
        <w:rPr>
          <w:rFonts w:ascii="Arial" w:hAnsi="Arial" w:cs="Arial"/>
        </w:rPr>
        <w:t xml:space="preserve"> </w:t>
      </w:r>
      <w:r w:rsidRPr="005C3B8A">
        <w:rPr>
          <w:rFonts w:ascii="Arial" w:hAnsi="Arial" w:cs="Arial"/>
        </w:rPr>
        <w:t>In these circumstances, the income stream will continue to be assessed as asset-test exempt.</w:t>
      </w:r>
    </w:p>
    <w:p w:rsidR="00B85C89" w:rsidRPr="005C3B8A" w:rsidRDefault="00B85C89" w:rsidP="00540972">
      <w:pPr>
        <w:jc w:val="both"/>
        <w:rPr>
          <w:rFonts w:ascii="Arial" w:hAnsi="Arial" w:cs="Arial"/>
        </w:rPr>
      </w:pPr>
    </w:p>
    <w:p w:rsidR="00437C3F" w:rsidRPr="005C3B8A" w:rsidRDefault="00B85C89" w:rsidP="00540972">
      <w:pPr>
        <w:jc w:val="both"/>
        <w:rPr>
          <w:rFonts w:ascii="Arial" w:hAnsi="Arial" w:cs="Arial"/>
        </w:rPr>
      </w:pPr>
      <w:r w:rsidRPr="005C3B8A">
        <w:rPr>
          <w:rFonts w:ascii="Arial" w:hAnsi="Arial" w:cs="Arial"/>
        </w:rPr>
        <w:t>A</w:t>
      </w:r>
      <w:r w:rsidR="00300C4F" w:rsidRPr="005C3B8A">
        <w:rPr>
          <w:rFonts w:ascii="Arial" w:hAnsi="Arial" w:cs="Arial"/>
        </w:rPr>
        <w:t>lternatively, the income stream may be restructured into</w:t>
      </w:r>
      <w:r w:rsidR="00A71A41" w:rsidRPr="005C3B8A">
        <w:rPr>
          <w:rFonts w:ascii="Arial" w:hAnsi="Arial" w:cs="Arial"/>
        </w:rPr>
        <w:t xml:space="preserve"> </w:t>
      </w:r>
      <w:r w:rsidR="001A70B0" w:rsidRPr="005C3B8A">
        <w:rPr>
          <w:rFonts w:ascii="Arial" w:hAnsi="Arial" w:cs="Arial"/>
        </w:rPr>
        <w:t>a</w:t>
      </w:r>
      <w:r w:rsidR="00A71A41" w:rsidRPr="005C3B8A">
        <w:rPr>
          <w:rFonts w:ascii="Arial" w:hAnsi="Arial" w:cs="Arial"/>
        </w:rPr>
        <w:t xml:space="preserve"> market-linked income stream </w:t>
      </w:r>
      <w:r w:rsidR="00300C4F" w:rsidRPr="005C3B8A">
        <w:rPr>
          <w:rFonts w:ascii="Arial" w:hAnsi="Arial" w:cs="Arial"/>
        </w:rPr>
        <w:t xml:space="preserve">either from a retail provider or </w:t>
      </w:r>
      <w:r w:rsidR="00A71A41" w:rsidRPr="005C3B8A">
        <w:rPr>
          <w:rFonts w:ascii="Arial" w:hAnsi="Arial" w:cs="Arial"/>
        </w:rPr>
        <w:t xml:space="preserve">within the self managed superannuation fund.  </w:t>
      </w:r>
      <w:r w:rsidR="009342CD" w:rsidRPr="005C3B8A">
        <w:rPr>
          <w:rFonts w:ascii="Arial" w:hAnsi="Arial" w:cs="Arial"/>
        </w:rPr>
        <w:t xml:space="preserve">However, </w:t>
      </w:r>
      <w:r w:rsidR="00300C4F" w:rsidRPr="005C3B8A">
        <w:rPr>
          <w:rFonts w:ascii="Arial" w:hAnsi="Arial" w:cs="Arial"/>
        </w:rPr>
        <w:t>this</w:t>
      </w:r>
      <w:r w:rsidR="00A71A41" w:rsidRPr="005C3B8A">
        <w:rPr>
          <w:rFonts w:ascii="Arial" w:hAnsi="Arial" w:cs="Arial"/>
        </w:rPr>
        <w:t xml:space="preserve"> new income stream will no longer meet the requirements </w:t>
      </w:r>
      <w:r w:rsidR="00DD2EAC" w:rsidRPr="005C3B8A">
        <w:rPr>
          <w:rFonts w:ascii="Arial" w:hAnsi="Arial" w:cs="Arial"/>
        </w:rPr>
        <w:t>of section</w:t>
      </w:r>
      <w:r w:rsidR="00156344" w:rsidRPr="005C3B8A">
        <w:rPr>
          <w:rFonts w:ascii="Arial" w:hAnsi="Arial" w:cs="Arial"/>
        </w:rPr>
        <w:t> </w:t>
      </w:r>
      <w:r w:rsidR="00A71A41" w:rsidRPr="005C3B8A">
        <w:rPr>
          <w:rFonts w:ascii="Arial" w:hAnsi="Arial" w:cs="Arial"/>
        </w:rPr>
        <w:t>9A</w:t>
      </w:r>
      <w:r w:rsidR="00DD2EAC" w:rsidRPr="005C3B8A">
        <w:rPr>
          <w:rFonts w:ascii="Arial" w:hAnsi="Arial" w:cs="Arial"/>
        </w:rPr>
        <w:t xml:space="preserve"> or</w:t>
      </w:r>
      <w:r w:rsidR="00A71A41" w:rsidRPr="005C3B8A">
        <w:rPr>
          <w:rFonts w:ascii="Arial" w:hAnsi="Arial" w:cs="Arial"/>
        </w:rPr>
        <w:t xml:space="preserve"> 9B of the Act.</w:t>
      </w:r>
      <w:r w:rsidR="00DD2EAC" w:rsidRPr="005C3B8A">
        <w:rPr>
          <w:rFonts w:ascii="Arial" w:hAnsi="Arial" w:cs="Arial"/>
        </w:rPr>
        <w:t xml:space="preserve">  The new market-linked income stream will also not meet the requirements of section 9BA as the income stream’s commencement day </w:t>
      </w:r>
      <w:r w:rsidR="00690740" w:rsidRPr="005C3B8A">
        <w:rPr>
          <w:rFonts w:ascii="Arial" w:hAnsi="Arial" w:cs="Arial"/>
        </w:rPr>
        <w:t>would not meet the requirements of subparagraph 9BA(1)(a)(i) of the Act.</w:t>
      </w:r>
      <w:r w:rsidR="009639D3" w:rsidRPr="005C3B8A">
        <w:rPr>
          <w:rFonts w:ascii="Arial" w:hAnsi="Arial" w:cs="Arial"/>
        </w:rPr>
        <w:t xml:space="preserve">  </w:t>
      </w:r>
      <w:r w:rsidR="00300C4F" w:rsidRPr="005C3B8A">
        <w:rPr>
          <w:rFonts w:ascii="Arial" w:hAnsi="Arial" w:cs="Arial"/>
        </w:rPr>
        <w:t>Accordingly</w:t>
      </w:r>
      <w:r w:rsidR="009639D3" w:rsidRPr="005C3B8A">
        <w:rPr>
          <w:rFonts w:ascii="Arial" w:hAnsi="Arial" w:cs="Arial"/>
        </w:rPr>
        <w:t>, the market-linked income stream will be 100 percent asset tested.</w:t>
      </w:r>
    </w:p>
    <w:p w:rsidR="00A71A41" w:rsidRPr="004822E1" w:rsidRDefault="00A71A41" w:rsidP="00540972">
      <w:pPr>
        <w:jc w:val="both"/>
        <w:rPr>
          <w:rFonts w:ascii="Arial" w:hAnsi="Arial" w:cs="Arial"/>
          <w:highlight w:val="yellow"/>
        </w:rPr>
      </w:pPr>
    </w:p>
    <w:p w:rsidR="005E73E1" w:rsidRPr="00FE0236" w:rsidRDefault="00300C4F" w:rsidP="005E73E1">
      <w:pPr>
        <w:jc w:val="both"/>
        <w:rPr>
          <w:rFonts w:ascii="Arial" w:hAnsi="Arial" w:cs="Arial"/>
        </w:rPr>
      </w:pPr>
      <w:r w:rsidRPr="00FE0236">
        <w:rPr>
          <w:rFonts w:ascii="Arial" w:hAnsi="Arial" w:cs="Arial"/>
        </w:rPr>
        <w:t>Under the social security law, a</w:t>
      </w:r>
      <w:r w:rsidR="00A71A41" w:rsidRPr="00FE0236">
        <w:rPr>
          <w:rFonts w:ascii="Arial" w:hAnsi="Arial" w:cs="Arial"/>
        </w:rPr>
        <w:t xml:space="preserve"> consequence of r</w:t>
      </w:r>
      <w:r w:rsidR="006C6438" w:rsidRPr="00FE0236">
        <w:rPr>
          <w:rFonts w:ascii="Arial" w:hAnsi="Arial" w:cs="Arial"/>
        </w:rPr>
        <w:t>estructuring</w:t>
      </w:r>
      <w:r w:rsidR="009639D3" w:rsidRPr="00FE0236">
        <w:rPr>
          <w:rFonts w:ascii="Arial" w:hAnsi="Arial" w:cs="Arial"/>
        </w:rPr>
        <w:t xml:space="preserve"> an income stream which was sourced from a</w:t>
      </w:r>
      <w:r w:rsidR="006C6438" w:rsidRPr="00FE0236">
        <w:rPr>
          <w:rFonts w:ascii="Arial" w:hAnsi="Arial" w:cs="Arial"/>
        </w:rPr>
        <w:t xml:space="preserve"> self managed</w:t>
      </w:r>
      <w:r w:rsidR="00A71A41" w:rsidRPr="00FE0236">
        <w:rPr>
          <w:rFonts w:ascii="Arial" w:hAnsi="Arial" w:cs="Arial"/>
        </w:rPr>
        <w:t xml:space="preserve"> superannuation fund</w:t>
      </w:r>
      <w:r w:rsidR="009639D3" w:rsidRPr="00FE0236">
        <w:rPr>
          <w:rFonts w:ascii="Arial" w:hAnsi="Arial" w:cs="Arial"/>
        </w:rPr>
        <w:t xml:space="preserve"> or small APRA fund </w:t>
      </w:r>
      <w:r w:rsidR="00A71A41" w:rsidRPr="00FE0236">
        <w:rPr>
          <w:rFonts w:ascii="Arial" w:hAnsi="Arial" w:cs="Arial"/>
        </w:rPr>
        <w:t>to a market-linked income stream, will mean that the difference between the amount that has been paid by way of income support where the income stream was asset-test exempt and the amount that would have been payable had the income stream been asset-tested, is a debt due to the Commonwealth</w:t>
      </w:r>
      <w:r w:rsidR="00551F69" w:rsidRPr="00FE0236">
        <w:rPr>
          <w:rFonts w:ascii="Arial" w:hAnsi="Arial" w:cs="Arial"/>
        </w:rPr>
        <w:t xml:space="preserve"> under section 1223A of the Act</w:t>
      </w:r>
      <w:r w:rsidR="00A71A41" w:rsidRPr="00FE0236">
        <w:rPr>
          <w:rFonts w:ascii="Arial" w:hAnsi="Arial" w:cs="Arial"/>
        </w:rPr>
        <w:t xml:space="preserve">.  </w:t>
      </w:r>
    </w:p>
    <w:p w:rsidR="005E73E1" w:rsidRPr="00FE0236" w:rsidRDefault="005E73E1" w:rsidP="005E73E1">
      <w:pPr>
        <w:jc w:val="both"/>
        <w:rPr>
          <w:rFonts w:ascii="Arial" w:hAnsi="Arial" w:cs="Arial"/>
        </w:rPr>
      </w:pPr>
    </w:p>
    <w:p w:rsidR="007F6C6F" w:rsidRDefault="00393BD1" w:rsidP="00393BD1">
      <w:pPr>
        <w:jc w:val="both"/>
        <w:rPr>
          <w:rFonts w:ascii="Arial" w:hAnsi="Arial" w:cs="Arial"/>
        </w:rPr>
      </w:pPr>
      <w:r w:rsidRPr="006445D8">
        <w:rPr>
          <w:rFonts w:ascii="Arial" w:hAnsi="Arial" w:cs="Arial"/>
        </w:rPr>
        <w:t>This instrument will allow for this class of debts to be waived.  This will enable the Secretary to waive the Commonwealth’s right to recover debts arising under the Act</w:t>
      </w:r>
      <w:r w:rsidR="007F6C6F">
        <w:rPr>
          <w:rFonts w:ascii="Arial" w:hAnsi="Arial" w:cs="Arial"/>
        </w:rPr>
        <w:t xml:space="preserve"> which are</w:t>
      </w:r>
      <w:r w:rsidRPr="006445D8">
        <w:rPr>
          <w:rFonts w:ascii="Arial" w:hAnsi="Arial" w:cs="Arial"/>
        </w:rPr>
        <w:t xml:space="preserve"> incurred by persons whose income streams</w:t>
      </w:r>
      <w:r w:rsidR="007F6C6F">
        <w:rPr>
          <w:rFonts w:ascii="Arial" w:hAnsi="Arial" w:cs="Arial"/>
        </w:rPr>
        <w:t>:</w:t>
      </w:r>
    </w:p>
    <w:p w:rsidR="007F6C6F" w:rsidRDefault="00393BD1" w:rsidP="007F6C6F">
      <w:pPr>
        <w:numPr>
          <w:ilvl w:val="0"/>
          <w:numId w:val="13"/>
        </w:numPr>
        <w:jc w:val="both"/>
        <w:rPr>
          <w:rFonts w:ascii="Arial" w:hAnsi="Arial" w:cs="Arial"/>
        </w:rPr>
      </w:pPr>
      <w:r w:rsidRPr="006445D8">
        <w:rPr>
          <w:rFonts w:ascii="Arial" w:hAnsi="Arial" w:cs="Arial"/>
        </w:rPr>
        <w:t xml:space="preserve"> </w:t>
      </w:r>
      <w:r w:rsidR="007F6C6F">
        <w:rPr>
          <w:rFonts w:ascii="Arial" w:hAnsi="Arial" w:cs="Arial"/>
        </w:rPr>
        <w:t xml:space="preserve">were </w:t>
      </w:r>
      <w:r w:rsidRPr="006445D8">
        <w:rPr>
          <w:rFonts w:ascii="Arial" w:hAnsi="Arial" w:cs="Arial"/>
        </w:rPr>
        <w:t>sourced from a self managed superannuation fund</w:t>
      </w:r>
      <w:r>
        <w:rPr>
          <w:rFonts w:ascii="Arial" w:hAnsi="Arial" w:cs="Arial"/>
        </w:rPr>
        <w:t xml:space="preserve"> or a small APRA fund</w:t>
      </w:r>
      <w:r w:rsidRPr="006445D8">
        <w:rPr>
          <w:rFonts w:ascii="Arial" w:hAnsi="Arial" w:cs="Arial"/>
        </w:rPr>
        <w:t xml:space="preserve"> before 20 September 2004 (or were commuted and rolled over </w:t>
      </w:r>
      <w:r>
        <w:rPr>
          <w:rFonts w:ascii="Arial" w:hAnsi="Arial" w:cs="Arial"/>
        </w:rPr>
        <w:t>on or after</w:t>
      </w:r>
      <w:r w:rsidRPr="006445D8">
        <w:rPr>
          <w:rFonts w:ascii="Arial" w:hAnsi="Arial" w:cs="Arial"/>
        </w:rPr>
        <w:t xml:space="preserve"> 20</w:t>
      </w:r>
      <w:r>
        <w:rPr>
          <w:rFonts w:ascii="Arial" w:hAnsi="Arial" w:cs="Arial"/>
        </w:rPr>
        <w:t> </w:t>
      </w:r>
      <w:r w:rsidRPr="006445D8">
        <w:rPr>
          <w:rFonts w:ascii="Arial" w:hAnsi="Arial" w:cs="Arial"/>
        </w:rPr>
        <w:t>September 2004 from those income streams and retained their 100</w:t>
      </w:r>
      <w:r>
        <w:rPr>
          <w:rFonts w:ascii="Arial" w:hAnsi="Arial" w:cs="Arial"/>
        </w:rPr>
        <w:t> percent</w:t>
      </w:r>
      <w:r w:rsidRPr="006445D8">
        <w:rPr>
          <w:rFonts w:ascii="Arial" w:hAnsi="Arial" w:cs="Arial"/>
        </w:rPr>
        <w:t xml:space="preserve"> exemption)</w:t>
      </w:r>
      <w:r w:rsidR="007F6C6F">
        <w:rPr>
          <w:rFonts w:ascii="Arial" w:hAnsi="Arial" w:cs="Arial"/>
        </w:rPr>
        <w:t>;</w:t>
      </w:r>
    </w:p>
    <w:p w:rsidR="007F6C6F" w:rsidRDefault="00393BD1" w:rsidP="007F6C6F">
      <w:pPr>
        <w:numPr>
          <w:ilvl w:val="0"/>
          <w:numId w:val="13"/>
        </w:numPr>
        <w:jc w:val="both"/>
        <w:rPr>
          <w:rFonts w:ascii="Arial" w:hAnsi="Arial" w:cs="Arial"/>
        </w:rPr>
      </w:pPr>
      <w:r>
        <w:rPr>
          <w:rFonts w:ascii="Arial" w:hAnsi="Arial" w:cs="Arial"/>
        </w:rPr>
        <w:t>complied</w:t>
      </w:r>
      <w:r w:rsidRPr="006445D8">
        <w:rPr>
          <w:rFonts w:ascii="Arial" w:hAnsi="Arial" w:cs="Arial"/>
        </w:rPr>
        <w:t xml:space="preserve"> with the requirements of sections 9A and 9B of the Act</w:t>
      </w:r>
      <w:r w:rsidR="007F6C6F">
        <w:rPr>
          <w:rFonts w:ascii="Arial" w:hAnsi="Arial" w:cs="Arial"/>
        </w:rPr>
        <w:t>; and</w:t>
      </w:r>
    </w:p>
    <w:p w:rsidR="00393BD1" w:rsidRDefault="00393BD1" w:rsidP="007F6C6F">
      <w:pPr>
        <w:numPr>
          <w:ilvl w:val="0"/>
          <w:numId w:val="13"/>
        </w:numPr>
        <w:jc w:val="both"/>
        <w:rPr>
          <w:rFonts w:ascii="Arial" w:hAnsi="Arial" w:cs="Arial"/>
        </w:rPr>
      </w:pPr>
      <w:r w:rsidRPr="006445D8">
        <w:rPr>
          <w:rFonts w:ascii="Arial" w:hAnsi="Arial" w:cs="Arial"/>
        </w:rPr>
        <w:t>are commuted to a market-linked income stream.</w:t>
      </w:r>
      <w:r>
        <w:rPr>
          <w:rFonts w:ascii="Arial" w:hAnsi="Arial" w:cs="Arial"/>
        </w:rPr>
        <w:t xml:space="preserve">  This waiver applies irrespective of whether the asset-test exempt income stream does or does not meet the high probability test.  In other words, this waiver is available at any time, provided the income stream is commuted to a 100 percent asset tested market-linked income stream.</w:t>
      </w:r>
    </w:p>
    <w:p w:rsidR="005C6668" w:rsidRPr="00FE0236" w:rsidRDefault="005C6668" w:rsidP="005E73E1">
      <w:pPr>
        <w:jc w:val="both"/>
        <w:rPr>
          <w:rFonts w:ascii="Arial" w:hAnsi="Arial" w:cs="Arial"/>
        </w:rPr>
      </w:pPr>
    </w:p>
    <w:p w:rsidR="005E73E1" w:rsidRPr="00FE0236" w:rsidRDefault="005E73E1" w:rsidP="00A74D5E">
      <w:pPr>
        <w:jc w:val="both"/>
        <w:rPr>
          <w:rFonts w:ascii="Arial" w:hAnsi="Arial" w:cs="Arial"/>
          <w:b/>
        </w:rPr>
      </w:pPr>
      <w:r w:rsidRPr="00FE0236">
        <w:rPr>
          <w:rFonts w:ascii="Arial" w:hAnsi="Arial" w:cs="Arial"/>
          <w:b/>
        </w:rPr>
        <w:t>Explanation of the provisions</w:t>
      </w:r>
    </w:p>
    <w:p w:rsidR="005E73E1" w:rsidRPr="00FE0236" w:rsidRDefault="005E73E1" w:rsidP="00A74D5E">
      <w:pPr>
        <w:jc w:val="both"/>
        <w:rPr>
          <w:rFonts w:ascii="Arial" w:hAnsi="Arial" w:cs="Arial"/>
          <w:b/>
        </w:rPr>
      </w:pPr>
    </w:p>
    <w:p w:rsidR="005E73E1" w:rsidRPr="00FE0236" w:rsidRDefault="005E73E1" w:rsidP="00A74D5E">
      <w:pPr>
        <w:jc w:val="both"/>
        <w:rPr>
          <w:rFonts w:ascii="Arial" w:hAnsi="Arial" w:cs="Arial"/>
        </w:rPr>
      </w:pPr>
      <w:r w:rsidRPr="00FE0236">
        <w:rPr>
          <w:rFonts w:ascii="Arial" w:hAnsi="Arial" w:cs="Arial"/>
          <w:b/>
        </w:rPr>
        <w:t xml:space="preserve">Section 1 </w:t>
      </w:r>
      <w:r w:rsidRPr="00FE0236">
        <w:rPr>
          <w:rFonts w:ascii="Arial" w:hAnsi="Arial" w:cs="Arial"/>
        </w:rPr>
        <w:t xml:space="preserve">states the name of the Specification is the </w:t>
      </w:r>
      <w:r w:rsidRPr="00FE0236">
        <w:rPr>
          <w:rFonts w:ascii="Arial" w:hAnsi="Arial" w:cs="Arial"/>
          <w:i/>
        </w:rPr>
        <w:t>Social Security (Waiver of Debts – Self Managed Superannuation Funds</w:t>
      </w:r>
      <w:r w:rsidR="004020A6" w:rsidRPr="00FE0236">
        <w:rPr>
          <w:rFonts w:ascii="Arial" w:hAnsi="Arial" w:cs="Arial"/>
          <w:i/>
        </w:rPr>
        <w:t xml:space="preserve"> and Small APRA Funds</w:t>
      </w:r>
      <w:r w:rsidRPr="00FE0236">
        <w:rPr>
          <w:rFonts w:ascii="Arial" w:hAnsi="Arial" w:cs="Arial"/>
          <w:i/>
        </w:rPr>
        <w:t>) (</w:t>
      </w:r>
      <w:r w:rsidR="00FE0236">
        <w:rPr>
          <w:rFonts w:ascii="Arial" w:hAnsi="Arial" w:cs="Arial"/>
          <w:i/>
        </w:rPr>
        <w:t>DEEWR</w:t>
      </w:r>
      <w:r w:rsidRPr="00FE0236">
        <w:rPr>
          <w:rFonts w:ascii="Arial" w:hAnsi="Arial" w:cs="Arial"/>
          <w:i/>
        </w:rPr>
        <w:t>) Specification 20</w:t>
      </w:r>
      <w:r w:rsidR="004020A6" w:rsidRPr="00FE0236">
        <w:rPr>
          <w:rFonts w:ascii="Arial" w:hAnsi="Arial" w:cs="Arial"/>
          <w:i/>
        </w:rPr>
        <w:t>11</w:t>
      </w:r>
      <w:r w:rsidRPr="00FE0236">
        <w:rPr>
          <w:rFonts w:ascii="Arial" w:hAnsi="Arial" w:cs="Arial"/>
        </w:rPr>
        <w:t>.</w:t>
      </w:r>
    </w:p>
    <w:p w:rsidR="005E73E1" w:rsidRPr="00FE0236" w:rsidRDefault="005E73E1" w:rsidP="00A74D5E">
      <w:pPr>
        <w:jc w:val="both"/>
        <w:rPr>
          <w:rFonts w:ascii="Arial" w:hAnsi="Arial" w:cs="Arial"/>
        </w:rPr>
      </w:pPr>
    </w:p>
    <w:p w:rsidR="005E73E1" w:rsidRPr="00FE0236" w:rsidRDefault="005E73E1" w:rsidP="00A74D5E">
      <w:pPr>
        <w:jc w:val="both"/>
        <w:rPr>
          <w:rFonts w:ascii="Arial" w:hAnsi="Arial" w:cs="Arial"/>
        </w:rPr>
      </w:pPr>
      <w:r w:rsidRPr="00FE0236">
        <w:rPr>
          <w:rFonts w:ascii="Arial" w:hAnsi="Arial" w:cs="Arial"/>
          <w:b/>
        </w:rPr>
        <w:t>Section 2</w:t>
      </w:r>
      <w:r w:rsidRPr="00FE0236">
        <w:rPr>
          <w:rFonts w:ascii="Arial" w:hAnsi="Arial" w:cs="Arial"/>
        </w:rPr>
        <w:t xml:space="preserve"> provides that the Specification </w:t>
      </w:r>
      <w:r w:rsidR="004A4102" w:rsidRPr="00FE0236">
        <w:rPr>
          <w:rFonts w:ascii="Arial" w:hAnsi="Arial" w:cs="Arial"/>
        </w:rPr>
        <w:t xml:space="preserve">commences on the day after the end of the period for disallowing it, in accordance with section 42 of the </w:t>
      </w:r>
      <w:r w:rsidR="004A4102" w:rsidRPr="00FE0236">
        <w:rPr>
          <w:rFonts w:ascii="Arial" w:hAnsi="Arial" w:cs="Arial"/>
          <w:i/>
        </w:rPr>
        <w:t>Legislative Instruments Act 2003</w:t>
      </w:r>
      <w:r w:rsidR="004A4102" w:rsidRPr="00FE0236">
        <w:rPr>
          <w:rFonts w:ascii="Arial" w:hAnsi="Arial" w:cs="Arial"/>
        </w:rPr>
        <w:t xml:space="preserve">.  Subsection 1237AB(3) of the Act provides that an instrument made under subsection 1237AB(1) is of no effect </w:t>
      </w:r>
      <w:r w:rsidR="00013C19" w:rsidRPr="00FE0236">
        <w:rPr>
          <w:rFonts w:ascii="Arial" w:hAnsi="Arial" w:cs="Arial"/>
        </w:rPr>
        <w:t>until the time allowed for its disallowance has passed.  This Specification will commence on the day after the end of the disallowance period.</w:t>
      </w:r>
    </w:p>
    <w:p w:rsidR="00013C19" w:rsidRPr="00FE0236" w:rsidRDefault="00013C19" w:rsidP="00A74D5E">
      <w:pPr>
        <w:jc w:val="both"/>
        <w:rPr>
          <w:rFonts w:ascii="Arial" w:hAnsi="Arial" w:cs="Arial"/>
        </w:rPr>
      </w:pPr>
    </w:p>
    <w:p w:rsidR="00013C19" w:rsidRPr="00FE0236" w:rsidRDefault="00013C19" w:rsidP="00A74D5E">
      <w:pPr>
        <w:jc w:val="both"/>
        <w:rPr>
          <w:rFonts w:ascii="Arial" w:hAnsi="Arial" w:cs="Arial"/>
        </w:rPr>
      </w:pPr>
      <w:r w:rsidRPr="00FE0236">
        <w:rPr>
          <w:rFonts w:ascii="Arial" w:hAnsi="Arial" w:cs="Arial"/>
          <w:b/>
        </w:rPr>
        <w:t>Section</w:t>
      </w:r>
      <w:r w:rsidR="004020A6" w:rsidRPr="00FE0236">
        <w:rPr>
          <w:rFonts w:ascii="Arial" w:hAnsi="Arial" w:cs="Arial"/>
          <w:b/>
        </w:rPr>
        <w:t xml:space="preserve"> 3</w:t>
      </w:r>
      <w:r w:rsidRPr="00FE0236">
        <w:rPr>
          <w:rFonts w:ascii="Arial" w:hAnsi="Arial" w:cs="Arial"/>
          <w:b/>
        </w:rPr>
        <w:t xml:space="preserve"> </w:t>
      </w:r>
      <w:r w:rsidRPr="00FE0236">
        <w:rPr>
          <w:rFonts w:ascii="Arial" w:hAnsi="Arial" w:cs="Arial"/>
        </w:rPr>
        <w:t>contains definitions relevant to the Specification.</w:t>
      </w:r>
    </w:p>
    <w:p w:rsidR="00013C19" w:rsidRPr="00FE0236" w:rsidRDefault="00013C19" w:rsidP="00A74D5E">
      <w:pPr>
        <w:jc w:val="both"/>
        <w:rPr>
          <w:rFonts w:ascii="Arial" w:hAnsi="Arial" w:cs="Arial"/>
        </w:rPr>
      </w:pPr>
    </w:p>
    <w:p w:rsidR="00E10593" w:rsidRPr="00FE0236" w:rsidRDefault="00013C19" w:rsidP="009C4935">
      <w:pPr>
        <w:jc w:val="both"/>
        <w:rPr>
          <w:rFonts w:ascii="Arial" w:hAnsi="Arial" w:cs="Arial"/>
        </w:rPr>
      </w:pPr>
      <w:r w:rsidRPr="00FE0236">
        <w:rPr>
          <w:rFonts w:ascii="Arial" w:hAnsi="Arial" w:cs="Arial"/>
          <w:b/>
        </w:rPr>
        <w:t xml:space="preserve">Section </w:t>
      </w:r>
      <w:r w:rsidR="004020A6" w:rsidRPr="00FE0236">
        <w:rPr>
          <w:rFonts w:ascii="Arial" w:hAnsi="Arial" w:cs="Arial"/>
          <w:b/>
        </w:rPr>
        <w:t>4</w:t>
      </w:r>
      <w:r w:rsidRPr="00FE0236">
        <w:rPr>
          <w:rFonts w:ascii="Arial" w:hAnsi="Arial" w:cs="Arial"/>
        </w:rPr>
        <w:t xml:space="preserve"> specifies the class of debt that may be waived.  </w:t>
      </w:r>
      <w:r w:rsidR="009C4935" w:rsidRPr="00FE0236">
        <w:rPr>
          <w:rFonts w:ascii="Arial" w:hAnsi="Arial" w:cs="Arial"/>
        </w:rPr>
        <w:t xml:space="preserve">A debt is in a specified class if a person owes a debt to the Commonwealth </w:t>
      </w:r>
      <w:r w:rsidR="00561C20" w:rsidRPr="00FE0236">
        <w:rPr>
          <w:rFonts w:ascii="Arial" w:hAnsi="Arial" w:cs="Arial"/>
        </w:rPr>
        <w:t>under secti</w:t>
      </w:r>
      <w:r w:rsidR="00760387" w:rsidRPr="00FE0236">
        <w:rPr>
          <w:rFonts w:ascii="Arial" w:hAnsi="Arial" w:cs="Arial"/>
        </w:rPr>
        <w:t xml:space="preserve">on 1223A of the </w:t>
      </w:r>
      <w:r w:rsidR="00561C20" w:rsidRPr="00FE0236">
        <w:rPr>
          <w:rFonts w:ascii="Arial" w:hAnsi="Arial" w:cs="Arial"/>
        </w:rPr>
        <w:t>Act which did not arise because the person knowingly made a false or misleading statement, or knowingly provided false information to the Commonwealth (paragraphs 4(a) and (b)).</w:t>
      </w:r>
    </w:p>
    <w:p w:rsidR="00561C20" w:rsidRPr="00FE0236" w:rsidRDefault="00561C20" w:rsidP="009C4935">
      <w:pPr>
        <w:jc w:val="both"/>
        <w:rPr>
          <w:rFonts w:ascii="Arial" w:hAnsi="Arial" w:cs="Arial"/>
        </w:rPr>
      </w:pPr>
    </w:p>
    <w:p w:rsidR="0083121B" w:rsidRPr="00FE0236" w:rsidRDefault="0083121B" w:rsidP="009C4935">
      <w:pPr>
        <w:jc w:val="both"/>
        <w:rPr>
          <w:rFonts w:ascii="Arial" w:hAnsi="Arial" w:cs="Arial"/>
        </w:rPr>
      </w:pPr>
      <w:r w:rsidRPr="00FE0236">
        <w:rPr>
          <w:rFonts w:ascii="Arial" w:hAnsi="Arial" w:cs="Arial"/>
        </w:rPr>
        <w:t xml:space="preserve">The specified class of debts must also meet the requirements of </w:t>
      </w:r>
      <w:r w:rsidR="007E7051">
        <w:rPr>
          <w:rFonts w:ascii="Arial" w:hAnsi="Arial" w:cs="Arial"/>
        </w:rPr>
        <w:t>sub-</w:t>
      </w:r>
      <w:r w:rsidRPr="00FE0236">
        <w:rPr>
          <w:rFonts w:ascii="Arial" w:hAnsi="Arial" w:cs="Arial"/>
        </w:rPr>
        <w:t>s</w:t>
      </w:r>
      <w:r w:rsidR="00561C20" w:rsidRPr="00FE0236">
        <w:rPr>
          <w:rFonts w:ascii="Arial" w:hAnsi="Arial" w:cs="Arial"/>
        </w:rPr>
        <w:t>ubparagraph</w:t>
      </w:r>
      <w:r w:rsidRPr="00FE0236">
        <w:rPr>
          <w:rFonts w:ascii="Arial" w:hAnsi="Arial" w:cs="Arial"/>
        </w:rPr>
        <w:t>s</w:t>
      </w:r>
      <w:r w:rsidR="00561C20" w:rsidRPr="00FE0236">
        <w:rPr>
          <w:rFonts w:ascii="Arial" w:hAnsi="Arial" w:cs="Arial"/>
        </w:rPr>
        <w:t xml:space="preserve"> 4(c)(i)(A)</w:t>
      </w:r>
      <w:r w:rsidRPr="00FE0236">
        <w:rPr>
          <w:rFonts w:ascii="Arial" w:hAnsi="Arial" w:cs="Arial"/>
        </w:rPr>
        <w:t xml:space="preserve"> and (B).  That is, immediately before the commencement of this Specification, the income stream that is relevant for the purposes of section 1223A: </w:t>
      </w:r>
    </w:p>
    <w:p w:rsidR="0083121B" w:rsidRPr="00FE0236" w:rsidRDefault="0083121B" w:rsidP="009C4935">
      <w:pPr>
        <w:jc w:val="both"/>
        <w:rPr>
          <w:rFonts w:ascii="Arial" w:hAnsi="Arial" w:cs="Arial"/>
        </w:rPr>
      </w:pPr>
    </w:p>
    <w:p w:rsidR="00561C20" w:rsidRPr="00FE0236" w:rsidRDefault="0083121B" w:rsidP="0083121B">
      <w:pPr>
        <w:numPr>
          <w:ilvl w:val="0"/>
          <w:numId w:val="12"/>
        </w:numPr>
        <w:jc w:val="both"/>
        <w:rPr>
          <w:rFonts w:ascii="Arial" w:hAnsi="Arial" w:cs="Arial"/>
        </w:rPr>
      </w:pPr>
      <w:r w:rsidRPr="00FE0236">
        <w:rPr>
          <w:rFonts w:ascii="Arial" w:hAnsi="Arial" w:cs="Arial"/>
        </w:rPr>
        <w:t xml:space="preserve">was </w:t>
      </w:r>
      <w:r w:rsidR="00561C20" w:rsidRPr="00FE0236">
        <w:rPr>
          <w:rFonts w:ascii="Arial" w:hAnsi="Arial" w:cs="Arial"/>
        </w:rPr>
        <w:t>an asset-test exempt income stream that met the requirements of either section 9</w:t>
      </w:r>
      <w:r w:rsidRPr="00FE0236">
        <w:rPr>
          <w:rFonts w:ascii="Arial" w:hAnsi="Arial" w:cs="Arial"/>
        </w:rPr>
        <w:t>A or 9B of the Act; or</w:t>
      </w:r>
    </w:p>
    <w:p w:rsidR="0083121B" w:rsidRPr="00FE0236" w:rsidRDefault="0083121B" w:rsidP="0083121B">
      <w:pPr>
        <w:jc w:val="both"/>
        <w:rPr>
          <w:rFonts w:ascii="Arial" w:hAnsi="Arial" w:cs="Arial"/>
        </w:rPr>
      </w:pPr>
    </w:p>
    <w:p w:rsidR="0083121B" w:rsidRPr="00FE0236" w:rsidRDefault="006B6285" w:rsidP="0083121B">
      <w:pPr>
        <w:numPr>
          <w:ilvl w:val="0"/>
          <w:numId w:val="12"/>
        </w:numPr>
        <w:jc w:val="both"/>
        <w:rPr>
          <w:rFonts w:ascii="Arial" w:hAnsi="Arial" w:cs="Arial"/>
        </w:rPr>
      </w:pPr>
      <w:r w:rsidRPr="00FE0236">
        <w:rPr>
          <w:rFonts w:ascii="Arial" w:hAnsi="Arial" w:cs="Arial"/>
        </w:rPr>
        <w:t>an</w:t>
      </w:r>
      <w:r w:rsidR="00BD2F00" w:rsidRPr="00FE0236">
        <w:rPr>
          <w:rFonts w:ascii="Arial" w:hAnsi="Arial" w:cs="Arial"/>
        </w:rPr>
        <w:t xml:space="preserve"> asset-tested income stream</w:t>
      </w:r>
      <w:r w:rsidR="0083121B" w:rsidRPr="00FE0236">
        <w:rPr>
          <w:rFonts w:ascii="Arial" w:hAnsi="Arial" w:cs="Arial"/>
        </w:rPr>
        <w:t xml:space="preserve"> (long term) </w:t>
      </w:r>
      <w:r w:rsidRPr="00FE0236">
        <w:rPr>
          <w:rFonts w:ascii="Arial" w:hAnsi="Arial" w:cs="Arial"/>
        </w:rPr>
        <w:t xml:space="preserve">that was previously an asset-test exempt income stream </w:t>
      </w:r>
      <w:r w:rsidR="0083121B" w:rsidRPr="00FE0236">
        <w:rPr>
          <w:rFonts w:ascii="Arial" w:hAnsi="Arial" w:cs="Arial"/>
        </w:rPr>
        <w:t>but due to changes in the value of the assets backing the income stream, fail</w:t>
      </w:r>
      <w:r w:rsidRPr="00FE0236">
        <w:rPr>
          <w:rFonts w:ascii="Arial" w:hAnsi="Arial" w:cs="Arial"/>
        </w:rPr>
        <w:t>ed</w:t>
      </w:r>
      <w:r w:rsidR="0083121B" w:rsidRPr="00FE0236">
        <w:rPr>
          <w:rFonts w:ascii="Arial" w:hAnsi="Arial" w:cs="Arial"/>
        </w:rPr>
        <w:t xml:space="preserve"> to meet the high probability actuarial test.  As these income streams are no longer able to meet the requirements of either paragraph 9A(1)(b) or 9B(1A)(b) of the Act, they are unable to retain their asset-test exemption.  In these circumstances, these income streams would be assessed as asset</w:t>
      </w:r>
      <w:r w:rsidRPr="00FE0236">
        <w:rPr>
          <w:rFonts w:ascii="Arial" w:hAnsi="Arial" w:cs="Arial"/>
        </w:rPr>
        <w:noBreakHyphen/>
      </w:r>
      <w:r w:rsidR="0083121B" w:rsidRPr="00FE0236">
        <w:rPr>
          <w:rFonts w:ascii="Arial" w:hAnsi="Arial" w:cs="Arial"/>
        </w:rPr>
        <w:t xml:space="preserve">tested income streams and this change of status would normally trigger the operation of section 1223A of the Act.  </w:t>
      </w:r>
    </w:p>
    <w:p w:rsidR="00325932" w:rsidRPr="004822E1" w:rsidRDefault="00325932" w:rsidP="00E10593">
      <w:pPr>
        <w:ind w:left="1080"/>
        <w:jc w:val="both"/>
        <w:rPr>
          <w:rFonts w:ascii="Arial" w:hAnsi="Arial" w:cs="Arial"/>
          <w:highlight w:val="yellow"/>
        </w:rPr>
      </w:pPr>
    </w:p>
    <w:p w:rsidR="00760387" w:rsidRPr="00FE0236" w:rsidRDefault="00551649" w:rsidP="00325932">
      <w:pPr>
        <w:jc w:val="both"/>
        <w:rPr>
          <w:rFonts w:ascii="Arial" w:hAnsi="Arial" w:cs="Arial"/>
        </w:rPr>
      </w:pPr>
      <w:r w:rsidRPr="00FE0236">
        <w:rPr>
          <w:rFonts w:ascii="Arial" w:hAnsi="Arial" w:cs="Arial"/>
        </w:rPr>
        <w:t xml:space="preserve">A debt is in a specified class if </w:t>
      </w:r>
      <w:r w:rsidR="00AB43F7" w:rsidRPr="00FE0236">
        <w:rPr>
          <w:rFonts w:ascii="Arial" w:hAnsi="Arial" w:cs="Arial"/>
        </w:rPr>
        <w:t>the</w:t>
      </w:r>
      <w:r w:rsidRPr="00FE0236">
        <w:rPr>
          <w:rFonts w:ascii="Arial" w:hAnsi="Arial" w:cs="Arial"/>
        </w:rPr>
        <w:t xml:space="preserve"> income stream</w:t>
      </w:r>
      <w:r w:rsidR="00AB43F7" w:rsidRPr="00FE0236">
        <w:rPr>
          <w:rFonts w:ascii="Arial" w:hAnsi="Arial" w:cs="Arial"/>
        </w:rPr>
        <w:t>,</w:t>
      </w:r>
      <w:r w:rsidRPr="00FE0236">
        <w:rPr>
          <w:rFonts w:ascii="Arial" w:hAnsi="Arial" w:cs="Arial"/>
        </w:rPr>
        <w:t xml:space="preserve"> </w:t>
      </w:r>
      <w:r w:rsidR="00AB43F7" w:rsidRPr="00FE0236">
        <w:rPr>
          <w:rFonts w:ascii="Arial" w:hAnsi="Arial" w:cs="Arial"/>
        </w:rPr>
        <w:t>that meets the requirements of</w:t>
      </w:r>
      <w:r w:rsidRPr="00FE0236">
        <w:rPr>
          <w:rFonts w:ascii="Arial" w:hAnsi="Arial" w:cs="Arial"/>
        </w:rPr>
        <w:t xml:space="preserve"> subparagraphs 4(c)(i)(A) and (B) of this Specification</w:t>
      </w:r>
      <w:r w:rsidR="00AB43F7" w:rsidRPr="00FE0236">
        <w:rPr>
          <w:rFonts w:ascii="Arial" w:hAnsi="Arial" w:cs="Arial"/>
        </w:rPr>
        <w:t>,</w:t>
      </w:r>
      <w:r w:rsidR="00760387" w:rsidRPr="00FE0236">
        <w:rPr>
          <w:rFonts w:ascii="Arial" w:hAnsi="Arial" w:cs="Arial"/>
        </w:rPr>
        <w:t xml:space="preserve"> </w:t>
      </w:r>
      <w:r w:rsidRPr="00FE0236">
        <w:rPr>
          <w:rFonts w:ascii="Arial" w:hAnsi="Arial" w:cs="Arial"/>
        </w:rPr>
        <w:t>was</w:t>
      </w:r>
      <w:r w:rsidR="00760387" w:rsidRPr="00FE0236">
        <w:rPr>
          <w:rFonts w:ascii="Arial" w:hAnsi="Arial" w:cs="Arial"/>
        </w:rPr>
        <w:t xml:space="preserve"> </w:t>
      </w:r>
      <w:r w:rsidR="00891FC0" w:rsidRPr="00FE0236">
        <w:rPr>
          <w:rFonts w:ascii="Arial" w:hAnsi="Arial" w:cs="Arial"/>
        </w:rPr>
        <w:t xml:space="preserve">also </w:t>
      </w:r>
      <w:r w:rsidR="00760387" w:rsidRPr="00FE0236">
        <w:rPr>
          <w:rFonts w:ascii="Arial" w:hAnsi="Arial" w:cs="Arial"/>
        </w:rPr>
        <w:t>sourced from a self managed superannuation fund or a small APRA fund (subparagraphs 4(c)(ii)(A) and (B)).</w:t>
      </w:r>
    </w:p>
    <w:p w:rsidR="00E10593" w:rsidRPr="00FE0236" w:rsidRDefault="00E10593" w:rsidP="00325932">
      <w:pPr>
        <w:jc w:val="both"/>
        <w:rPr>
          <w:rFonts w:ascii="Arial" w:hAnsi="Arial" w:cs="Arial"/>
        </w:rPr>
      </w:pPr>
    </w:p>
    <w:p w:rsidR="00B55F75" w:rsidRPr="00FE0236" w:rsidRDefault="00AB43F7" w:rsidP="00325932">
      <w:pPr>
        <w:jc w:val="both"/>
        <w:rPr>
          <w:rFonts w:ascii="Arial" w:hAnsi="Arial" w:cs="Arial"/>
        </w:rPr>
      </w:pPr>
      <w:r w:rsidRPr="00FE0236">
        <w:rPr>
          <w:rFonts w:ascii="Arial" w:hAnsi="Arial" w:cs="Arial"/>
        </w:rPr>
        <w:t>However, s</w:t>
      </w:r>
      <w:r w:rsidR="00B55F75" w:rsidRPr="00FE0236">
        <w:rPr>
          <w:rFonts w:ascii="Arial" w:hAnsi="Arial" w:cs="Arial"/>
        </w:rPr>
        <w:t xml:space="preserve">ection 1223A of the Act </w:t>
      </w:r>
      <w:r w:rsidRPr="00FE0236">
        <w:rPr>
          <w:rFonts w:ascii="Arial" w:hAnsi="Arial" w:cs="Arial"/>
        </w:rPr>
        <w:t>does not apply</w:t>
      </w:r>
      <w:r w:rsidR="00B55F75" w:rsidRPr="00FE0236">
        <w:rPr>
          <w:rFonts w:ascii="Arial" w:hAnsi="Arial" w:cs="Arial"/>
        </w:rPr>
        <w:t xml:space="preserve"> if the income stream is commuted and rolled over into an asset tested market-linked income stream </w:t>
      </w:r>
      <w:r w:rsidR="00154930" w:rsidRPr="00FE0236">
        <w:rPr>
          <w:rFonts w:ascii="Arial" w:hAnsi="Arial" w:cs="Arial"/>
        </w:rPr>
        <w:t>on or after the commencement of this</w:t>
      </w:r>
      <w:r w:rsidR="00B55F75" w:rsidRPr="00FE0236">
        <w:rPr>
          <w:rFonts w:ascii="Arial" w:hAnsi="Arial" w:cs="Arial"/>
        </w:rPr>
        <w:t xml:space="preserve"> Specification (subparagraph 4(d)).</w:t>
      </w:r>
    </w:p>
    <w:p w:rsidR="00B55F75" w:rsidRPr="004822E1" w:rsidRDefault="00B55F75" w:rsidP="00325932">
      <w:pPr>
        <w:jc w:val="both"/>
        <w:rPr>
          <w:rFonts w:ascii="Arial" w:hAnsi="Arial" w:cs="Arial"/>
          <w:highlight w:val="yellow"/>
        </w:rPr>
      </w:pPr>
    </w:p>
    <w:p w:rsidR="00C45465" w:rsidRPr="00FE0236" w:rsidRDefault="00C45465" w:rsidP="00C45465">
      <w:pPr>
        <w:jc w:val="both"/>
        <w:rPr>
          <w:rFonts w:ascii="Arial" w:hAnsi="Arial" w:cs="Arial"/>
          <w:b/>
        </w:rPr>
      </w:pPr>
      <w:r w:rsidRPr="00FE0236">
        <w:rPr>
          <w:rFonts w:ascii="Arial" w:hAnsi="Arial" w:cs="Arial"/>
          <w:b/>
        </w:rPr>
        <w:t>Consultation</w:t>
      </w:r>
    </w:p>
    <w:p w:rsidR="00C45465" w:rsidRPr="00FE0236" w:rsidRDefault="00C45465" w:rsidP="00C45465">
      <w:pPr>
        <w:jc w:val="both"/>
        <w:rPr>
          <w:rFonts w:ascii="Arial" w:hAnsi="Arial" w:cs="Arial"/>
          <w:b/>
        </w:rPr>
      </w:pPr>
    </w:p>
    <w:p w:rsidR="00CC1C6A" w:rsidRDefault="00C45465" w:rsidP="00C45465">
      <w:pPr>
        <w:jc w:val="both"/>
        <w:rPr>
          <w:rFonts w:ascii="Arial" w:hAnsi="Arial" w:cs="Arial"/>
        </w:rPr>
      </w:pPr>
      <w:r w:rsidRPr="00FE0236">
        <w:rPr>
          <w:rFonts w:ascii="Arial" w:hAnsi="Arial" w:cs="Arial"/>
        </w:rPr>
        <w:t xml:space="preserve">Public consultation has not been undertaken as this </w:t>
      </w:r>
      <w:r w:rsidR="00CC1C6A" w:rsidRPr="00FE0236">
        <w:rPr>
          <w:rFonts w:ascii="Arial" w:hAnsi="Arial" w:cs="Arial"/>
        </w:rPr>
        <w:t>instrument</w:t>
      </w:r>
      <w:r w:rsidRPr="00FE0236">
        <w:rPr>
          <w:rFonts w:ascii="Arial" w:hAnsi="Arial" w:cs="Arial"/>
        </w:rPr>
        <w:t xml:space="preserve"> is of a purely beneficial character.  Consultation was undertaken with Centrelink</w:t>
      </w:r>
      <w:r w:rsidR="00261555" w:rsidRPr="00FE0236">
        <w:rPr>
          <w:rFonts w:ascii="Arial" w:hAnsi="Arial" w:cs="Arial"/>
        </w:rPr>
        <w:t xml:space="preserve">, </w:t>
      </w:r>
      <w:r w:rsidR="000E3406" w:rsidRPr="00FE0236">
        <w:rPr>
          <w:rFonts w:ascii="Arial" w:hAnsi="Arial" w:cs="Arial"/>
        </w:rPr>
        <w:t xml:space="preserve">the </w:t>
      </w:r>
      <w:r w:rsidR="00261555" w:rsidRPr="00FE0236">
        <w:rPr>
          <w:rFonts w:ascii="Arial" w:hAnsi="Arial" w:cs="Arial"/>
        </w:rPr>
        <w:t>Department of Veterans’ Affairs</w:t>
      </w:r>
      <w:r w:rsidRPr="00FE0236">
        <w:rPr>
          <w:rFonts w:ascii="Arial" w:hAnsi="Arial" w:cs="Arial"/>
        </w:rPr>
        <w:t xml:space="preserve"> and the </w:t>
      </w:r>
      <w:r w:rsidR="00CC1C6A" w:rsidRPr="00FE0236">
        <w:rPr>
          <w:rFonts w:ascii="Arial" w:hAnsi="Arial" w:cs="Arial"/>
        </w:rPr>
        <w:t xml:space="preserve">Department of </w:t>
      </w:r>
      <w:r w:rsidR="00FE0236" w:rsidRPr="00FE0236">
        <w:rPr>
          <w:rFonts w:ascii="Arial" w:hAnsi="Arial" w:cs="Arial"/>
        </w:rPr>
        <w:t xml:space="preserve">Families, Housing, Community Services and Indigenous Affairs </w:t>
      </w:r>
      <w:r w:rsidR="00CC1C6A" w:rsidRPr="00FE0236">
        <w:rPr>
          <w:rFonts w:ascii="Arial" w:hAnsi="Arial" w:cs="Arial"/>
        </w:rPr>
        <w:t xml:space="preserve">in </w:t>
      </w:r>
      <w:r w:rsidR="00393BD1">
        <w:rPr>
          <w:rFonts w:ascii="Arial" w:hAnsi="Arial" w:cs="Arial"/>
        </w:rPr>
        <w:t>the making of this Specification, to ensure a co-ordinated approach by all Departments.</w:t>
      </w:r>
      <w:r w:rsidR="00CC1C6A" w:rsidRPr="00FE0236">
        <w:rPr>
          <w:rFonts w:ascii="Arial" w:hAnsi="Arial" w:cs="Arial"/>
        </w:rPr>
        <w:t xml:space="preserve">  A </w:t>
      </w:r>
      <w:r w:rsidR="006C6438" w:rsidRPr="00FE0236">
        <w:rPr>
          <w:rFonts w:ascii="Arial" w:hAnsi="Arial" w:cs="Arial"/>
        </w:rPr>
        <w:t>similar</w:t>
      </w:r>
      <w:r w:rsidR="00CC1C6A" w:rsidRPr="00FE0236">
        <w:rPr>
          <w:rFonts w:ascii="Arial" w:hAnsi="Arial" w:cs="Arial"/>
        </w:rPr>
        <w:t xml:space="preserve"> instrument has also been made by the Minister for </w:t>
      </w:r>
      <w:r w:rsidR="00FE0236" w:rsidRPr="00FE0236">
        <w:rPr>
          <w:rFonts w:ascii="Arial" w:hAnsi="Arial" w:cs="Arial"/>
        </w:rPr>
        <w:t xml:space="preserve">Families, Housing, Community Services and Indigenous Affairs </w:t>
      </w:r>
      <w:r w:rsidR="00CC1C6A" w:rsidRPr="00FE0236">
        <w:rPr>
          <w:rFonts w:ascii="Arial" w:hAnsi="Arial" w:cs="Arial"/>
        </w:rPr>
        <w:t>to allow the waiver of debts for which the Minister has responsibility.</w:t>
      </w:r>
      <w:r w:rsidR="00801389">
        <w:rPr>
          <w:rFonts w:ascii="Arial" w:hAnsi="Arial" w:cs="Arial"/>
        </w:rPr>
        <w:t xml:space="preserve"> </w:t>
      </w:r>
    </w:p>
    <w:p w:rsidR="002A5805" w:rsidRPr="00FE0236" w:rsidRDefault="002A5805" w:rsidP="00C45465">
      <w:pPr>
        <w:jc w:val="both"/>
        <w:rPr>
          <w:rFonts w:ascii="Arial" w:hAnsi="Arial" w:cs="Arial"/>
        </w:rPr>
      </w:pPr>
    </w:p>
    <w:p w:rsidR="00CC1C6A" w:rsidRPr="00FE0236" w:rsidRDefault="00CC1C6A" w:rsidP="00C45465">
      <w:pPr>
        <w:jc w:val="both"/>
        <w:rPr>
          <w:rFonts w:ascii="Arial" w:hAnsi="Arial" w:cs="Arial"/>
          <w:b/>
        </w:rPr>
      </w:pPr>
      <w:r w:rsidRPr="00FE0236">
        <w:rPr>
          <w:rFonts w:ascii="Arial" w:hAnsi="Arial" w:cs="Arial"/>
          <w:b/>
        </w:rPr>
        <w:t>Regulatory Impact Statement</w:t>
      </w:r>
    </w:p>
    <w:p w:rsidR="00CC1C6A" w:rsidRPr="00FE0236" w:rsidRDefault="00CC1C6A" w:rsidP="00C45465">
      <w:pPr>
        <w:jc w:val="both"/>
        <w:rPr>
          <w:rFonts w:ascii="Arial" w:hAnsi="Arial" w:cs="Arial"/>
          <w:b/>
        </w:rPr>
      </w:pPr>
    </w:p>
    <w:p w:rsidR="00CC1C6A" w:rsidRPr="006445D8" w:rsidRDefault="00CC1C6A" w:rsidP="00C45465">
      <w:pPr>
        <w:jc w:val="both"/>
        <w:rPr>
          <w:rFonts w:ascii="Arial" w:hAnsi="Arial" w:cs="Arial"/>
        </w:rPr>
      </w:pPr>
      <w:r w:rsidRPr="00FE0236">
        <w:rPr>
          <w:rFonts w:ascii="Arial" w:hAnsi="Arial" w:cs="Arial"/>
        </w:rPr>
        <w:t>A Regulatory Impact Statement and a Business Costs Calculator are not required as the waiver of the Commonwealth’s right to recover social security debts will have no regulatory or competition impacts, and will not impose compliance costs on business.</w:t>
      </w:r>
    </w:p>
    <w:sectPr w:rsidR="00CC1C6A" w:rsidRPr="006445D8" w:rsidSect="008B46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37F9"/>
    <w:multiLevelType w:val="hybridMultilevel"/>
    <w:tmpl w:val="39365E86"/>
    <w:lvl w:ilvl="0" w:tplc="8B18C278">
      <w:start w:val="1"/>
      <w:numFmt w:val="upp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1">
    <w:nsid w:val="21FE40CF"/>
    <w:multiLevelType w:val="hybridMultilevel"/>
    <w:tmpl w:val="522E109A"/>
    <w:lvl w:ilvl="0" w:tplc="9F340F3C">
      <w:start w:val="1"/>
      <w:numFmt w:val="lowerLetter"/>
      <w:lvlText w:val="(%1)"/>
      <w:lvlJc w:val="left"/>
      <w:pPr>
        <w:tabs>
          <w:tab w:val="num" w:pos="720"/>
        </w:tabs>
        <w:ind w:left="720" w:hanging="360"/>
      </w:pPr>
      <w:rPr>
        <w:rFonts w:hint="default"/>
      </w:rPr>
    </w:lvl>
    <w:lvl w:ilvl="1" w:tplc="5FD86764">
      <w:start w:val="1"/>
      <w:numFmt w:val="lowerRoman"/>
      <w:lvlText w:val="(%2)"/>
      <w:lvlJc w:val="righ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242E2D01"/>
    <w:multiLevelType w:val="multilevel"/>
    <w:tmpl w:val="2638919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0573D86"/>
    <w:multiLevelType w:val="hybridMultilevel"/>
    <w:tmpl w:val="4B00BAD4"/>
    <w:lvl w:ilvl="0" w:tplc="4C2A69AC">
      <w:start w:val="1"/>
      <w:numFmt w:val="lowerLetter"/>
      <w:lvlText w:val="(%1)"/>
      <w:lvlJc w:val="left"/>
      <w:pPr>
        <w:tabs>
          <w:tab w:val="num" w:pos="2404"/>
        </w:tabs>
        <w:ind w:left="2404" w:hanging="360"/>
      </w:pPr>
      <w:rPr>
        <w:rFonts w:hint="default"/>
      </w:rPr>
    </w:lvl>
    <w:lvl w:ilvl="1" w:tplc="0C090019">
      <w:start w:val="1"/>
      <w:numFmt w:val="lowerLetter"/>
      <w:lvlText w:val="%2."/>
      <w:lvlJc w:val="left"/>
      <w:pPr>
        <w:tabs>
          <w:tab w:val="num" w:pos="3124"/>
        </w:tabs>
        <w:ind w:left="3124" w:hanging="360"/>
      </w:pPr>
    </w:lvl>
    <w:lvl w:ilvl="2" w:tplc="0C09001B" w:tentative="1">
      <w:start w:val="1"/>
      <w:numFmt w:val="lowerRoman"/>
      <w:lvlText w:val="%3."/>
      <w:lvlJc w:val="right"/>
      <w:pPr>
        <w:tabs>
          <w:tab w:val="num" w:pos="3844"/>
        </w:tabs>
        <w:ind w:left="3844" w:hanging="180"/>
      </w:pPr>
    </w:lvl>
    <w:lvl w:ilvl="3" w:tplc="0C09000F" w:tentative="1">
      <w:start w:val="1"/>
      <w:numFmt w:val="decimal"/>
      <w:lvlText w:val="%4."/>
      <w:lvlJc w:val="left"/>
      <w:pPr>
        <w:tabs>
          <w:tab w:val="num" w:pos="4564"/>
        </w:tabs>
        <w:ind w:left="4564" w:hanging="360"/>
      </w:pPr>
    </w:lvl>
    <w:lvl w:ilvl="4" w:tplc="0C090019" w:tentative="1">
      <w:start w:val="1"/>
      <w:numFmt w:val="lowerLetter"/>
      <w:lvlText w:val="%5."/>
      <w:lvlJc w:val="left"/>
      <w:pPr>
        <w:tabs>
          <w:tab w:val="num" w:pos="5284"/>
        </w:tabs>
        <w:ind w:left="5284" w:hanging="360"/>
      </w:pPr>
    </w:lvl>
    <w:lvl w:ilvl="5" w:tplc="0C09001B" w:tentative="1">
      <w:start w:val="1"/>
      <w:numFmt w:val="lowerRoman"/>
      <w:lvlText w:val="%6."/>
      <w:lvlJc w:val="right"/>
      <w:pPr>
        <w:tabs>
          <w:tab w:val="num" w:pos="6004"/>
        </w:tabs>
        <w:ind w:left="6004" w:hanging="180"/>
      </w:pPr>
    </w:lvl>
    <w:lvl w:ilvl="6" w:tplc="0C09000F" w:tentative="1">
      <w:start w:val="1"/>
      <w:numFmt w:val="decimal"/>
      <w:lvlText w:val="%7."/>
      <w:lvlJc w:val="left"/>
      <w:pPr>
        <w:tabs>
          <w:tab w:val="num" w:pos="6724"/>
        </w:tabs>
        <w:ind w:left="6724" w:hanging="360"/>
      </w:pPr>
    </w:lvl>
    <w:lvl w:ilvl="7" w:tplc="0C090019" w:tentative="1">
      <w:start w:val="1"/>
      <w:numFmt w:val="lowerLetter"/>
      <w:lvlText w:val="%8."/>
      <w:lvlJc w:val="left"/>
      <w:pPr>
        <w:tabs>
          <w:tab w:val="num" w:pos="7444"/>
        </w:tabs>
        <w:ind w:left="7444" w:hanging="360"/>
      </w:pPr>
    </w:lvl>
    <w:lvl w:ilvl="8" w:tplc="0C09001B" w:tentative="1">
      <w:start w:val="1"/>
      <w:numFmt w:val="lowerRoman"/>
      <w:lvlText w:val="%9."/>
      <w:lvlJc w:val="right"/>
      <w:pPr>
        <w:tabs>
          <w:tab w:val="num" w:pos="8164"/>
        </w:tabs>
        <w:ind w:left="8164" w:hanging="180"/>
      </w:pPr>
    </w:lvl>
  </w:abstractNum>
  <w:abstractNum w:abstractNumId="4">
    <w:nsid w:val="369B261F"/>
    <w:multiLevelType w:val="hybridMultilevel"/>
    <w:tmpl w:val="7AC8D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8D62577"/>
    <w:multiLevelType w:val="hybridMultilevel"/>
    <w:tmpl w:val="1C5414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E790922"/>
    <w:multiLevelType w:val="multilevel"/>
    <w:tmpl w:val="CE760A7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6353464C"/>
    <w:multiLevelType w:val="multilevel"/>
    <w:tmpl w:val="F2D456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
    <w:nsid w:val="656E72E4"/>
    <w:multiLevelType w:val="hybridMultilevel"/>
    <w:tmpl w:val="78E80026"/>
    <w:lvl w:ilvl="0" w:tplc="9F340F3C">
      <w:start w:val="1"/>
      <w:numFmt w:val="lowerLetter"/>
      <w:lvlText w:val="(%1)"/>
      <w:lvlJc w:val="left"/>
      <w:pPr>
        <w:tabs>
          <w:tab w:val="num" w:pos="1324"/>
        </w:tabs>
        <w:ind w:left="1324" w:hanging="360"/>
      </w:pPr>
      <w:rPr>
        <w:rFonts w:hint="default"/>
      </w:rPr>
    </w:lvl>
    <w:lvl w:ilvl="1" w:tplc="5FD86764">
      <w:start w:val="1"/>
      <w:numFmt w:val="lowerRoman"/>
      <w:lvlText w:val="(%2)"/>
      <w:lvlJc w:val="right"/>
      <w:pPr>
        <w:tabs>
          <w:tab w:val="num" w:pos="2044"/>
        </w:tabs>
        <w:ind w:left="2044" w:hanging="360"/>
      </w:pPr>
      <w:rPr>
        <w:rFonts w:hint="default"/>
      </w:rPr>
    </w:lvl>
    <w:lvl w:ilvl="2" w:tplc="0C09001B">
      <w:start w:val="1"/>
      <w:numFmt w:val="lowerRoman"/>
      <w:lvlText w:val="%3."/>
      <w:lvlJc w:val="right"/>
      <w:pPr>
        <w:tabs>
          <w:tab w:val="num" w:pos="2764"/>
        </w:tabs>
        <w:ind w:left="2764" w:hanging="180"/>
      </w:pPr>
    </w:lvl>
    <w:lvl w:ilvl="3" w:tplc="0C09000F" w:tentative="1">
      <w:start w:val="1"/>
      <w:numFmt w:val="decimal"/>
      <w:lvlText w:val="%4."/>
      <w:lvlJc w:val="left"/>
      <w:pPr>
        <w:tabs>
          <w:tab w:val="num" w:pos="3484"/>
        </w:tabs>
        <w:ind w:left="3484" w:hanging="360"/>
      </w:pPr>
    </w:lvl>
    <w:lvl w:ilvl="4" w:tplc="0C090019" w:tentative="1">
      <w:start w:val="1"/>
      <w:numFmt w:val="lowerLetter"/>
      <w:lvlText w:val="%5."/>
      <w:lvlJc w:val="left"/>
      <w:pPr>
        <w:tabs>
          <w:tab w:val="num" w:pos="4204"/>
        </w:tabs>
        <w:ind w:left="4204" w:hanging="360"/>
      </w:pPr>
    </w:lvl>
    <w:lvl w:ilvl="5" w:tplc="0C09001B" w:tentative="1">
      <w:start w:val="1"/>
      <w:numFmt w:val="lowerRoman"/>
      <w:lvlText w:val="%6."/>
      <w:lvlJc w:val="right"/>
      <w:pPr>
        <w:tabs>
          <w:tab w:val="num" w:pos="4924"/>
        </w:tabs>
        <w:ind w:left="4924" w:hanging="180"/>
      </w:pPr>
    </w:lvl>
    <w:lvl w:ilvl="6" w:tplc="0C09000F" w:tentative="1">
      <w:start w:val="1"/>
      <w:numFmt w:val="decimal"/>
      <w:lvlText w:val="%7."/>
      <w:lvlJc w:val="left"/>
      <w:pPr>
        <w:tabs>
          <w:tab w:val="num" w:pos="5644"/>
        </w:tabs>
        <w:ind w:left="5644" w:hanging="360"/>
      </w:pPr>
    </w:lvl>
    <w:lvl w:ilvl="7" w:tplc="0C090019" w:tentative="1">
      <w:start w:val="1"/>
      <w:numFmt w:val="lowerLetter"/>
      <w:lvlText w:val="%8."/>
      <w:lvlJc w:val="left"/>
      <w:pPr>
        <w:tabs>
          <w:tab w:val="num" w:pos="6364"/>
        </w:tabs>
        <w:ind w:left="6364" w:hanging="360"/>
      </w:pPr>
    </w:lvl>
    <w:lvl w:ilvl="8" w:tplc="0C09001B" w:tentative="1">
      <w:start w:val="1"/>
      <w:numFmt w:val="lowerRoman"/>
      <w:lvlText w:val="%9."/>
      <w:lvlJc w:val="right"/>
      <w:pPr>
        <w:tabs>
          <w:tab w:val="num" w:pos="7084"/>
        </w:tabs>
        <w:ind w:left="7084" w:hanging="180"/>
      </w:pPr>
    </w:lvl>
  </w:abstractNum>
  <w:abstractNum w:abstractNumId="9">
    <w:nsid w:val="72AE460F"/>
    <w:multiLevelType w:val="hybridMultilevel"/>
    <w:tmpl w:val="738AD36E"/>
    <w:lvl w:ilvl="0" w:tplc="8B18C278">
      <w:start w:val="1"/>
      <w:numFmt w:val="upp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0">
    <w:nsid w:val="77750C54"/>
    <w:multiLevelType w:val="hybridMultilevel"/>
    <w:tmpl w:val="02607A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B2C2614"/>
    <w:multiLevelType w:val="hybridMultilevel"/>
    <w:tmpl w:val="F2D456C4"/>
    <w:lvl w:ilvl="0" w:tplc="9F340F3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12">
    <w:nsid w:val="7CE82A3A"/>
    <w:multiLevelType w:val="multilevel"/>
    <w:tmpl w:val="CE760A7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
  </w:num>
  <w:num w:numId="2">
    <w:abstractNumId w:val="2"/>
  </w:num>
  <w:num w:numId="3">
    <w:abstractNumId w:val="9"/>
  </w:num>
  <w:num w:numId="4">
    <w:abstractNumId w:val="5"/>
  </w:num>
  <w:num w:numId="5">
    <w:abstractNumId w:val="8"/>
  </w:num>
  <w:num w:numId="6">
    <w:abstractNumId w:val="3"/>
  </w:num>
  <w:num w:numId="7">
    <w:abstractNumId w:val="6"/>
  </w:num>
  <w:num w:numId="8">
    <w:abstractNumId w:val="11"/>
  </w:num>
  <w:num w:numId="9">
    <w:abstractNumId w:val="12"/>
  </w:num>
  <w:num w:numId="10">
    <w:abstractNumId w:val="7"/>
  </w:num>
  <w:num w:numId="11">
    <w:abstractNumId w:val="0"/>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stylePaneFormatFilter w:val="3F01"/>
  <w:trackRevisions/>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D5E"/>
    <w:rsid w:val="000009E3"/>
    <w:rsid w:val="000049C3"/>
    <w:rsid w:val="000102B4"/>
    <w:rsid w:val="00013C19"/>
    <w:rsid w:val="000170D2"/>
    <w:rsid w:val="000326BC"/>
    <w:rsid w:val="00036812"/>
    <w:rsid w:val="000415F2"/>
    <w:rsid w:val="00047D17"/>
    <w:rsid w:val="00052582"/>
    <w:rsid w:val="0006057F"/>
    <w:rsid w:val="00066292"/>
    <w:rsid w:val="00066862"/>
    <w:rsid w:val="00072DDF"/>
    <w:rsid w:val="00082802"/>
    <w:rsid w:val="00083C8D"/>
    <w:rsid w:val="000A3307"/>
    <w:rsid w:val="000A348C"/>
    <w:rsid w:val="000A77E4"/>
    <w:rsid w:val="000B2713"/>
    <w:rsid w:val="000C088B"/>
    <w:rsid w:val="000D3BB0"/>
    <w:rsid w:val="000E2070"/>
    <w:rsid w:val="000E3406"/>
    <w:rsid w:val="000E6E31"/>
    <w:rsid w:val="000F768F"/>
    <w:rsid w:val="00134718"/>
    <w:rsid w:val="00134A71"/>
    <w:rsid w:val="00154930"/>
    <w:rsid w:val="00156301"/>
    <w:rsid w:val="00156344"/>
    <w:rsid w:val="001637CC"/>
    <w:rsid w:val="00164733"/>
    <w:rsid w:val="00165AE0"/>
    <w:rsid w:val="0018034D"/>
    <w:rsid w:val="00183081"/>
    <w:rsid w:val="0018377F"/>
    <w:rsid w:val="001A70B0"/>
    <w:rsid w:val="001B3131"/>
    <w:rsid w:val="001C6583"/>
    <w:rsid w:val="001E2E50"/>
    <w:rsid w:val="002019CA"/>
    <w:rsid w:val="00203757"/>
    <w:rsid w:val="002038C9"/>
    <w:rsid w:val="0021344D"/>
    <w:rsid w:val="00240911"/>
    <w:rsid w:val="00246C5D"/>
    <w:rsid w:val="00247517"/>
    <w:rsid w:val="002521B6"/>
    <w:rsid w:val="00261555"/>
    <w:rsid w:val="00261CFF"/>
    <w:rsid w:val="00262885"/>
    <w:rsid w:val="002645F7"/>
    <w:rsid w:val="00286ED5"/>
    <w:rsid w:val="002906CA"/>
    <w:rsid w:val="002A5805"/>
    <w:rsid w:val="002D7E74"/>
    <w:rsid w:val="002F0BDA"/>
    <w:rsid w:val="00300C4F"/>
    <w:rsid w:val="003049FC"/>
    <w:rsid w:val="00321DCF"/>
    <w:rsid w:val="003220FB"/>
    <w:rsid w:val="00325932"/>
    <w:rsid w:val="00337295"/>
    <w:rsid w:val="0033772C"/>
    <w:rsid w:val="00345FD6"/>
    <w:rsid w:val="00361B0E"/>
    <w:rsid w:val="003731F7"/>
    <w:rsid w:val="00373F96"/>
    <w:rsid w:val="00384BB9"/>
    <w:rsid w:val="00393BD1"/>
    <w:rsid w:val="003A09AA"/>
    <w:rsid w:val="003A4119"/>
    <w:rsid w:val="003B609A"/>
    <w:rsid w:val="003B6310"/>
    <w:rsid w:val="003D73BE"/>
    <w:rsid w:val="003E2E87"/>
    <w:rsid w:val="003F5766"/>
    <w:rsid w:val="004020A6"/>
    <w:rsid w:val="00405EAC"/>
    <w:rsid w:val="00417DE5"/>
    <w:rsid w:val="004324B4"/>
    <w:rsid w:val="00437C3F"/>
    <w:rsid w:val="004428C7"/>
    <w:rsid w:val="00466912"/>
    <w:rsid w:val="004713CC"/>
    <w:rsid w:val="00474A91"/>
    <w:rsid w:val="004822E1"/>
    <w:rsid w:val="00485CE5"/>
    <w:rsid w:val="004A0F99"/>
    <w:rsid w:val="004A1E04"/>
    <w:rsid w:val="004A4102"/>
    <w:rsid w:val="004A557F"/>
    <w:rsid w:val="004A6C77"/>
    <w:rsid w:val="004B4A62"/>
    <w:rsid w:val="004D4CEF"/>
    <w:rsid w:val="004E1222"/>
    <w:rsid w:val="004E3D62"/>
    <w:rsid w:val="004E42BE"/>
    <w:rsid w:val="004E77E8"/>
    <w:rsid w:val="0050192F"/>
    <w:rsid w:val="005143EE"/>
    <w:rsid w:val="00540972"/>
    <w:rsid w:val="00544DF4"/>
    <w:rsid w:val="00551649"/>
    <w:rsid w:val="00551F69"/>
    <w:rsid w:val="00561C20"/>
    <w:rsid w:val="00575808"/>
    <w:rsid w:val="00575EFB"/>
    <w:rsid w:val="005806D1"/>
    <w:rsid w:val="005870F7"/>
    <w:rsid w:val="00592D07"/>
    <w:rsid w:val="00597A3F"/>
    <w:rsid w:val="005A17C7"/>
    <w:rsid w:val="005A497F"/>
    <w:rsid w:val="005B32E9"/>
    <w:rsid w:val="005C3B8A"/>
    <w:rsid w:val="005C6668"/>
    <w:rsid w:val="005E0D0F"/>
    <w:rsid w:val="005E430C"/>
    <w:rsid w:val="005E73E1"/>
    <w:rsid w:val="00600BD5"/>
    <w:rsid w:val="00611361"/>
    <w:rsid w:val="0062235D"/>
    <w:rsid w:val="00622DA6"/>
    <w:rsid w:val="006245FB"/>
    <w:rsid w:val="006364FC"/>
    <w:rsid w:val="006445D8"/>
    <w:rsid w:val="0065294D"/>
    <w:rsid w:val="00656AA3"/>
    <w:rsid w:val="006673BD"/>
    <w:rsid w:val="0068644D"/>
    <w:rsid w:val="00690740"/>
    <w:rsid w:val="006A242D"/>
    <w:rsid w:val="006A2970"/>
    <w:rsid w:val="006B4510"/>
    <w:rsid w:val="006B6285"/>
    <w:rsid w:val="006C6438"/>
    <w:rsid w:val="006C6E42"/>
    <w:rsid w:val="006D09CF"/>
    <w:rsid w:val="00703342"/>
    <w:rsid w:val="00707ED7"/>
    <w:rsid w:val="00711461"/>
    <w:rsid w:val="00713382"/>
    <w:rsid w:val="00720571"/>
    <w:rsid w:val="00722C3F"/>
    <w:rsid w:val="00743B0C"/>
    <w:rsid w:val="00751A4A"/>
    <w:rsid w:val="00760387"/>
    <w:rsid w:val="00775BCD"/>
    <w:rsid w:val="00776A5B"/>
    <w:rsid w:val="00781AA2"/>
    <w:rsid w:val="00792EEE"/>
    <w:rsid w:val="007A0E60"/>
    <w:rsid w:val="007A772D"/>
    <w:rsid w:val="007B3CED"/>
    <w:rsid w:val="007C5AF3"/>
    <w:rsid w:val="007E2469"/>
    <w:rsid w:val="007E7051"/>
    <w:rsid w:val="007F415F"/>
    <w:rsid w:val="007F4D06"/>
    <w:rsid w:val="007F6C6F"/>
    <w:rsid w:val="00801062"/>
    <w:rsid w:val="00801389"/>
    <w:rsid w:val="0081540B"/>
    <w:rsid w:val="00821FAD"/>
    <w:rsid w:val="00827998"/>
    <w:rsid w:val="0083121B"/>
    <w:rsid w:val="00836936"/>
    <w:rsid w:val="008508A8"/>
    <w:rsid w:val="00854D89"/>
    <w:rsid w:val="00862027"/>
    <w:rsid w:val="008700AB"/>
    <w:rsid w:val="00877A74"/>
    <w:rsid w:val="00877E3B"/>
    <w:rsid w:val="00891FC0"/>
    <w:rsid w:val="008B46C2"/>
    <w:rsid w:val="008B7D84"/>
    <w:rsid w:val="008C4DA0"/>
    <w:rsid w:val="008C64DE"/>
    <w:rsid w:val="008D18F0"/>
    <w:rsid w:val="008D5F18"/>
    <w:rsid w:val="008D63C2"/>
    <w:rsid w:val="008F1DAE"/>
    <w:rsid w:val="0091154E"/>
    <w:rsid w:val="009146D7"/>
    <w:rsid w:val="0092494D"/>
    <w:rsid w:val="009342CD"/>
    <w:rsid w:val="009368A5"/>
    <w:rsid w:val="009544A9"/>
    <w:rsid w:val="0095795B"/>
    <w:rsid w:val="009639D3"/>
    <w:rsid w:val="009668D9"/>
    <w:rsid w:val="00967755"/>
    <w:rsid w:val="0097211F"/>
    <w:rsid w:val="009804E9"/>
    <w:rsid w:val="00983868"/>
    <w:rsid w:val="0098546E"/>
    <w:rsid w:val="00994A2A"/>
    <w:rsid w:val="009A43AD"/>
    <w:rsid w:val="009B3A17"/>
    <w:rsid w:val="009C4935"/>
    <w:rsid w:val="009D168B"/>
    <w:rsid w:val="009E24C0"/>
    <w:rsid w:val="009E3318"/>
    <w:rsid w:val="00A0689B"/>
    <w:rsid w:val="00A113B1"/>
    <w:rsid w:val="00A211EF"/>
    <w:rsid w:val="00A2185F"/>
    <w:rsid w:val="00A51EFB"/>
    <w:rsid w:val="00A66118"/>
    <w:rsid w:val="00A71A41"/>
    <w:rsid w:val="00A72608"/>
    <w:rsid w:val="00A74D5E"/>
    <w:rsid w:val="00A936D5"/>
    <w:rsid w:val="00AA6691"/>
    <w:rsid w:val="00AA7116"/>
    <w:rsid w:val="00AB43F7"/>
    <w:rsid w:val="00AB6CC9"/>
    <w:rsid w:val="00AD3BE9"/>
    <w:rsid w:val="00AD60F5"/>
    <w:rsid w:val="00AE1843"/>
    <w:rsid w:val="00AE2FCC"/>
    <w:rsid w:val="00AF0796"/>
    <w:rsid w:val="00AF0C85"/>
    <w:rsid w:val="00B42048"/>
    <w:rsid w:val="00B52628"/>
    <w:rsid w:val="00B55F75"/>
    <w:rsid w:val="00B606C7"/>
    <w:rsid w:val="00B61C8B"/>
    <w:rsid w:val="00B61DDA"/>
    <w:rsid w:val="00B74C83"/>
    <w:rsid w:val="00B83AC2"/>
    <w:rsid w:val="00B84A64"/>
    <w:rsid w:val="00B85C89"/>
    <w:rsid w:val="00B91248"/>
    <w:rsid w:val="00B97B82"/>
    <w:rsid w:val="00BA35E1"/>
    <w:rsid w:val="00BA440A"/>
    <w:rsid w:val="00BC4D6A"/>
    <w:rsid w:val="00BD2F00"/>
    <w:rsid w:val="00BD47CA"/>
    <w:rsid w:val="00BE269B"/>
    <w:rsid w:val="00BE2787"/>
    <w:rsid w:val="00BF6B9E"/>
    <w:rsid w:val="00C047BB"/>
    <w:rsid w:val="00C061AB"/>
    <w:rsid w:val="00C13892"/>
    <w:rsid w:val="00C20662"/>
    <w:rsid w:val="00C226DD"/>
    <w:rsid w:val="00C402C1"/>
    <w:rsid w:val="00C44D6E"/>
    <w:rsid w:val="00C45465"/>
    <w:rsid w:val="00C5674D"/>
    <w:rsid w:val="00C573B4"/>
    <w:rsid w:val="00C60EDA"/>
    <w:rsid w:val="00C60F64"/>
    <w:rsid w:val="00C66336"/>
    <w:rsid w:val="00C7147E"/>
    <w:rsid w:val="00C80938"/>
    <w:rsid w:val="00C867D7"/>
    <w:rsid w:val="00C86EB8"/>
    <w:rsid w:val="00C87AE1"/>
    <w:rsid w:val="00C95B63"/>
    <w:rsid w:val="00CB0CC6"/>
    <w:rsid w:val="00CB1894"/>
    <w:rsid w:val="00CC1C6A"/>
    <w:rsid w:val="00CC2D7B"/>
    <w:rsid w:val="00CE4115"/>
    <w:rsid w:val="00CF337D"/>
    <w:rsid w:val="00D0706D"/>
    <w:rsid w:val="00D1504E"/>
    <w:rsid w:val="00D177F4"/>
    <w:rsid w:val="00D4150B"/>
    <w:rsid w:val="00D42FF5"/>
    <w:rsid w:val="00D43F2D"/>
    <w:rsid w:val="00D53569"/>
    <w:rsid w:val="00D63E01"/>
    <w:rsid w:val="00D77111"/>
    <w:rsid w:val="00D802E0"/>
    <w:rsid w:val="00DA0BC3"/>
    <w:rsid w:val="00DB01E1"/>
    <w:rsid w:val="00DB61CB"/>
    <w:rsid w:val="00DC4F76"/>
    <w:rsid w:val="00DD2EAC"/>
    <w:rsid w:val="00DE02D5"/>
    <w:rsid w:val="00DF1044"/>
    <w:rsid w:val="00E10593"/>
    <w:rsid w:val="00E12C64"/>
    <w:rsid w:val="00E33284"/>
    <w:rsid w:val="00E36EAB"/>
    <w:rsid w:val="00E443A2"/>
    <w:rsid w:val="00E446ED"/>
    <w:rsid w:val="00E5174C"/>
    <w:rsid w:val="00E6663B"/>
    <w:rsid w:val="00E92E89"/>
    <w:rsid w:val="00E93D44"/>
    <w:rsid w:val="00EA05CE"/>
    <w:rsid w:val="00EA5DCB"/>
    <w:rsid w:val="00EA744C"/>
    <w:rsid w:val="00EC498E"/>
    <w:rsid w:val="00EC7E1A"/>
    <w:rsid w:val="00ED3F47"/>
    <w:rsid w:val="00ED3F81"/>
    <w:rsid w:val="00EF1EC0"/>
    <w:rsid w:val="00EF3B86"/>
    <w:rsid w:val="00EF57F6"/>
    <w:rsid w:val="00F04CD1"/>
    <w:rsid w:val="00F0699B"/>
    <w:rsid w:val="00F121AF"/>
    <w:rsid w:val="00F13A60"/>
    <w:rsid w:val="00F3435B"/>
    <w:rsid w:val="00F343D5"/>
    <w:rsid w:val="00F379EB"/>
    <w:rsid w:val="00F40F18"/>
    <w:rsid w:val="00F418CC"/>
    <w:rsid w:val="00F4217B"/>
    <w:rsid w:val="00F52E97"/>
    <w:rsid w:val="00F549D3"/>
    <w:rsid w:val="00F54C86"/>
    <w:rsid w:val="00F66BFE"/>
    <w:rsid w:val="00F71140"/>
    <w:rsid w:val="00F731BF"/>
    <w:rsid w:val="00F86294"/>
    <w:rsid w:val="00FD5C45"/>
    <w:rsid w:val="00FE0236"/>
    <w:rsid w:val="00FE7D3B"/>
    <w:rsid w:val="00FF50B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6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17DE5"/>
    <w:rPr>
      <w:sz w:val="16"/>
      <w:szCs w:val="16"/>
    </w:rPr>
  </w:style>
  <w:style w:type="paragraph" w:styleId="CommentText">
    <w:name w:val="annotation text"/>
    <w:basedOn w:val="Normal"/>
    <w:semiHidden/>
    <w:rsid w:val="00417DE5"/>
    <w:rPr>
      <w:sz w:val="20"/>
      <w:szCs w:val="20"/>
    </w:rPr>
  </w:style>
  <w:style w:type="paragraph" w:styleId="CommentSubject">
    <w:name w:val="annotation subject"/>
    <w:basedOn w:val="CommentText"/>
    <w:next w:val="CommentText"/>
    <w:semiHidden/>
    <w:rsid w:val="00417DE5"/>
    <w:rPr>
      <w:b/>
      <w:bCs/>
    </w:rPr>
  </w:style>
  <w:style w:type="paragraph" w:styleId="BalloonText">
    <w:name w:val="Balloon Text"/>
    <w:basedOn w:val="Normal"/>
    <w:semiHidden/>
    <w:rsid w:val="00417DE5"/>
    <w:rPr>
      <w:rFonts w:ascii="Tahoma" w:hAnsi="Tahoma" w:cs="Tahoma"/>
      <w:sz w:val="16"/>
      <w:szCs w:val="16"/>
    </w:rPr>
  </w:style>
  <w:style w:type="paragraph" w:customStyle="1" w:styleId="R2">
    <w:name w:val="R2"/>
    <w:aliases w:val="(2)"/>
    <w:basedOn w:val="Normal"/>
    <w:rsid w:val="00E10593"/>
    <w:pPr>
      <w:keepLines/>
      <w:tabs>
        <w:tab w:val="right" w:pos="794"/>
      </w:tabs>
      <w:spacing w:before="180" w:line="260" w:lineRule="exact"/>
      <w:ind w:left="964" w:hanging="964"/>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R Documentation" ma:contentTypeID="0x010100C71790AF4DD44570812B206706472B9200027B89323DC1824A9F5244D0629D508B" ma:contentTypeVersion="0" ma:contentTypeDescription="" ma:contentTypeScope="" ma:versionID="6ae1d00e1480e32c4b6528d4318b183f">
  <xsd:schema xmlns:xsd="http://www.w3.org/2001/XMLSchema" xmlns:p="http://schemas.microsoft.com/office/2006/metadata/properties" xmlns:ns1="http://schemas.microsoft.com/sharepoint/v3" targetNamespace="http://schemas.microsoft.com/office/2006/metadata/properties" ma:root="true" ma:fieldsID="57b06932f0d8d4368d30a18c0af026e8" ns1:_="">
    <xsd:import namespace="http://schemas.microsoft.com/sharepoint/v3"/>
    <xsd:element name="properties">
      <xsd:complexType>
        <xsd:sequence>
          <xsd:element name="documentManagement">
            <xsd:complexType>
              <xsd:all>
                <xsd:element ref="ns1:pdms_DocumentType"/>
                <xsd:element ref="ns1:pdms_AttachedBy" minOccurs="0"/>
                <xsd:element ref="ns1:pdms_Reason" minOccurs="0"/>
                <xsd:element ref="ns1:pdms_DiRECtURI" minOccurs="0"/>
                <xsd:element ref="ns1:pdms_MarkedAsDele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dms_DocumentType" ma:index="8" ma:displayName="Document Type" ma:default="Supporting Documentation" ma:internalName="pdms_DocumentType">
      <xsd:simpleType>
        <xsd:restriction base="dms:Choice">
          <xsd:enumeration value="Attachment to be Tabled"/>
          <xsd:enumeration value="Briefing Request"/>
          <xsd:enumeration value="Briefing Attachment"/>
          <xsd:enumeration value="Speech"/>
          <xsd:enumeration value="Speech Notes"/>
          <xsd:enumeration value="Media Release"/>
          <xsd:enumeration value="Signed Briefing"/>
          <xsd:enumeration value="Rejected Briefing"/>
          <xsd:enumeration value="Handling Advice"/>
          <xsd:enumeration value="Notice Paper Extract"/>
          <xsd:enumeration value="Original Correspondence"/>
          <xsd:enumeration value="Newspaper Extract"/>
          <xsd:enumeration value="Response Attachment"/>
          <xsd:enumeration value="Signed Response"/>
          <xsd:enumeration value="Rejected Response"/>
          <xsd:enumeration value="Hansard Pages"/>
          <xsd:enumeration value="Dep Sec Signed Response"/>
          <xsd:enumeration value="Secretary Signed Response"/>
          <xsd:enumeration value="MO Signed Response"/>
          <xsd:enumeration value="Redrafting suggestions"/>
          <xsd:enumeration value="Written questions"/>
          <xsd:enumeration value="Dep Sec Email Clearance"/>
          <xsd:enumeration value="Secretary Email Clearance"/>
          <xsd:enumeration value="MO Rejected Response"/>
          <xsd:enumeration value="(SC) Simon Crean Noting"/>
          <xsd:enumeration value="(MA) Mark Arbib Noting"/>
          <xsd:enumeration value="(KE) Kate Ellis Noting"/>
          <xsd:enumeration value="(JC) Jason Clare Noting"/>
          <xsd:enumeration value="(US) Ursula Stephens Noting"/>
          <xsd:enumeration value="Other"/>
        </xsd:restriction>
      </xsd:simpleType>
    </xsd:element>
    <xsd:element name="pdms_AttachedBy" ma:index="9" nillable="true" ma:displayName="Attached By" ma:internalName="pdms_AttachedBy">
      <xsd:simpleType>
        <xsd:restriction base="dms:Text"/>
      </xsd:simpleType>
    </xsd:element>
    <xsd:element name="pdms_Reason" ma:index="10" nillable="true" ma:displayName="Reason" ma:internalName="pdms_Reason">
      <xsd:simpleType>
        <xsd:restriction base="dms:Text"/>
      </xsd:simpleType>
    </xsd:element>
    <xsd:element name="pdms_DiRECtURI" ma:index="11" nillable="true" ma:displayName="DiRECt URI" ma:internalName="pdms_DiRECtURI">
      <xsd:simpleType>
        <xsd:restriction base="dms:Text"/>
      </xsd:simpleType>
    </xsd:element>
    <xsd:element name="pdms_MarkedAsDeleted" ma:index="12" nillable="true" ma:displayName="MarkedAsDeleted" ma:internalName="pdms_MarkedAsDe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dms_MarkedAsDeleted xmlns="http://schemas.microsoft.com/sharepoint/v3" xsi:nil="true"/>
    <pdms_DiRECtURI xmlns="http://schemas.microsoft.com/sharepoint/v3" xsi:nil="true"/>
    <pdms_Reason xmlns="http://schemas.microsoft.com/sharepoint/v3" xsi:nil="true"/>
    <pdms_DocumentType xmlns="http://schemas.microsoft.com/sharepoint/v3">Briefing Attachment</pdms_DocumentType>
    <pdms_AttachedBy xmlns="http://schemas.microsoft.com/sharepoint/v3">ALEXANDER, David</pdms_AttachedBy>
  </documentManagement>
</p:properties>
</file>

<file path=customXml/itemProps1.xml><?xml version="1.0" encoding="utf-8"?>
<ds:datastoreItem xmlns:ds="http://schemas.openxmlformats.org/officeDocument/2006/customXml" ds:itemID="{00690CDD-45B2-41CA-BD51-69D671721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1C11D3-3762-4F7D-9D32-A493ABA833F5}">
  <ds:schemaRefs>
    <ds:schemaRef ds:uri="http://schemas.microsoft.com/sharepoint/v3/contenttype/forms"/>
  </ds:schemaRefs>
</ds:datastoreItem>
</file>

<file path=customXml/itemProps3.xml><?xml version="1.0" encoding="utf-8"?>
<ds:datastoreItem xmlns:ds="http://schemas.openxmlformats.org/officeDocument/2006/customXml" ds:itemID="{7B3569B6-984C-4240-AB48-500D449D0555}">
  <ds:schemaRefs>
    <ds:schemaRef ds:uri="http://schemas.microsoft.com/office/2006/metadata/longProperties"/>
  </ds:schemaRefs>
</ds:datastoreItem>
</file>

<file path=customXml/itemProps4.xml><?xml version="1.0" encoding="utf-8"?>
<ds:datastoreItem xmlns:ds="http://schemas.openxmlformats.org/officeDocument/2006/customXml" ds:itemID="{346A3BC7-CEAB-440A-AA31-CF44F92A14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6849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2011-03-24T01:00:00Z</cp:lastPrinted>
  <dcterms:created xsi:type="dcterms:W3CDTF">2011-06-02T03:43:00Z</dcterms:created>
  <dcterms:modified xsi:type="dcterms:W3CDTF">2011-06-02T03:43:00Z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0x0101009EDC4876AF524A70BD125A9D2C0D191E0C001CDEFC5F857A1D4E8EF8D34A65CA0883</vt:lpwstr>
  </property>
  <property fmtid="{D5CDD505-2E9C-101B-9397-08002B2CF9AE}" pid="3" name="DdocsSearchTerms">
    <vt:lpwstr/>
  </property>
  <property fmtid="{D5CDD505-2E9C-101B-9397-08002B2CF9AE}" pid="4" name="_dlc_ExpireDate">
    <vt:lpwstr>2016-04-19T08:34:37Z</vt:lpwstr>
  </property>
</Properties>
</file>