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4" w:type="dxa"/>
        <w:tblLayout w:type="fixed"/>
        <w:tblCellMar>
          <w:left w:w="0" w:type="dxa"/>
          <w:right w:w="0" w:type="dxa"/>
        </w:tblCellMar>
        <w:tblLook w:val="0000" w:firstRow="0" w:lastRow="0" w:firstColumn="0" w:lastColumn="0" w:noHBand="0" w:noVBand="0"/>
        <w:tblCaption w:val="Cover page header for AASB compiled Standard"/>
        <w:tblDescription w:val="Identification that the pronouncement is a compiled Standard and the Standard number"/>
      </w:tblPr>
      <w:tblGrid>
        <w:gridCol w:w="4507"/>
        <w:gridCol w:w="4507"/>
      </w:tblGrid>
      <w:tr w:rsidR="00090A6F" w:rsidRPr="00A8015E" w14:paraId="017C9866" w14:textId="77777777" w:rsidTr="003204AA">
        <w:tc>
          <w:tcPr>
            <w:tcW w:w="4507" w:type="dxa"/>
            <w:tcMar>
              <w:top w:w="0" w:type="dxa"/>
              <w:left w:w="0" w:type="dxa"/>
              <w:right w:w="0" w:type="dxa"/>
            </w:tcMar>
          </w:tcPr>
          <w:p w14:paraId="017C9863" w14:textId="77777777" w:rsidR="00090A6F" w:rsidRPr="00A8015E" w:rsidRDefault="00C50009" w:rsidP="00302003">
            <w:pPr>
              <w:pStyle w:val="CoverStandard"/>
              <w:rPr>
                <w:rFonts w:ascii="Times New Roman" w:hAnsi="Times New Roman"/>
                <w:sz w:val="28"/>
                <w:szCs w:val="28"/>
              </w:rPr>
            </w:pPr>
            <w:r w:rsidRPr="00564DC6">
              <w:rPr>
                <w:color w:val="auto"/>
              </w:rPr>
              <w:t>Compiled AASB Standard</w:t>
            </w:r>
          </w:p>
        </w:tc>
        <w:tc>
          <w:tcPr>
            <w:tcW w:w="4507" w:type="dxa"/>
            <w:tcMar>
              <w:top w:w="0" w:type="dxa"/>
              <w:left w:w="0" w:type="dxa"/>
              <w:right w:w="0" w:type="dxa"/>
            </w:tcMar>
          </w:tcPr>
          <w:p w14:paraId="017C9865" w14:textId="3B3B0EA6" w:rsidR="00090A6F" w:rsidRPr="00A8015E" w:rsidRDefault="00090A6F" w:rsidP="00564DC6">
            <w:pPr>
              <w:pStyle w:val="CoverStandard"/>
              <w:jc w:val="right"/>
              <w:rPr>
                <w:rFonts w:ascii="HelveticaNeueLT Std Lt" w:hAnsi="HelveticaNeueLT Std Lt"/>
              </w:rPr>
            </w:pPr>
            <w:r w:rsidRPr="00564DC6">
              <w:rPr>
                <w:color w:val="auto"/>
              </w:rPr>
              <w:t xml:space="preserve">AASB </w:t>
            </w:r>
            <w:bookmarkStart w:id="0" w:name="DocNo"/>
            <w:r w:rsidR="00F94ED9" w:rsidRPr="00564DC6">
              <w:rPr>
                <w:color w:val="auto"/>
              </w:rPr>
              <w:t>1054</w:t>
            </w:r>
            <w:bookmarkEnd w:id="0"/>
          </w:p>
        </w:tc>
      </w:tr>
    </w:tbl>
    <w:p w14:paraId="017C9867" w14:textId="32723FB1" w:rsidR="00302003" w:rsidRPr="00564DC6" w:rsidRDefault="00302003" w:rsidP="00564DC6">
      <w:pPr>
        <w:pStyle w:val="AASBStandardTitle"/>
        <w:pBdr>
          <w:bottom w:val="single" w:sz="4" w:space="1" w:color="auto"/>
        </w:pBdr>
        <w:rPr>
          <w:color w:val="auto"/>
          <w:szCs w:val="40"/>
        </w:rPr>
      </w:pPr>
      <w:bookmarkStart w:id="1" w:name="DocTitle"/>
      <w:r w:rsidRPr="00564DC6">
        <w:rPr>
          <w:color w:val="auto"/>
          <w:szCs w:val="40"/>
        </w:rPr>
        <w:t>Australian Additional Disclosures</w:t>
      </w:r>
      <w:bookmarkEnd w:id="1"/>
    </w:p>
    <w:p w14:paraId="017C9869" w14:textId="03E8C9EF" w:rsidR="00C50009" w:rsidRPr="00AF46EE" w:rsidRDefault="00C50009" w:rsidP="003410BE">
      <w:pPr>
        <w:spacing w:line="240" w:lineRule="auto"/>
        <w:rPr>
          <w:sz w:val="19"/>
          <w:szCs w:val="19"/>
        </w:rPr>
      </w:pPr>
    </w:p>
    <w:p w14:paraId="6817C331" w14:textId="35FE37E1" w:rsidR="000E17BE" w:rsidRPr="00882B64" w:rsidRDefault="00C50009" w:rsidP="00882B64">
      <w:pPr>
        <w:pStyle w:val="AASBNormal"/>
        <w:rPr>
          <w:szCs w:val="19"/>
        </w:rPr>
      </w:pPr>
      <w:r w:rsidRPr="00801238">
        <w:rPr>
          <w:szCs w:val="19"/>
        </w:rPr>
        <w:t xml:space="preserve">This compiled </w:t>
      </w:r>
      <w:r w:rsidR="00EB7E33" w:rsidRPr="00801238">
        <w:rPr>
          <w:szCs w:val="19"/>
        </w:rPr>
        <w:t xml:space="preserve">Standard </w:t>
      </w:r>
      <w:r w:rsidRPr="00801238">
        <w:rPr>
          <w:szCs w:val="19"/>
        </w:rPr>
        <w:t xml:space="preserve">applies to annual periods </w:t>
      </w:r>
      <w:bookmarkStart w:id="2" w:name="ApplyTextCompile"/>
      <w:r w:rsidR="000E17BE">
        <w:rPr>
          <w:szCs w:val="19"/>
        </w:rPr>
        <w:t>beginn</w:t>
      </w:r>
      <w:r w:rsidR="001325CA">
        <w:rPr>
          <w:szCs w:val="19"/>
        </w:rPr>
        <w:t>ing</w:t>
      </w:r>
      <w:bookmarkEnd w:id="2"/>
      <w:r w:rsidRPr="00801238">
        <w:rPr>
          <w:szCs w:val="19"/>
        </w:rPr>
        <w:t xml:space="preserve"> on or </w:t>
      </w:r>
      <w:r w:rsidR="000E17BE">
        <w:rPr>
          <w:szCs w:val="19"/>
        </w:rPr>
        <w:t>after</w:t>
      </w:r>
      <w:r w:rsidRPr="00801238">
        <w:rPr>
          <w:szCs w:val="19"/>
        </w:rPr>
        <w:t xml:space="preserve"> </w:t>
      </w:r>
      <w:bookmarkStart w:id="3" w:name="ApplyDateCompile"/>
      <w:r w:rsidR="001B5DF1" w:rsidRPr="001B5DF1">
        <w:rPr>
          <w:szCs w:val="19"/>
          <w:lang w:eastAsia="en-AU"/>
        </w:rPr>
        <w:t>1 July 2021</w:t>
      </w:r>
      <w:bookmarkEnd w:id="3"/>
      <w:r w:rsidR="0071588A">
        <w:rPr>
          <w:szCs w:val="19"/>
        </w:rPr>
        <w:t xml:space="preserve">.  Earlier application is </w:t>
      </w:r>
      <w:bookmarkStart w:id="4" w:name="EarlyTextCompile"/>
      <w:r w:rsidR="000E17BE" w:rsidRPr="000E17BE">
        <w:rPr>
          <w:szCs w:val="19"/>
        </w:rPr>
        <w:t>permitted</w:t>
      </w:r>
      <w:bookmarkEnd w:id="4"/>
      <w:r w:rsidR="000E17BE" w:rsidRPr="000E17BE">
        <w:rPr>
          <w:szCs w:val="19"/>
        </w:rPr>
        <w:t xml:space="preserve"> for </w:t>
      </w:r>
      <w:r w:rsidR="0071588A">
        <w:rPr>
          <w:szCs w:val="19"/>
        </w:rPr>
        <w:t xml:space="preserve">annual periods beginning on or after 1 January 2014 that end before </w:t>
      </w:r>
      <w:r w:rsidR="00CF5945">
        <w:rPr>
          <w:szCs w:val="19"/>
        </w:rPr>
        <w:t>1</w:t>
      </w:r>
      <w:r w:rsidR="0071588A">
        <w:rPr>
          <w:szCs w:val="19"/>
        </w:rPr>
        <w:t xml:space="preserve"> Ju</w:t>
      </w:r>
      <w:r w:rsidR="00CF5945">
        <w:rPr>
          <w:szCs w:val="19"/>
        </w:rPr>
        <w:t>ly</w:t>
      </w:r>
      <w:r w:rsidR="0071588A">
        <w:rPr>
          <w:szCs w:val="19"/>
        </w:rPr>
        <w:t xml:space="preserve"> 202</w:t>
      </w:r>
      <w:r w:rsidR="00CF5945">
        <w:rPr>
          <w:szCs w:val="19"/>
        </w:rPr>
        <w:t>1</w:t>
      </w:r>
      <w:r w:rsidR="0071588A">
        <w:rPr>
          <w:szCs w:val="19"/>
        </w:rPr>
        <w:t xml:space="preserve">.  </w:t>
      </w:r>
      <w:r w:rsidR="000E17BE" w:rsidRPr="00882B64">
        <w:rPr>
          <w:szCs w:val="19"/>
        </w:rPr>
        <w:t xml:space="preserve">It incorporates relevant amendments made up to and including </w:t>
      </w:r>
      <w:r w:rsidR="000E17BE" w:rsidRPr="00882B64">
        <w:rPr>
          <w:szCs w:val="19"/>
        </w:rPr>
        <w:fldChar w:fldCharType="begin"/>
      </w:r>
      <w:r w:rsidR="000E17BE" w:rsidRPr="00882B64">
        <w:rPr>
          <w:szCs w:val="19"/>
        </w:rPr>
        <w:instrText xml:space="preserve"> REF CompileDate \* charformat  \* MERGEFORMAT </w:instrText>
      </w:r>
      <w:r w:rsidR="000E17BE" w:rsidRPr="00882B64">
        <w:rPr>
          <w:szCs w:val="19"/>
        </w:rPr>
        <w:fldChar w:fldCharType="separate"/>
      </w:r>
      <w:r w:rsidR="00E04D7B">
        <w:rPr>
          <w:szCs w:val="19"/>
        </w:rPr>
        <w:t xml:space="preserve">6 March </w:t>
      </w:r>
      <w:r w:rsidR="00E04D7B" w:rsidRPr="00267D14">
        <w:rPr>
          <w:szCs w:val="19"/>
        </w:rPr>
        <w:t>20</w:t>
      </w:r>
      <w:r w:rsidR="00E04D7B">
        <w:rPr>
          <w:szCs w:val="19"/>
        </w:rPr>
        <w:t>20</w:t>
      </w:r>
      <w:r w:rsidR="000E17BE" w:rsidRPr="00882B64">
        <w:rPr>
          <w:szCs w:val="19"/>
        </w:rPr>
        <w:fldChar w:fldCharType="end"/>
      </w:r>
      <w:r w:rsidR="000E17BE" w:rsidRPr="00882B64">
        <w:rPr>
          <w:szCs w:val="19"/>
        </w:rPr>
        <w:t>.</w:t>
      </w:r>
    </w:p>
    <w:p w14:paraId="017C986C" w14:textId="738CA3B5" w:rsidR="00C50009" w:rsidRPr="00801238" w:rsidRDefault="00C50009" w:rsidP="00882B64">
      <w:pPr>
        <w:spacing w:before="100" w:after="100" w:line="240" w:lineRule="auto"/>
        <w:rPr>
          <w:sz w:val="19"/>
          <w:szCs w:val="19"/>
        </w:rPr>
      </w:pPr>
      <w:r w:rsidRPr="00882B64">
        <w:rPr>
          <w:sz w:val="19"/>
          <w:szCs w:val="19"/>
        </w:rPr>
        <w:t xml:space="preserve">Prepared on </w:t>
      </w:r>
      <w:r w:rsidR="00AA059D" w:rsidRPr="00801238">
        <w:rPr>
          <w:sz w:val="19"/>
          <w:szCs w:val="19"/>
        </w:rPr>
        <w:fldChar w:fldCharType="begin"/>
      </w:r>
      <w:r w:rsidR="00AA059D" w:rsidRPr="00882B64">
        <w:rPr>
          <w:sz w:val="19"/>
          <w:szCs w:val="19"/>
        </w:rPr>
        <w:instrText xml:space="preserve"> REF \* char</w:instrText>
      </w:r>
      <w:r w:rsidR="00AA059D" w:rsidRPr="00801238">
        <w:rPr>
          <w:sz w:val="19"/>
          <w:szCs w:val="19"/>
        </w:rPr>
        <w:instrText xml:space="preserve">format PrepDate </w:instrText>
      </w:r>
      <w:r w:rsidR="00EA052C" w:rsidRPr="00801238">
        <w:rPr>
          <w:sz w:val="19"/>
          <w:szCs w:val="19"/>
        </w:rPr>
        <w:instrText xml:space="preserve"> \* MERGEFORMAT </w:instrText>
      </w:r>
      <w:r w:rsidR="00AA059D" w:rsidRPr="00801238">
        <w:rPr>
          <w:sz w:val="19"/>
          <w:szCs w:val="19"/>
        </w:rPr>
        <w:fldChar w:fldCharType="separate"/>
      </w:r>
      <w:r w:rsidR="00E04D7B">
        <w:rPr>
          <w:sz w:val="19"/>
          <w:szCs w:val="19"/>
        </w:rPr>
        <w:t xml:space="preserve">21 July </w:t>
      </w:r>
      <w:r w:rsidR="00E04D7B" w:rsidRPr="00267D14">
        <w:rPr>
          <w:sz w:val="19"/>
          <w:szCs w:val="19"/>
        </w:rPr>
        <w:t>202</w:t>
      </w:r>
      <w:r w:rsidR="00E04D7B">
        <w:rPr>
          <w:sz w:val="19"/>
          <w:szCs w:val="19"/>
        </w:rPr>
        <w:t>1</w:t>
      </w:r>
      <w:r w:rsidR="00AA059D" w:rsidRPr="00801238">
        <w:rPr>
          <w:sz w:val="19"/>
          <w:szCs w:val="19"/>
        </w:rPr>
        <w:fldChar w:fldCharType="end"/>
      </w:r>
      <w:r w:rsidRPr="00801238">
        <w:rPr>
          <w:sz w:val="19"/>
          <w:szCs w:val="19"/>
        </w:rPr>
        <w:t xml:space="preserve"> by the staff of the Australian Accounting Standards Board.</w:t>
      </w:r>
    </w:p>
    <w:p w14:paraId="20749FED" w14:textId="682EBBA6" w:rsidR="008D67C0" w:rsidRPr="00801238" w:rsidRDefault="008D67C0" w:rsidP="003410BE">
      <w:pPr>
        <w:spacing w:before="100" w:after="100" w:line="240" w:lineRule="auto"/>
        <w:rPr>
          <w:sz w:val="19"/>
          <w:szCs w:val="19"/>
        </w:rPr>
      </w:pPr>
      <w:r w:rsidRPr="00801238">
        <w:rPr>
          <w:sz w:val="19"/>
          <w:szCs w:val="19"/>
        </w:rPr>
        <w:t xml:space="preserve">Compilation no. </w:t>
      </w:r>
      <w:r w:rsidR="00507E9E">
        <w:rPr>
          <w:sz w:val="19"/>
          <w:szCs w:val="19"/>
        </w:rPr>
        <w:t>5</w:t>
      </w:r>
    </w:p>
    <w:p w14:paraId="0F529F6B" w14:textId="677B3010" w:rsidR="008D67C0" w:rsidRPr="00801238" w:rsidRDefault="008D67C0" w:rsidP="003410BE">
      <w:pPr>
        <w:spacing w:before="100" w:after="100" w:line="240" w:lineRule="auto"/>
        <w:rPr>
          <w:sz w:val="19"/>
          <w:szCs w:val="19"/>
        </w:rPr>
      </w:pPr>
      <w:r w:rsidRPr="00801238">
        <w:rPr>
          <w:sz w:val="19"/>
          <w:szCs w:val="19"/>
        </w:rPr>
        <w:t xml:space="preserve">Compilation date: </w:t>
      </w:r>
      <w:r w:rsidR="0071588A">
        <w:rPr>
          <w:sz w:val="19"/>
          <w:szCs w:val="19"/>
        </w:rPr>
        <w:t xml:space="preserve"> </w:t>
      </w:r>
      <w:r w:rsidR="00507E9E">
        <w:rPr>
          <w:sz w:val="19"/>
          <w:szCs w:val="19"/>
        </w:rPr>
        <w:t>30</w:t>
      </w:r>
      <w:r w:rsidR="00257586">
        <w:rPr>
          <w:sz w:val="19"/>
          <w:szCs w:val="19"/>
        </w:rPr>
        <w:t xml:space="preserve"> June</w:t>
      </w:r>
      <w:r w:rsidRPr="00801238">
        <w:rPr>
          <w:sz w:val="19"/>
          <w:szCs w:val="19"/>
        </w:rPr>
        <w:t xml:space="preserve"> 20</w:t>
      </w:r>
      <w:r w:rsidR="00257586">
        <w:rPr>
          <w:sz w:val="19"/>
          <w:szCs w:val="19"/>
        </w:rPr>
        <w:t>2</w:t>
      </w:r>
      <w:r w:rsidR="00507E9E">
        <w:rPr>
          <w:sz w:val="19"/>
          <w:szCs w:val="19"/>
        </w:rPr>
        <w:t>1</w:t>
      </w:r>
    </w:p>
    <w:bookmarkStart w:id="5" w:name="_MON_1693123410"/>
    <w:bookmarkEnd w:id="5"/>
    <w:p w14:paraId="017C986D" w14:textId="2DFFC94C" w:rsidR="00090A6F" w:rsidRPr="00801238" w:rsidRDefault="00147A29" w:rsidP="00147A29">
      <w:pPr>
        <w:spacing w:before="8160" w:line="240" w:lineRule="auto"/>
        <w:rPr>
          <w:sz w:val="19"/>
          <w:szCs w:val="19"/>
        </w:rPr>
      </w:pPr>
      <w:r w:rsidRPr="00F60FEF">
        <w:rPr>
          <w:sz w:val="19"/>
          <w:szCs w:val="19"/>
        </w:rPr>
        <w:object w:dxaOrig="2471" w:dyaOrig="1915" w14:anchorId="07A3B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ASB logo with Australian crest and text identifying the Australian Government and the Australian Accounting Standards Board." style="width:123.75pt;height:96.75pt" o:ole="">
            <v:imagedata r:id="rId11" o:title=""/>
          </v:shape>
          <o:OLEObject Type="Embed" ProgID="Word.Picture.8" ShapeID="_x0000_i1025" DrawAspect="Content" ObjectID="_1693213562" r:id="rId12"/>
        </w:object>
      </w:r>
    </w:p>
    <w:p w14:paraId="017C986E" w14:textId="38FE1CCD" w:rsidR="00C50009" w:rsidRPr="00801238" w:rsidRDefault="00C50009" w:rsidP="003410BE">
      <w:pPr>
        <w:spacing w:before="100" w:line="240" w:lineRule="auto"/>
        <w:rPr>
          <w:sz w:val="19"/>
          <w:szCs w:val="19"/>
        </w:rPr>
        <w:sectPr w:rsidR="00C50009" w:rsidRPr="00801238" w:rsidSect="00A94BF6">
          <w:pgSz w:w="11907" w:h="16840"/>
          <w:pgMar w:top="1440" w:right="1440" w:bottom="1440" w:left="1440" w:header="709" w:footer="709" w:gutter="0"/>
          <w:cols w:space="720"/>
          <w:titlePg/>
          <w:docGrid w:linePitch="272"/>
        </w:sectPr>
      </w:pPr>
    </w:p>
    <w:p w14:paraId="4B21C13C" w14:textId="77777777" w:rsidR="001325CA" w:rsidRPr="000D35D8" w:rsidRDefault="001325CA" w:rsidP="001325CA">
      <w:pPr>
        <w:pStyle w:val="IASBSectionTitle2NonInd"/>
      </w:pPr>
      <w:r w:rsidRPr="00B663AC">
        <w:lastRenderedPageBreak/>
        <w:t xml:space="preserve">Obtaining </w:t>
      </w:r>
      <w:r>
        <w:t xml:space="preserve">copies </w:t>
      </w:r>
      <w:r w:rsidRPr="00B663AC">
        <w:t>of Accounting Standards</w:t>
      </w:r>
    </w:p>
    <w:p w14:paraId="68FEED84" w14:textId="77777777" w:rsidR="001325CA" w:rsidRDefault="001325CA" w:rsidP="001325CA">
      <w:pPr>
        <w:pStyle w:val="AASBPara"/>
      </w:pPr>
      <w:r w:rsidRPr="000D35D8">
        <w:t xml:space="preserve">Compiled versions of Standards, original Standards and amending Standards (see Compilation Details) are available on the AASB website: </w:t>
      </w:r>
      <w:r w:rsidRPr="00D358C3">
        <w:t>www.aasb.gov.au</w:t>
      </w:r>
      <w:r w:rsidRPr="000D35D8">
        <w:t>.</w:t>
      </w:r>
    </w:p>
    <w:p w14:paraId="16EACF2D" w14:textId="77777777" w:rsidR="001325CA" w:rsidRDefault="001325CA" w:rsidP="001325CA">
      <w:pPr>
        <w:pStyle w:val="AASBBase"/>
      </w:pPr>
      <w:r>
        <w:t>Australian Accounting Standards Board</w:t>
      </w:r>
    </w:p>
    <w:p w14:paraId="491AAC3E" w14:textId="77777777" w:rsidR="001325CA" w:rsidRDefault="001325CA" w:rsidP="001325CA">
      <w:pPr>
        <w:pStyle w:val="AASBBase"/>
      </w:pPr>
      <w:r>
        <w:t>PO Box 204</w:t>
      </w:r>
    </w:p>
    <w:p w14:paraId="1F4E9786" w14:textId="77777777" w:rsidR="001325CA" w:rsidRDefault="001325CA" w:rsidP="001325CA">
      <w:pPr>
        <w:pStyle w:val="AASBBase"/>
      </w:pPr>
      <w:r>
        <w:t>Collins Street West</w:t>
      </w:r>
    </w:p>
    <w:p w14:paraId="2517B0B8" w14:textId="77777777" w:rsidR="001325CA" w:rsidRDefault="001325CA" w:rsidP="001325CA">
      <w:pPr>
        <w:pStyle w:val="AASBBase"/>
      </w:pPr>
      <w:r>
        <w:t>Victoria   8007</w:t>
      </w:r>
    </w:p>
    <w:p w14:paraId="18E34FCC" w14:textId="77777777" w:rsidR="001325CA" w:rsidRDefault="001325CA" w:rsidP="001325CA">
      <w:pPr>
        <w:pStyle w:val="AASBPara"/>
      </w:pPr>
      <w:r>
        <w:t>AUSTRALIA</w:t>
      </w:r>
    </w:p>
    <w:p w14:paraId="63790D7D" w14:textId="77777777" w:rsidR="001325CA" w:rsidRDefault="001325CA" w:rsidP="001325CA">
      <w:pPr>
        <w:pStyle w:val="AASBBase"/>
        <w:tabs>
          <w:tab w:val="left" w:pos="907"/>
        </w:tabs>
      </w:pPr>
      <w:r>
        <w:t>Phone:</w:t>
      </w:r>
      <w:r>
        <w:tab/>
        <w:t>(03) 9617 7600</w:t>
      </w:r>
    </w:p>
    <w:p w14:paraId="36076015" w14:textId="77777777" w:rsidR="001325CA" w:rsidRDefault="001325CA" w:rsidP="001325CA">
      <w:pPr>
        <w:pStyle w:val="AASBBase"/>
        <w:tabs>
          <w:tab w:val="left" w:pos="907"/>
        </w:tabs>
      </w:pPr>
      <w:r>
        <w:t>E-mail:</w:t>
      </w:r>
      <w:r>
        <w:tab/>
      </w:r>
      <w:r w:rsidRPr="00D358C3">
        <w:t>s</w:t>
      </w:r>
      <w:r>
        <w:t>tandard</w:t>
      </w:r>
      <w:r w:rsidRPr="00D358C3">
        <w:t>@aasb.gov.au</w:t>
      </w:r>
    </w:p>
    <w:p w14:paraId="53FDE024" w14:textId="77777777" w:rsidR="001325CA" w:rsidRDefault="001325CA" w:rsidP="001325CA">
      <w:pPr>
        <w:pStyle w:val="AASBPara"/>
        <w:tabs>
          <w:tab w:val="left" w:pos="907"/>
        </w:tabs>
      </w:pPr>
      <w:r>
        <w:t>Website:</w:t>
      </w:r>
      <w:r>
        <w:tab/>
      </w:r>
      <w:r w:rsidRPr="00D358C3">
        <w:t>www.aasb.gov.au</w:t>
      </w:r>
    </w:p>
    <w:p w14:paraId="4D8CAF1A" w14:textId="77777777" w:rsidR="001325CA" w:rsidRPr="000D35D8" w:rsidRDefault="001325CA" w:rsidP="001325CA">
      <w:pPr>
        <w:pStyle w:val="IASBSectionTitle2NonInd"/>
      </w:pPr>
      <w:r w:rsidRPr="00B663AC">
        <w:t xml:space="preserve">Other </w:t>
      </w:r>
      <w:r>
        <w:t>e</w:t>
      </w:r>
      <w:r w:rsidRPr="00B663AC">
        <w:t>nquiries</w:t>
      </w:r>
    </w:p>
    <w:p w14:paraId="2926531C" w14:textId="77777777" w:rsidR="001325CA" w:rsidRPr="000D35D8" w:rsidRDefault="001325CA" w:rsidP="001325CA">
      <w:pPr>
        <w:pStyle w:val="AASBBase"/>
        <w:tabs>
          <w:tab w:val="left" w:pos="907"/>
        </w:tabs>
      </w:pPr>
      <w:r w:rsidRPr="000D35D8">
        <w:t>Phone:</w:t>
      </w:r>
      <w:r w:rsidRPr="000D35D8">
        <w:tab/>
        <w:t>(03) 9617 7600</w:t>
      </w:r>
    </w:p>
    <w:p w14:paraId="017C988C" w14:textId="3E4F2AC5" w:rsidR="00523520" w:rsidRDefault="001325CA" w:rsidP="001325CA">
      <w:pPr>
        <w:pStyle w:val="AASBBase"/>
        <w:tabs>
          <w:tab w:val="left" w:pos="907"/>
        </w:tabs>
      </w:pPr>
      <w:r w:rsidRPr="000D35D8">
        <w:t>E-mail:</w:t>
      </w:r>
      <w:r w:rsidRPr="000D35D8">
        <w:tab/>
      </w:r>
      <w:r w:rsidRPr="00D358C3">
        <w:t>standard@aasb.gov.au</w:t>
      </w:r>
    </w:p>
    <w:p w14:paraId="46940A80" w14:textId="77777777" w:rsidR="0074684C" w:rsidRPr="00153782" w:rsidRDefault="0074684C" w:rsidP="00707346">
      <w:pPr>
        <w:pStyle w:val="AASBPara"/>
        <w:spacing w:before="7320"/>
        <w:rPr>
          <w:szCs w:val="19"/>
        </w:rPr>
      </w:pPr>
      <w:r w:rsidRPr="00153782">
        <w:rPr>
          <w:szCs w:val="19"/>
        </w:rPr>
        <w:t>COPYRIGHT</w:t>
      </w:r>
    </w:p>
    <w:p w14:paraId="3863B5A7" w14:textId="7BEFBF9C" w:rsidR="0074684C" w:rsidRPr="00FE7E2B" w:rsidRDefault="0074684C" w:rsidP="00752147">
      <w:pPr>
        <w:pStyle w:val="AASBPara"/>
      </w:pPr>
      <w:r w:rsidRPr="00FE7E2B">
        <w:t>© Commonwealth of Australia 20</w:t>
      </w:r>
      <w:r>
        <w:t>2</w:t>
      </w:r>
      <w:r w:rsidR="00507E9E">
        <w:t>1</w:t>
      </w:r>
    </w:p>
    <w:p w14:paraId="0C7B0156" w14:textId="06A4D57E" w:rsidR="001325CA" w:rsidRPr="00153782" w:rsidRDefault="001325CA" w:rsidP="00153782">
      <w:pPr>
        <w:spacing w:line="240" w:lineRule="auto"/>
        <w:jc w:val="both"/>
        <w:rPr>
          <w:sz w:val="19"/>
          <w:szCs w:val="19"/>
        </w:rPr>
      </w:pPr>
      <w:r w:rsidRPr="00153782">
        <w:rPr>
          <w:sz w:val="19"/>
          <w:szCs w:val="19"/>
        </w:rPr>
        <w:t xml:space="preserve">This work is copyright.  Apart from any use as permitted under the </w:t>
      </w:r>
      <w:r w:rsidRPr="00153782">
        <w:rPr>
          <w:i/>
          <w:sz w:val="19"/>
          <w:szCs w:val="19"/>
        </w:rPr>
        <w:t>Copyright Act 1968</w:t>
      </w:r>
      <w:r w:rsidRPr="00153782">
        <w:rPr>
          <w:sz w:val="19"/>
          <w:szCs w:val="19"/>
        </w:rPr>
        <w:t xml:space="preserve">, no part may be reproduced by any process without prior written permission.  </w:t>
      </w:r>
      <w:r w:rsidR="00707346">
        <w:t xml:space="preserve">Reproduction within Australia in unaltered form (retaining this notice) is permitted for personal and non-commercial use subject to the inclusion of an acknowledgment of the source.  </w:t>
      </w:r>
      <w:r w:rsidRPr="00153782">
        <w:rPr>
          <w:sz w:val="19"/>
          <w:szCs w:val="19"/>
        </w:rPr>
        <w:t xml:space="preserve">Requests and enquiries concerning reproduction and rights should be addressed to </w:t>
      </w:r>
      <w:r w:rsidR="00F75C2E" w:rsidRPr="00153782">
        <w:rPr>
          <w:sz w:val="19"/>
          <w:szCs w:val="19"/>
        </w:rPr>
        <w:t xml:space="preserve">The </w:t>
      </w:r>
      <w:r w:rsidR="00153782" w:rsidRPr="00153782">
        <w:rPr>
          <w:sz w:val="19"/>
          <w:szCs w:val="19"/>
        </w:rPr>
        <w:t xml:space="preserve">National </w:t>
      </w:r>
      <w:r w:rsidRPr="00153782">
        <w:rPr>
          <w:sz w:val="19"/>
          <w:szCs w:val="19"/>
        </w:rPr>
        <w:t>Director, Australian Accounting Standards Board, PO Box 204, Collins Street West, Victoria 8007.</w:t>
      </w:r>
    </w:p>
    <w:p w14:paraId="017C9890" w14:textId="64B625BC" w:rsidR="00C85BDB" w:rsidRPr="00153782" w:rsidRDefault="00C85BDB" w:rsidP="00153782">
      <w:pPr>
        <w:spacing w:line="240" w:lineRule="auto"/>
        <w:jc w:val="both"/>
        <w:rPr>
          <w:sz w:val="19"/>
          <w:szCs w:val="19"/>
        </w:rPr>
        <w:sectPr w:rsidR="00C85BDB" w:rsidRPr="00153782" w:rsidSect="00C85BDB">
          <w:footerReference w:type="default" r:id="rId13"/>
          <w:pgSz w:w="11907" w:h="16840"/>
          <w:pgMar w:top="1440" w:right="1440" w:bottom="1440" w:left="1440" w:header="706" w:footer="709" w:gutter="0"/>
          <w:cols w:space="720"/>
          <w:docGrid w:linePitch="272"/>
        </w:sectPr>
      </w:pPr>
    </w:p>
    <w:p w14:paraId="017C9891" w14:textId="0843A03A" w:rsidR="00090A6F" w:rsidRPr="00A8015E" w:rsidRDefault="00D50116" w:rsidP="00D50116">
      <w:pPr>
        <w:pStyle w:val="ConvSectionTitle"/>
      </w:pPr>
      <w:r w:rsidRPr="00A8015E">
        <w:lastRenderedPageBreak/>
        <w:t>Contents</w:t>
      </w:r>
    </w:p>
    <w:p w14:paraId="017C9893" w14:textId="1E7A14A8" w:rsidR="001276B8" w:rsidRPr="00EA052C" w:rsidRDefault="001276B8" w:rsidP="00743A0A">
      <w:pPr>
        <w:pStyle w:val="ContentsCapsPlain"/>
        <w:spacing w:before="400"/>
        <w:rPr>
          <w:sz w:val="19"/>
          <w:szCs w:val="19"/>
        </w:rPr>
      </w:pPr>
      <w:r w:rsidRPr="00EA052C">
        <w:rPr>
          <w:sz w:val="19"/>
          <w:szCs w:val="19"/>
        </w:rPr>
        <w:t xml:space="preserve">Comparison with </w:t>
      </w:r>
      <w:r w:rsidR="005A0456" w:rsidRPr="00EA052C">
        <w:rPr>
          <w:sz w:val="19"/>
          <w:szCs w:val="19"/>
        </w:rPr>
        <w:t>IFrs</w:t>
      </w:r>
      <w:r w:rsidR="0011328A" w:rsidRPr="00EA052C">
        <w:rPr>
          <w:sz w:val="19"/>
          <w:szCs w:val="19"/>
        </w:rPr>
        <w:t xml:space="preserve"> Standards</w:t>
      </w:r>
    </w:p>
    <w:p w14:paraId="017C9894" w14:textId="77777777" w:rsidR="00090A6F" w:rsidRPr="00743A0A" w:rsidRDefault="00090A6F">
      <w:pPr>
        <w:pStyle w:val="ContentsCapsBold"/>
        <w:rPr>
          <w:sz w:val="19"/>
          <w:szCs w:val="19"/>
        </w:rPr>
      </w:pPr>
      <w:r w:rsidRPr="00743A0A">
        <w:rPr>
          <w:sz w:val="19"/>
          <w:szCs w:val="19"/>
        </w:rPr>
        <w:t>Accounting Standard</w:t>
      </w:r>
    </w:p>
    <w:p w14:paraId="017C9895" w14:textId="60D37421" w:rsidR="00090A6F" w:rsidRPr="00743A0A" w:rsidRDefault="00090A6F" w:rsidP="003C0120">
      <w:pPr>
        <w:pStyle w:val="ContentsCapsBold"/>
        <w:spacing w:after="200"/>
        <w:rPr>
          <w:sz w:val="19"/>
          <w:szCs w:val="19"/>
        </w:rPr>
      </w:pPr>
      <w:r w:rsidRPr="00743A0A">
        <w:rPr>
          <w:sz w:val="19"/>
          <w:szCs w:val="19"/>
        </w:rPr>
        <w:t xml:space="preserve">AASB </w:t>
      </w:r>
      <w:r w:rsidRPr="00743A0A">
        <w:rPr>
          <w:sz w:val="19"/>
          <w:szCs w:val="19"/>
        </w:rPr>
        <w:fldChar w:fldCharType="begin" w:fldLock="1"/>
      </w:r>
      <w:r w:rsidRPr="00743A0A">
        <w:rPr>
          <w:sz w:val="19"/>
          <w:szCs w:val="19"/>
        </w:rPr>
        <w:instrText xml:space="preserve"> REF DocNo \* charformat </w:instrText>
      </w:r>
      <w:r w:rsidR="00EA052C" w:rsidRPr="00743A0A">
        <w:rPr>
          <w:sz w:val="19"/>
          <w:szCs w:val="19"/>
        </w:rPr>
        <w:instrText xml:space="preserve"> \* MERGEFORMAT </w:instrText>
      </w:r>
      <w:r w:rsidRPr="00743A0A">
        <w:rPr>
          <w:sz w:val="19"/>
          <w:szCs w:val="19"/>
        </w:rPr>
        <w:fldChar w:fldCharType="separate"/>
      </w:r>
      <w:r w:rsidR="00C50009" w:rsidRPr="00743A0A">
        <w:rPr>
          <w:sz w:val="19"/>
          <w:szCs w:val="19"/>
        </w:rPr>
        <w:t>1054</w:t>
      </w:r>
      <w:r w:rsidRPr="00743A0A">
        <w:rPr>
          <w:sz w:val="19"/>
          <w:szCs w:val="19"/>
        </w:rPr>
        <w:fldChar w:fldCharType="end"/>
      </w:r>
      <w:r w:rsidRPr="00743A0A">
        <w:rPr>
          <w:sz w:val="19"/>
          <w:szCs w:val="19"/>
        </w:rPr>
        <w:t xml:space="preserve"> </w:t>
      </w:r>
      <w:r w:rsidRPr="00743A0A">
        <w:rPr>
          <w:i/>
          <w:iCs/>
          <w:sz w:val="19"/>
          <w:szCs w:val="19"/>
        </w:rPr>
        <w:fldChar w:fldCharType="begin" w:fldLock="1"/>
      </w:r>
      <w:r w:rsidRPr="00743A0A">
        <w:rPr>
          <w:i/>
          <w:iCs/>
          <w:sz w:val="19"/>
          <w:szCs w:val="19"/>
        </w:rPr>
        <w:instrText xml:space="preserve"> REF DocTitle \* charformat </w:instrText>
      </w:r>
      <w:r w:rsidR="00EA052C" w:rsidRPr="00743A0A">
        <w:rPr>
          <w:i/>
          <w:iCs/>
          <w:sz w:val="19"/>
          <w:szCs w:val="19"/>
        </w:rPr>
        <w:instrText xml:space="preserve"> \* MERGEFORMAT </w:instrText>
      </w:r>
      <w:r w:rsidRPr="00743A0A">
        <w:rPr>
          <w:i/>
          <w:iCs/>
          <w:sz w:val="19"/>
          <w:szCs w:val="19"/>
        </w:rPr>
        <w:fldChar w:fldCharType="separate"/>
      </w:r>
      <w:r w:rsidR="00C50009" w:rsidRPr="00743A0A">
        <w:rPr>
          <w:i/>
          <w:iCs/>
          <w:sz w:val="19"/>
          <w:szCs w:val="19"/>
        </w:rPr>
        <w:t>Australian Additional Disclosures</w:t>
      </w:r>
      <w:r w:rsidRPr="00743A0A">
        <w:rPr>
          <w:i/>
          <w:iCs/>
          <w:sz w:val="19"/>
          <w:szCs w:val="19"/>
        </w:rPr>
        <w:fldChar w:fldCharType="end"/>
      </w:r>
    </w:p>
    <w:p w14:paraId="017C9896" w14:textId="238B9445" w:rsidR="00090A6F" w:rsidRPr="00743A0A" w:rsidRDefault="00F74978" w:rsidP="00C50009">
      <w:pPr>
        <w:pStyle w:val="ContentsParaHead"/>
        <w:rPr>
          <w:sz w:val="19"/>
          <w:szCs w:val="19"/>
        </w:rPr>
      </w:pPr>
      <w:r w:rsidRPr="00743A0A">
        <w:rPr>
          <w:sz w:val="19"/>
          <w:szCs w:val="19"/>
        </w:rPr>
        <w:t xml:space="preserve">from </w:t>
      </w:r>
      <w:r w:rsidR="00D50116" w:rsidRPr="00743A0A">
        <w:rPr>
          <w:sz w:val="19"/>
          <w:szCs w:val="19"/>
        </w:rPr>
        <w:t>paragraph</w:t>
      </w:r>
    </w:p>
    <w:p w14:paraId="017C9897" w14:textId="45B550C3" w:rsidR="00090A6F" w:rsidRPr="00F75C2E" w:rsidRDefault="00090A6F" w:rsidP="00F74978">
      <w:pPr>
        <w:pStyle w:val="ContentsLevel1"/>
        <w:tabs>
          <w:tab w:val="clear" w:pos="6237"/>
          <w:tab w:val="right" w:pos="9027"/>
        </w:tabs>
        <w:spacing w:line="240" w:lineRule="auto"/>
        <w:ind w:left="0" w:firstLine="0"/>
        <w:jc w:val="both"/>
        <w:rPr>
          <w:b/>
          <w:sz w:val="19"/>
          <w:szCs w:val="19"/>
        </w:rPr>
      </w:pPr>
      <w:r w:rsidRPr="00F75C2E">
        <w:rPr>
          <w:b/>
          <w:caps/>
          <w:sz w:val="19"/>
        </w:rPr>
        <w:t>Objective</w:t>
      </w:r>
      <w:r w:rsidR="001225E4" w:rsidRPr="00F75C2E">
        <w:rPr>
          <w:b/>
        </w:rPr>
        <w:tab/>
      </w:r>
      <w:r w:rsidR="0009385E" w:rsidRPr="00F75C2E">
        <w:rPr>
          <w:b/>
          <w:sz w:val="19"/>
          <w:szCs w:val="19"/>
        </w:rPr>
        <w:t>1</w:t>
      </w:r>
    </w:p>
    <w:p w14:paraId="017C9898" w14:textId="29BE7AFA" w:rsidR="008666B1" w:rsidRPr="00F75C2E" w:rsidRDefault="0095555D" w:rsidP="001325CA">
      <w:pPr>
        <w:pStyle w:val="ContentsLevel1"/>
        <w:tabs>
          <w:tab w:val="clear" w:pos="6237"/>
          <w:tab w:val="right" w:pos="9027"/>
        </w:tabs>
        <w:spacing w:line="240" w:lineRule="auto"/>
        <w:ind w:left="0" w:firstLine="0"/>
        <w:jc w:val="both"/>
        <w:rPr>
          <w:b/>
          <w:sz w:val="19"/>
          <w:szCs w:val="19"/>
        </w:rPr>
      </w:pPr>
      <w:r w:rsidRPr="00F75C2E">
        <w:rPr>
          <w:b/>
          <w:caps/>
          <w:sz w:val="19"/>
        </w:rPr>
        <w:t>Application</w:t>
      </w:r>
      <w:r w:rsidR="008666B1" w:rsidRPr="00F75C2E">
        <w:rPr>
          <w:b/>
          <w:sz w:val="19"/>
          <w:szCs w:val="19"/>
        </w:rPr>
        <w:tab/>
      </w:r>
      <w:r w:rsidR="00153782" w:rsidRPr="00F75C2E">
        <w:rPr>
          <w:b/>
          <w:sz w:val="19"/>
          <w:szCs w:val="19"/>
        </w:rPr>
        <w:t>3</w:t>
      </w:r>
    </w:p>
    <w:p w14:paraId="017C989A" w14:textId="77777777" w:rsidR="00BC70DB" w:rsidRPr="00F75C2E" w:rsidRDefault="00BC70DB" w:rsidP="001325CA">
      <w:pPr>
        <w:pStyle w:val="ContentsLevel1"/>
        <w:tabs>
          <w:tab w:val="clear" w:pos="6237"/>
          <w:tab w:val="right" w:pos="9027"/>
        </w:tabs>
        <w:spacing w:line="240" w:lineRule="auto"/>
        <w:ind w:left="0" w:firstLine="0"/>
        <w:jc w:val="both"/>
        <w:rPr>
          <w:b/>
          <w:sz w:val="19"/>
          <w:szCs w:val="19"/>
        </w:rPr>
      </w:pPr>
      <w:r w:rsidRPr="00F75C2E">
        <w:rPr>
          <w:b/>
          <w:caps/>
          <w:sz w:val="19"/>
        </w:rPr>
        <w:t>Definitions</w:t>
      </w:r>
      <w:r w:rsidR="00D943B6" w:rsidRPr="00F75C2E">
        <w:rPr>
          <w:b/>
          <w:sz w:val="19"/>
          <w:szCs w:val="19"/>
        </w:rPr>
        <w:tab/>
      </w:r>
      <w:r w:rsidR="006A48C5" w:rsidRPr="00F75C2E">
        <w:rPr>
          <w:b/>
          <w:sz w:val="19"/>
          <w:szCs w:val="19"/>
        </w:rPr>
        <w:t>6</w:t>
      </w:r>
    </w:p>
    <w:p w14:paraId="017C989B" w14:textId="48D65036" w:rsidR="00BC70DB" w:rsidRPr="00F75C2E" w:rsidRDefault="00BC70DB" w:rsidP="001325CA">
      <w:pPr>
        <w:pStyle w:val="ContentsLevel1"/>
        <w:tabs>
          <w:tab w:val="clear" w:pos="6237"/>
          <w:tab w:val="right" w:pos="9027"/>
        </w:tabs>
        <w:spacing w:line="240" w:lineRule="auto"/>
        <w:ind w:left="0" w:firstLine="0"/>
        <w:jc w:val="both"/>
        <w:rPr>
          <w:b/>
          <w:sz w:val="19"/>
          <w:szCs w:val="19"/>
        </w:rPr>
      </w:pPr>
      <w:r w:rsidRPr="00F75C2E">
        <w:rPr>
          <w:b/>
          <w:caps/>
          <w:sz w:val="19"/>
        </w:rPr>
        <w:t>Compliance</w:t>
      </w:r>
      <w:r w:rsidRPr="00F75C2E">
        <w:rPr>
          <w:b/>
          <w:sz w:val="19"/>
          <w:szCs w:val="19"/>
        </w:rPr>
        <w:t xml:space="preserve"> </w:t>
      </w:r>
      <w:r w:rsidRPr="00F75C2E">
        <w:rPr>
          <w:b/>
          <w:caps/>
          <w:sz w:val="19"/>
        </w:rPr>
        <w:t>with Australian Accounting Standards</w:t>
      </w:r>
      <w:r w:rsidR="00D943B6" w:rsidRPr="00F75C2E">
        <w:rPr>
          <w:b/>
          <w:sz w:val="19"/>
          <w:szCs w:val="19"/>
        </w:rPr>
        <w:tab/>
      </w:r>
      <w:r w:rsidR="006A48C5" w:rsidRPr="00F75C2E">
        <w:rPr>
          <w:b/>
          <w:sz w:val="19"/>
          <w:szCs w:val="19"/>
        </w:rPr>
        <w:t>7</w:t>
      </w:r>
    </w:p>
    <w:p w14:paraId="017C989C" w14:textId="77777777" w:rsidR="00BC70DB" w:rsidRPr="00F75C2E" w:rsidRDefault="00721D2D" w:rsidP="00F74978">
      <w:pPr>
        <w:pStyle w:val="ContentsLevel2"/>
        <w:tabs>
          <w:tab w:val="clear" w:pos="6237"/>
          <w:tab w:val="right" w:pos="9027"/>
        </w:tabs>
        <w:spacing w:line="240" w:lineRule="auto"/>
        <w:ind w:left="0" w:firstLine="0"/>
        <w:jc w:val="both"/>
        <w:rPr>
          <w:b/>
          <w:sz w:val="19"/>
          <w:szCs w:val="19"/>
        </w:rPr>
      </w:pPr>
      <w:r w:rsidRPr="00F75C2E">
        <w:rPr>
          <w:b/>
          <w:caps/>
          <w:sz w:val="19"/>
        </w:rPr>
        <w:t>Reporting Framework</w:t>
      </w:r>
      <w:r w:rsidR="00D943B6" w:rsidRPr="00F75C2E">
        <w:rPr>
          <w:b/>
          <w:sz w:val="19"/>
          <w:szCs w:val="19"/>
        </w:rPr>
        <w:tab/>
      </w:r>
      <w:r w:rsidR="006A48C5" w:rsidRPr="00F75C2E">
        <w:rPr>
          <w:b/>
          <w:sz w:val="19"/>
          <w:szCs w:val="19"/>
        </w:rPr>
        <w:t>8</w:t>
      </w:r>
    </w:p>
    <w:p w14:paraId="017C989D" w14:textId="77777777" w:rsidR="00BC70DB" w:rsidRPr="00F75C2E" w:rsidRDefault="00BC70DB" w:rsidP="00F74978">
      <w:pPr>
        <w:pStyle w:val="ContentsLevel2"/>
        <w:tabs>
          <w:tab w:val="clear" w:pos="6237"/>
          <w:tab w:val="right" w:pos="9027"/>
        </w:tabs>
        <w:spacing w:line="240" w:lineRule="auto"/>
        <w:ind w:left="0" w:firstLine="0"/>
        <w:jc w:val="both"/>
        <w:rPr>
          <w:b/>
          <w:sz w:val="19"/>
          <w:szCs w:val="19"/>
        </w:rPr>
      </w:pPr>
      <w:r w:rsidRPr="00F75C2E">
        <w:rPr>
          <w:b/>
          <w:caps/>
          <w:sz w:val="19"/>
        </w:rPr>
        <w:t>G</w:t>
      </w:r>
      <w:r w:rsidR="00D27F41" w:rsidRPr="00F75C2E">
        <w:rPr>
          <w:b/>
          <w:caps/>
          <w:sz w:val="19"/>
        </w:rPr>
        <w:t>eneral Purpose or Special Purpose Financial S</w:t>
      </w:r>
      <w:r w:rsidR="007373BA" w:rsidRPr="00F75C2E">
        <w:rPr>
          <w:b/>
          <w:caps/>
          <w:sz w:val="19"/>
        </w:rPr>
        <w:t>tatements</w:t>
      </w:r>
      <w:r w:rsidR="00D943B6" w:rsidRPr="00F75C2E">
        <w:rPr>
          <w:b/>
          <w:sz w:val="19"/>
          <w:szCs w:val="19"/>
        </w:rPr>
        <w:tab/>
      </w:r>
      <w:r w:rsidR="006A48C5" w:rsidRPr="00F75C2E">
        <w:rPr>
          <w:b/>
          <w:sz w:val="19"/>
          <w:szCs w:val="19"/>
        </w:rPr>
        <w:t>9</w:t>
      </w:r>
    </w:p>
    <w:p w14:paraId="1E1919DE" w14:textId="026621D3" w:rsidR="00157038" w:rsidRDefault="00E70F41" w:rsidP="00157038">
      <w:pPr>
        <w:pStyle w:val="ContentsLevel2"/>
        <w:tabs>
          <w:tab w:val="clear" w:pos="6237"/>
          <w:tab w:val="right" w:pos="9027"/>
        </w:tabs>
        <w:spacing w:line="240" w:lineRule="auto"/>
        <w:ind w:left="0" w:firstLine="0"/>
        <w:jc w:val="both"/>
        <w:rPr>
          <w:b/>
          <w:caps/>
          <w:sz w:val="19"/>
        </w:rPr>
      </w:pPr>
      <w:r w:rsidRPr="00C8778D">
        <w:rPr>
          <w:b/>
          <w:sz w:val="19"/>
        </w:rPr>
        <w:t xml:space="preserve">Information about </w:t>
      </w:r>
      <w:r w:rsidR="00CB231D" w:rsidRPr="00C8778D">
        <w:rPr>
          <w:b/>
          <w:sz w:val="19"/>
        </w:rPr>
        <w:t>special purpose financial statements</w:t>
      </w:r>
      <w:r w:rsidR="00157038">
        <w:rPr>
          <w:b/>
          <w:caps/>
          <w:sz w:val="19"/>
        </w:rPr>
        <w:tab/>
        <w:t>9A</w:t>
      </w:r>
    </w:p>
    <w:p w14:paraId="017C989E" w14:textId="720D3A77" w:rsidR="00BC70DB" w:rsidRPr="00F75C2E" w:rsidRDefault="00D27F41" w:rsidP="00F74978">
      <w:pPr>
        <w:pStyle w:val="ContentsLevel2"/>
        <w:tabs>
          <w:tab w:val="clear" w:pos="6237"/>
          <w:tab w:val="right" w:pos="9027"/>
        </w:tabs>
        <w:spacing w:line="240" w:lineRule="auto"/>
        <w:ind w:left="0" w:firstLine="0"/>
        <w:jc w:val="both"/>
        <w:rPr>
          <w:b/>
          <w:sz w:val="19"/>
          <w:szCs w:val="19"/>
        </w:rPr>
      </w:pPr>
      <w:r w:rsidRPr="00F75C2E">
        <w:rPr>
          <w:b/>
          <w:caps/>
          <w:sz w:val="19"/>
        </w:rPr>
        <w:t>Audit F</w:t>
      </w:r>
      <w:r w:rsidR="007373BA" w:rsidRPr="00F75C2E">
        <w:rPr>
          <w:b/>
          <w:caps/>
          <w:sz w:val="19"/>
        </w:rPr>
        <w:t>ees</w:t>
      </w:r>
      <w:r w:rsidR="00D943B6" w:rsidRPr="00F75C2E">
        <w:rPr>
          <w:b/>
          <w:sz w:val="19"/>
          <w:szCs w:val="19"/>
        </w:rPr>
        <w:tab/>
      </w:r>
      <w:r w:rsidR="006A48C5" w:rsidRPr="00F75C2E">
        <w:rPr>
          <w:b/>
          <w:sz w:val="19"/>
          <w:szCs w:val="19"/>
        </w:rPr>
        <w:t>10</w:t>
      </w:r>
    </w:p>
    <w:p w14:paraId="017C989F" w14:textId="17BB9DE9" w:rsidR="00090A6F" w:rsidRPr="00F75C2E" w:rsidRDefault="00D27F41" w:rsidP="00F74978">
      <w:pPr>
        <w:pStyle w:val="ContentsLevel2"/>
        <w:tabs>
          <w:tab w:val="clear" w:pos="6237"/>
          <w:tab w:val="right" w:pos="9027"/>
        </w:tabs>
        <w:spacing w:line="240" w:lineRule="auto"/>
        <w:ind w:left="0" w:firstLine="0"/>
        <w:jc w:val="both"/>
        <w:rPr>
          <w:b/>
          <w:sz w:val="19"/>
          <w:szCs w:val="19"/>
        </w:rPr>
      </w:pPr>
      <w:r w:rsidRPr="00F75C2E">
        <w:rPr>
          <w:b/>
          <w:caps/>
          <w:sz w:val="19"/>
        </w:rPr>
        <w:t>Imputation C</w:t>
      </w:r>
      <w:r w:rsidR="007373BA" w:rsidRPr="00F75C2E">
        <w:rPr>
          <w:b/>
          <w:caps/>
          <w:sz w:val="19"/>
        </w:rPr>
        <w:t>redits</w:t>
      </w:r>
      <w:r w:rsidR="00090A6F" w:rsidRPr="00F75C2E">
        <w:rPr>
          <w:b/>
          <w:sz w:val="19"/>
          <w:szCs w:val="19"/>
        </w:rPr>
        <w:tab/>
      </w:r>
      <w:r w:rsidR="006A48C5" w:rsidRPr="00F75C2E">
        <w:rPr>
          <w:b/>
          <w:sz w:val="19"/>
          <w:szCs w:val="19"/>
        </w:rPr>
        <w:t>12</w:t>
      </w:r>
    </w:p>
    <w:p w14:paraId="017C98A0" w14:textId="77777777" w:rsidR="006711DC" w:rsidRPr="00F75C2E" w:rsidRDefault="006711DC" w:rsidP="00F74978">
      <w:pPr>
        <w:pStyle w:val="ContentsLevel2"/>
        <w:tabs>
          <w:tab w:val="clear" w:pos="6237"/>
          <w:tab w:val="right" w:pos="9027"/>
        </w:tabs>
        <w:spacing w:line="240" w:lineRule="auto"/>
        <w:ind w:left="0" w:firstLine="0"/>
        <w:jc w:val="both"/>
        <w:rPr>
          <w:b/>
          <w:sz w:val="19"/>
          <w:szCs w:val="19"/>
        </w:rPr>
      </w:pPr>
      <w:r w:rsidRPr="00F75C2E">
        <w:rPr>
          <w:b/>
          <w:caps/>
          <w:sz w:val="19"/>
        </w:rPr>
        <w:t>Reconciliation</w:t>
      </w:r>
      <w:r w:rsidR="00721D2D" w:rsidRPr="00F75C2E">
        <w:rPr>
          <w:b/>
          <w:caps/>
          <w:sz w:val="19"/>
        </w:rPr>
        <w:t xml:space="preserve"> of Net Operating Cash Flow to</w:t>
      </w:r>
      <w:r w:rsidRPr="00F75C2E">
        <w:rPr>
          <w:b/>
          <w:caps/>
          <w:sz w:val="19"/>
        </w:rPr>
        <w:t xml:space="preserve"> Profit (Loss)</w:t>
      </w:r>
      <w:r w:rsidRPr="00F75C2E">
        <w:rPr>
          <w:b/>
          <w:sz w:val="19"/>
          <w:szCs w:val="19"/>
          <w:lang w:eastAsia="en-NZ"/>
        </w:rPr>
        <w:tab/>
      </w:r>
      <w:r w:rsidR="006A48C5" w:rsidRPr="00F75C2E">
        <w:rPr>
          <w:b/>
          <w:sz w:val="19"/>
          <w:szCs w:val="19"/>
          <w:lang w:eastAsia="en-NZ"/>
        </w:rPr>
        <w:t>16</w:t>
      </w:r>
    </w:p>
    <w:p w14:paraId="5F7C70FF" w14:textId="58D02B55" w:rsidR="00D04020" w:rsidRPr="00F75C2E" w:rsidRDefault="0045081B" w:rsidP="00D04020">
      <w:pPr>
        <w:pStyle w:val="ContentsLevel2"/>
        <w:tabs>
          <w:tab w:val="clear" w:pos="6237"/>
          <w:tab w:val="right" w:pos="9027"/>
        </w:tabs>
        <w:spacing w:line="240" w:lineRule="auto"/>
        <w:ind w:left="0" w:firstLine="0"/>
        <w:jc w:val="both"/>
        <w:rPr>
          <w:b/>
          <w:sz w:val="19"/>
          <w:szCs w:val="19"/>
        </w:rPr>
      </w:pPr>
      <w:r w:rsidRPr="00F75C2E">
        <w:rPr>
          <w:b/>
          <w:caps/>
          <w:sz w:val="19"/>
        </w:rPr>
        <w:t>IFRS Standard Not Yet Issued in Australia</w:t>
      </w:r>
      <w:r w:rsidR="00D04020">
        <w:rPr>
          <w:b/>
          <w:caps/>
          <w:sz w:val="19"/>
        </w:rPr>
        <w:tab/>
      </w:r>
      <w:r w:rsidR="00D04020" w:rsidRPr="00F75C2E">
        <w:rPr>
          <w:b/>
          <w:sz w:val="19"/>
          <w:szCs w:val="19"/>
        </w:rPr>
        <w:t>17</w:t>
      </w:r>
    </w:p>
    <w:p w14:paraId="7A546612" w14:textId="03D183AB" w:rsidR="00D04020" w:rsidRDefault="00633335" w:rsidP="0045081B">
      <w:pPr>
        <w:pStyle w:val="ContentsLevel2"/>
        <w:tabs>
          <w:tab w:val="clear" w:pos="6237"/>
          <w:tab w:val="right" w:pos="9027"/>
        </w:tabs>
        <w:spacing w:line="240" w:lineRule="auto"/>
        <w:ind w:left="0" w:firstLine="0"/>
        <w:jc w:val="both"/>
        <w:rPr>
          <w:b/>
          <w:bCs/>
          <w:sz w:val="19"/>
          <w:szCs w:val="19"/>
        </w:rPr>
      </w:pPr>
      <w:r w:rsidRPr="00AC54CC">
        <w:rPr>
          <w:b/>
          <w:bCs/>
          <w:sz w:val="19"/>
          <w:szCs w:val="19"/>
        </w:rPr>
        <w:t>A</w:t>
      </w:r>
      <w:r w:rsidR="00AC54CC" w:rsidRPr="00AC54CC">
        <w:rPr>
          <w:b/>
          <w:bCs/>
          <w:sz w:val="19"/>
          <w:szCs w:val="19"/>
        </w:rPr>
        <w:t>PPENDI</w:t>
      </w:r>
      <w:r w:rsidR="00347F99">
        <w:rPr>
          <w:b/>
          <w:bCs/>
          <w:sz w:val="19"/>
          <w:szCs w:val="19"/>
        </w:rPr>
        <w:t>X</w:t>
      </w:r>
    </w:p>
    <w:p w14:paraId="55D61065" w14:textId="0CD91D99" w:rsidR="0045081B" w:rsidRPr="00E45F8C" w:rsidRDefault="00E45F8C" w:rsidP="0045081B">
      <w:pPr>
        <w:pStyle w:val="ContentsLevel2"/>
        <w:tabs>
          <w:tab w:val="clear" w:pos="6237"/>
          <w:tab w:val="right" w:pos="9027"/>
        </w:tabs>
        <w:spacing w:line="240" w:lineRule="auto"/>
        <w:ind w:left="0" w:firstLine="0"/>
        <w:jc w:val="both"/>
        <w:rPr>
          <w:b/>
          <w:bCs/>
          <w:sz w:val="19"/>
          <w:szCs w:val="19"/>
        </w:rPr>
      </w:pPr>
      <w:r w:rsidRPr="00E45F8C">
        <w:rPr>
          <w:b/>
          <w:bCs/>
          <w:sz w:val="19"/>
          <w:szCs w:val="19"/>
        </w:rPr>
        <w:t>A</w:t>
      </w:r>
      <w:r>
        <w:rPr>
          <w:b/>
          <w:bCs/>
          <w:sz w:val="19"/>
          <w:szCs w:val="19"/>
        </w:rPr>
        <w:t xml:space="preserve"> </w:t>
      </w:r>
      <w:r w:rsidR="0026160F">
        <w:rPr>
          <w:b/>
          <w:bCs/>
          <w:sz w:val="19"/>
          <w:szCs w:val="19"/>
        </w:rPr>
        <w:t xml:space="preserve"> </w:t>
      </w:r>
      <w:r w:rsidRPr="00E45F8C">
        <w:rPr>
          <w:b/>
          <w:bCs/>
          <w:sz w:val="19"/>
          <w:szCs w:val="19"/>
        </w:rPr>
        <w:t>Australian simplified disclosures for Tier 2 entities</w:t>
      </w:r>
    </w:p>
    <w:p w14:paraId="703A23A2" w14:textId="77777777" w:rsidR="007660E9" w:rsidRPr="00687A36" w:rsidRDefault="007660E9" w:rsidP="007660E9">
      <w:pPr>
        <w:pStyle w:val="ContentsLevel1"/>
        <w:tabs>
          <w:tab w:val="clear" w:pos="6237"/>
          <w:tab w:val="right" w:pos="9027"/>
        </w:tabs>
        <w:spacing w:line="240" w:lineRule="auto"/>
        <w:ind w:left="0" w:firstLine="0"/>
        <w:rPr>
          <w:b/>
          <w:caps/>
          <w:sz w:val="19"/>
          <w:szCs w:val="19"/>
          <w:lang w:val="fr-FR"/>
        </w:rPr>
      </w:pPr>
      <w:r w:rsidRPr="00687A36">
        <w:rPr>
          <w:b/>
          <w:sz w:val="19"/>
          <w:szCs w:val="19"/>
        </w:rPr>
        <w:t xml:space="preserve">IMPLEMENTATION GUIDANCE AND ILLUSTRATIVE EXAMPLES FOR </w:t>
      </w:r>
      <w:r>
        <w:rPr>
          <w:b/>
          <w:sz w:val="19"/>
          <w:szCs w:val="19"/>
        </w:rPr>
        <w:br/>
      </w:r>
      <w:r w:rsidRPr="00687A36">
        <w:rPr>
          <w:b/>
          <w:sz w:val="19"/>
          <w:szCs w:val="19"/>
        </w:rPr>
        <w:t>NOT-FOR-PROFIT PRIVATE SECTOR ENTITIES</w:t>
      </w:r>
    </w:p>
    <w:p w14:paraId="352431FD" w14:textId="169A427C" w:rsidR="00D50116" w:rsidRPr="00F75C2E" w:rsidRDefault="00E16FA7" w:rsidP="00E16FA7">
      <w:pPr>
        <w:pStyle w:val="ContentsLevel1"/>
        <w:tabs>
          <w:tab w:val="clear" w:pos="6237"/>
          <w:tab w:val="right" w:pos="9027"/>
        </w:tabs>
        <w:spacing w:line="240" w:lineRule="auto"/>
        <w:ind w:left="0" w:firstLine="0"/>
        <w:jc w:val="both"/>
        <w:rPr>
          <w:b/>
          <w:caps/>
          <w:sz w:val="19"/>
          <w:szCs w:val="19"/>
        </w:rPr>
      </w:pPr>
      <w:r w:rsidRPr="00F75C2E">
        <w:rPr>
          <w:b/>
          <w:caps/>
          <w:sz w:val="19"/>
          <w:szCs w:val="19"/>
        </w:rPr>
        <w:t>COMPILATION DETAILS</w:t>
      </w:r>
    </w:p>
    <w:p w14:paraId="05EA6A03" w14:textId="00513ED1" w:rsidR="00D50116" w:rsidRDefault="00D50116">
      <w:pPr>
        <w:pStyle w:val="ContentsLevel1NoIndent"/>
        <w:rPr>
          <w:sz w:val="19"/>
          <w:szCs w:val="19"/>
        </w:rPr>
      </w:pPr>
    </w:p>
    <w:p w14:paraId="47E38F4C" w14:textId="77777777" w:rsidR="003204AA" w:rsidRPr="00930C26" w:rsidRDefault="003204AA">
      <w:pPr>
        <w:pStyle w:val="ContentsLevel1NoIndent"/>
        <w:rPr>
          <w:sz w:val="19"/>
          <w:szCs w:val="19"/>
        </w:rPr>
      </w:pPr>
    </w:p>
    <w:p w14:paraId="6C3682A4" w14:textId="57B85F89" w:rsidR="00FA65FC" w:rsidRPr="00930C26" w:rsidRDefault="00090A6F" w:rsidP="00F74978">
      <w:pPr>
        <w:pStyle w:val="ContentsLevel1"/>
        <w:tabs>
          <w:tab w:val="clear" w:pos="6237"/>
          <w:tab w:val="right" w:pos="9027"/>
        </w:tabs>
        <w:spacing w:line="240" w:lineRule="auto"/>
        <w:ind w:left="0" w:firstLine="0"/>
        <w:jc w:val="both"/>
        <w:rPr>
          <w:b/>
          <w:caps/>
          <w:sz w:val="19"/>
          <w:szCs w:val="19"/>
          <w:lang w:val="fr-FR"/>
        </w:rPr>
      </w:pPr>
      <w:r w:rsidRPr="00930C26">
        <w:rPr>
          <w:b/>
          <w:caps/>
          <w:sz w:val="19"/>
          <w:szCs w:val="19"/>
          <w:lang w:val="fr-FR"/>
        </w:rPr>
        <w:t>BASIS FOR CONCLUSIONS</w:t>
      </w:r>
    </w:p>
    <w:p w14:paraId="33EADD79" w14:textId="77777777" w:rsidR="00D83818" w:rsidRDefault="00D83818" w:rsidP="00FA65FC">
      <w:pPr>
        <w:pStyle w:val="ContentsLevel1"/>
        <w:rPr>
          <w:b/>
          <w:bCs/>
          <w:sz w:val="19"/>
          <w:szCs w:val="19"/>
        </w:rPr>
      </w:pPr>
      <w:r>
        <w:rPr>
          <w:b/>
          <w:bCs/>
          <w:sz w:val="19"/>
          <w:szCs w:val="19"/>
        </w:rPr>
        <w:t>BASIS FOR CONCLUSIONS ON AASB 2019-4</w:t>
      </w:r>
    </w:p>
    <w:p w14:paraId="023EBC07" w14:textId="384B182A" w:rsidR="00FA65FC" w:rsidRDefault="00FA65FC" w:rsidP="00FA65FC">
      <w:pPr>
        <w:pStyle w:val="ContentsLevel1"/>
        <w:rPr>
          <w:b/>
          <w:bCs/>
          <w:sz w:val="19"/>
          <w:szCs w:val="19"/>
        </w:rPr>
      </w:pPr>
      <w:r w:rsidRPr="00930C26">
        <w:rPr>
          <w:b/>
          <w:bCs/>
          <w:sz w:val="19"/>
          <w:szCs w:val="19"/>
        </w:rPr>
        <w:t>BASIS FOR CONCLUSIONS ON AASB 2019-</w:t>
      </w:r>
      <w:r w:rsidR="00930C26" w:rsidRPr="00930C26">
        <w:rPr>
          <w:b/>
          <w:bCs/>
          <w:sz w:val="19"/>
          <w:szCs w:val="19"/>
        </w:rPr>
        <w:t>5</w:t>
      </w:r>
    </w:p>
    <w:p w14:paraId="017C98A2" w14:textId="67B2CD48" w:rsidR="00090A6F" w:rsidRPr="00A8015E" w:rsidRDefault="00090A6F" w:rsidP="00F74978">
      <w:pPr>
        <w:pStyle w:val="ContentsLevel1"/>
        <w:tabs>
          <w:tab w:val="clear" w:pos="6237"/>
          <w:tab w:val="right" w:pos="9027"/>
        </w:tabs>
        <w:spacing w:line="240" w:lineRule="auto"/>
        <w:ind w:left="0" w:firstLine="0"/>
        <w:jc w:val="both"/>
      </w:pPr>
    </w:p>
    <w:p w14:paraId="017C98A3" w14:textId="77777777" w:rsidR="00090A6F" w:rsidRPr="00A8015E" w:rsidRDefault="00090A6F" w:rsidP="007660E9">
      <w:pPr>
        <w:spacing w:after="60"/>
      </w:pPr>
    </w:p>
    <w:p w14:paraId="017C98A4" w14:textId="5835B6A8" w:rsidR="00090A6F" w:rsidRPr="00EA052C" w:rsidRDefault="00090A6F" w:rsidP="00C21D91">
      <w:pPr>
        <w:pStyle w:val="ContentsBox"/>
        <w:spacing w:after="0" w:line="240" w:lineRule="auto"/>
        <w:jc w:val="both"/>
        <w:rPr>
          <w:sz w:val="19"/>
          <w:szCs w:val="19"/>
        </w:rPr>
      </w:pPr>
      <w:r w:rsidRPr="00EA052C">
        <w:rPr>
          <w:sz w:val="19"/>
          <w:szCs w:val="19"/>
        </w:rPr>
        <w:t xml:space="preserve">Australian Accounting Standard AASB </w:t>
      </w:r>
      <w:r w:rsidRPr="00EA052C">
        <w:rPr>
          <w:sz w:val="19"/>
          <w:szCs w:val="19"/>
        </w:rPr>
        <w:fldChar w:fldCharType="begin" w:fldLock="1"/>
      </w:r>
      <w:r w:rsidRPr="00EA052C">
        <w:rPr>
          <w:sz w:val="19"/>
          <w:szCs w:val="19"/>
        </w:rPr>
        <w:instrText xml:space="preserve"> REF DocNo \* charformat </w:instrText>
      </w:r>
      <w:r w:rsidR="00EA052C">
        <w:rPr>
          <w:sz w:val="19"/>
          <w:szCs w:val="19"/>
        </w:rPr>
        <w:instrText xml:space="preserve"> \* MERGEFORMAT </w:instrText>
      </w:r>
      <w:r w:rsidRPr="00EA052C">
        <w:rPr>
          <w:sz w:val="19"/>
          <w:szCs w:val="19"/>
        </w:rPr>
        <w:fldChar w:fldCharType="separate"/>
      </w:r>
      <w:r w:rsidR="00C50009" w:rsidRPr="00EA052C">
        <w:rPr>
          <w:sz w:val="19"/>
          <w:szCs w:val="19"/>
        </w:rPr>
        <w:t>1054</w:t>
      </w:r>
      <w:r w:rsidRPr="00EA052C">
        <w:rPr>
          <w:sz w:val="19"/>
          <w:szCs w:val="19"/>
        </w:rPr>
        <w:fldChar w:fldCharType="end"/>
      </w:r>
      <w:r w:rsidRPr="00EA052C">
        <w:rPr>
          <w:sz w:val="19"/>
          <w:szCs w:val="19"/>
        </w:rPr>
        <w:t xml:space="preserve"> </w:t>
      </w:r>
      <w:r w:rsidRPr="00EA052C">
        <w:rPr>
          <w:i/>
          <w:iCs/>
          <w:sz w:val="19"/>
          <w:szCs w:val="19"/>
        </w:rPr>
        <w:fldChar w:fldCharType="begin" w:fldLock="1"/>
      </w:r>
      <w:r w:rsidRPr="00EA052C">
        <w:rPr>
          <w:i/>
          <w:iCs/>
          <w:sz w:val="19"/>
          <w:szCs w:val="19"/>
        </w:rPr>
        <w:instrText xml:space="preserve"> REF DocTitle \* charformat </w:instrText>
      </w:r>
      <w:r w:rsidR="00EA052C">
        <w:rPr>
          <w:i/>
          <w:iCs/>
          <w:sz w:val="19"/>
          <w:szCs w:val="19"/>
        </w:rPr>
        <w:instrText xml:space="preserve"> \* MERGEFORMAT </w:instrText>
      </w:r>
      <w:r w:rsidRPr="00EA052C">
        <w:rPr>
          <w:i/>
          <w:iCs/>
          <w:sz w:val="19"/>
          <w:szCs w:val="19"/>
        </w:rPr>
        <w:fldChar w:fldCharType="separate"/>
      </w:r>
      <w:r w:rsidR="00C50009" w:rsidRPr="00EA052C">
        <w:rPr>
          <w:i/>
          <w:iCs/>
          <w:sz w:val="19"/>
          <w:szCs w:val="19"/>
        </w:rPr>
        <w:t>Australian Additional Disclosures</w:t>
      </w:r>
      <w:r w:rsidRPr="00EA052C">
        <w:rPr>
          <w:i/>
          <w:iCs/>
          <w:sz w:val="19"/>
          <w:szCs w:val="19"/>
        </w:rPr>
        <w:fldChar w:fldCharType="end"/>
      </w:r>
      <w:r w:rsidRPr="00EA052C">
        <w:rPr>
          <w:i/>
          <w:iCs/>
          <w:sz w:val="19"/>
          <w:szCs w:val="19"/>
        </w:rPr>
        <w:t xml:space="preserve"> </w:t>
      </w:r>
      <w:r w:rsidR="00C50009" w:rsidRPr="00EA052C">
        <w:rPr>
          <w:iCs/>
          <w:sz w:val="19"/>
          <w:szCs w:val="19"/>
        </w:rPr>
        <w:t xml:space="preserve">(as amended) </w:t>
      </w:r>
      <w:r w:rsidRPr="00EA052C">
        <w:rPr>
          <w:sz w:val="19"/>
          <w:szCs w:val="19"/>
        </w:rPr>
        <w:t xml:space="preserve">is set out in </w:t>
      </w:r>
      <w:r w:rsidR="00BA20C3" w:rsidRPr="00EA052C">
        <w:rPr>
          <w:sz w:val="19"/>
          <w:szCs w:val="19"/>
        </w:rPr>
        <w:t>paragraphs</w:t>
      </w:r>
      <w:r w:rsidR="00AE08BC" w:rsidRPr="00EA052C">
        <w:rPr>
          <w:sz w:val="19"/>
          <w:szCs w:val="19"/>
        </w:rPr>
        <w:t xml:space="preserve"> 1 – 1</w:t>
      </w:r>
      <w:r w:rsidR="0045081B" w:rsidRPr="00EA052C">
        <w:rPr>
          <w:sz w:val="19"/>
          <w:szCs w:val="19"/>
        </w:rPr>
        <w:t>7</w:t>
      </w:r>
      <w:r w:rsidR="00D50C1A">
        <w:rPr>
          <w:sz w:val="19"/>
          <w:szCs w:val="19"/>
        </w:rPr>
        <w:t xml:space="preserve"> and Appendix A</w:t>
      </w:r>
      <w:r w:rsidRPr="00EA052C">
        <w:rPr>
          <w:sz w:val="19"/>
          <w:szCs w:val="19"/>
        </w:rPr>
        <w:t xml:space="preserve">. </w:t>
      </w:r>
      <w:r w:rsidR="00086B81" w:rsidRPr="00EA052C">
        <w:rPr>
          <w:sz w:val="19"/>
          <w:szCs w:val="19"/>
        </w:rPr>
        <w:t xml:space="preserve"> </w:t>
      </w:r>
      <w:r w:rsidRPr="00EA052C">
        <w:rPr>
          <w:sz w:val="19"/>
          <w:szCs w:val="19"/>
        </w:rPr>
        <w:t xml:space="preserve">All the paragraphs have equal authority.  Paragraphs in </w:t>
      </w:r>
      <w:r w:rsidRPr="00EA052C">
        <w:rPr>
          <w:b/>
          <w:bCs/>
          <w:sz w:val="19"/>
          <w:szCs w:val="19"/>
        </w:rPr>
        <w:t xml:space="preserve">bold type </w:t>
      </w:r>
      <w:r w:rsidRPr="00EA052C">
        <w:rPr>
          <w:sz w:val="19"/>
          <w:szCs w:val="19"/>
        </w:rPr>
        <w:t>state the main principles.  AASB </w:t>
      </w:r>
      <w:r w:rsidRPr="00EA052C">
        <w:rPr>
          <w:sz w:val="19"/>
          <w:szCs w:val="19"/>
        </w:rPr>
        <w:fldChar w:fldCharType="begin" w:fldLock="1"/>
      </w:r>
      <w:r w:rsidRPr="00EA052C">
        <w:rPr>
          <w:sz w:val="19"/>
          <w:szCs w:val="19"/>
        </w:rPr>
        <w:instrText xml:space="preserve"> REF DocNo \* charformat </w:instrText>
      </w:r>
      <w:r w:rsidR="00EA052C">
        <w:rPr>
          <w:sz w:val="19"/>
          <w:szCs w:val="19"/>
        </w:rPr>
        <w:instrText xml:space="preserve"> \* MERGEFORMAT </w:instrText>
      </w:r>
      <w:r w:rsidRPr="00EA052C">
        <w:rPr>
          <w:sz w:val="19"/>
          <w:szCs w:val="19"/>
        </w:rPr>
        <w:fldChar w:fldCharType="separate"/>
      </w:r>
      <w:r w:rsidR="00C50009" w:rsidRPr="00EA052C">
        <w:rPr>
          <w:sz w:val="19"/>
          <w:szCs w:val="19"/>
        </w:rPr>
        <w:t>1054</w:t>
      </w:r>
      <w:r w:rsidRPr="00EA052C">
        <w:rPr>
          <w:sz w:val="19"/>
          <w:szCs w:val="19"/>
        </w:rPr>
        <w:fldChar w:fldCharType="end"/>
      </w:r>
      <w:r w:rsidRPr="00EA052C">
        <w:rPr>
          <w:sz w:val="19"/>
          <w:szCs w:val="19"/>
        </w:rPr>
        <w:t xml:space="preserve"> is to be read in the context of other Australian Accounting Standards, including AASB 1048 </w:t>
      </w:r>
      <w:r w:rsidRPr="00EA052C">
        <w:rPr>
          <w:i/>
          <w:iCs/>
          <w:sz w:val="19"/>
          <w:szCs w:val="19"/>
        </w:rPr>
        <w:t>Interpretation of Standards</w:t>
      </w:r>
      <w:r w:rsidRPr="00EA052C">
        <w:rPr>
          <w:sz w:val="19"/>
          <w:szCs w:val="19"/>
        </w:rPr>
        <w:t xml:space="preserve">, which identifies the </w:t>
      </w:r>
      <w:r w:rsidR="00086B81" w:rsidRPr="00EA052C">
        <w:rPr>
          <w:sz w:val="19"/>
          <w:szCs w:val="19"/>
        </w:rPr>
        <w:t>Australian Accounting</w:t>
      </w:r>
      <w:r w:rsidRPr="00EA052C">
        <w:rPr>
          <w:sz w:val="19"/>
          <w:szCs w:val="19"/>
        </w:rPr>
        <w:t xml:space="preserve"> Interpretations</w:t>
      </w:r>
      <w:r w:rsidR="006715F2">
        <w:rPr>
          <w:sz w:val="19"/>
          <w:szCs w:val="19"/>
        </w:rPr>
        <w:t>,</w:t>
      </w:r>
      <w:r w:rsidR="0045081B" w:rsidRPr="00EA052C">
        <w:rPr>
          <w:sz w:val="19"/>
          <w:szCs w:val="19"/>
        </w:rPr>
        <w:t xml:space="preserve"> and AASB 1057 </w:t>
      </w:r>
      <w:r w:rsidR="0045081B" w:rsidRPr="00EA052C">
        <w:rPr>
          <w:i/>
          <w:iCs/>
          <w:sz w:val="19"/>
          <w:szCs w:val="19"/>
        </w:rPr>
        <w:t>Application of Australian Accounting Standards</w:t>
      </w:r>
      <w:r w:rsidR="0045081B" w:rsidRPr="00EA052C">
        <w:rPr>
          <w:sz w:val="19"/>
          <w:szCs w:val="19"/>
        </w:rPr>
        <w:t>.</w:t>
      </w:r>
      <w:r w:rsidRPr="00EA052C">
        <w:rPr>
          <w:sz w:val="19"/>
          <w:szCs w:val="19"/>
        </w:rPr>
        <w:t xml:space="preserve">  In the absence of explicit guidance, AASB 108 </w:t>
      </w:r>
      <w:r w:rsidRPr="00EA052C">
        <w:rPr>
          <w:i/>
          <w:iCs/>
          <w:sz w:val="19"/>
          <w:szCs w:val="19"/>
        </w:rPr>
        <w:t xml:space="preserve">Accounting Policies, Changes in Accounting Estimates and Errors </w:t>
      </w:r>
      <w:r w:rsidRPr="00EA052C">
        <w:rPr>
          <w:sz w:val="19"/>
          <w:szCs w:val="19"/>
        </w:rPr>
        <w:t>provides a basis for selecting and applying accounting policies.</w:t>
      </w:r>
    </w:p>
    <w:p w14:paraId="017C98A5" w14:textId="46ACAE86" w:rsidR="00090A6F" w:rsidRDefault="00090A6F" w:rsidP="00726B3E">
      <w:pPr>
        <w:pStyle w:val="ContentsBox"/>
        <w:pBdr>
          <w:top w:val="none" w:sz="0" w:space="0" w:color="auto"/>
          <w:left w:val="none" w:sz="0" w:space="0" w:color="auto"/>
          <w:bottom w:val="none" w:sz="0" w:space="0" w:color="auto"/>
          <w:right w:val="none" w:sz="0" w:space="0" w:color="auto"/>
        </w:pBdr>
        <w:spacing w:after="0"/>
      </w:pPr>
    </w:p>
    <w:p w14:paraId="69B02E68" w14:textId="77777777" w:rsidR="00016A3A" w:rsidRPr="00A8015E" w:rsidRDefault="00016A3A" w:rsidP="00726B3E">
      <w:pPr>
        <w:pStyle w:val="ContentsBox"/>
        <w:pBdr>
          <w:top w:val="none" w:sz="0" w:space="0" w:color="auto"/>
          <w:left w:val="none" w:sz="0" w:space="0" w:color="auto"/>
          <w:bottom w:val="none" w:sz="0" w:space="0" w:color="auto"/>
          <w:right w:val="none" w:sz="0" w:space="0" w:color="auto"/>
        </w:pBdr>
        <w:spacing w:after="0"/>
      </w:pPr>
    </w:p>
    <w:p w14:paraId="017C98A6" w14:textId="77777777" w:rsidR="00090A6F" w:rsidRPr="00A8015E" w:rsidRDefault="00090A6F" w:rsidP="00726B3E">
      <w:pPr>
        <w:pStyle w:val="ContentsLevel1"/>
        <w:spacing w:after="0"/>
        <w:ind w:left="0" w:right="0" w:firstLine="0"/>
        <w:sectPr w:rsidR="00090A6F" w:rsidRPr="00A8015E" w:rsidSect="006715F2">
          <w:headerReference w:type="even" r:id="rId14"/>
          <w:headerReference w:type="default" r:id="rId15"/>
          <w:footerReference w:type="default" r:id="rId16"/>
          <w:headerReference w:type="first" r:id="rId17"/>
          <w:pgSz w:w="11907" w:h="16840"/>
          <w:pgMar w:top="1440" w:right="1440" w:bottom="1440" w:left="1440" w:header="706" w:footer="709" w:gutter="0"/>
          <w:cols w:space="720"/>
          <w:docGrid w:linePitch="272"/>
        </w:sectPr>
      </w:pPr>
    </w:p>
    <w:p w14:paraId="017C98D7" w14:textId="5BDFDAFD" w:rsidR="00A04937" w:rsidRPr="00A8015E" w:rsidRDefault="00A15DCB" w:rsidP="00A15DCB">
      <w:pPr>
        <w:pStyle w:val="ConvSectionTitle"/>
      </w:pPr>
      <w:r w:rsidRPr="00A8015E">
        <w:lastRenderedPageBreak/>
        <w:t xml:space="preserve">Comparison </w:t>
      </w:r>
      <w:r>
        <w:t>with</w:t>
      </w:r>
      <w:r w:rsidR="00A04937" w:rsidRPr="00A8015E">
        <w:t xml:space="preserve"> </w:t>
      </w:r>
      <w:r w:rsidR="005C2DC7" w:rsidRPr="00A8015E">
        <w:t>IFRS</w:t>
      </w:r>
      <w:r>
        <w:t xml:space="preserve"> Standards</w:t>
      </w:r>
    </w:p>
    <w:p w14:paraId="017C98D8" w14:textId="4FBD054F" w:rsidR="00A04937" w:rsidRPr="00EA052C" w:rsidRDefault="00A04937" w:rsidP="0009771E">
      <w:pPr>
        <w:pStyle w:val="NoNumPlain1"/>
        <w:spacing w:before="100" w:after="100" w:line="240" w:lineRule="auto"/>
        <w:jc w:val="both"/>
        <w:rPr>
          <w:sz w:val="19"/>
          <w:szCs w:val="19"/>
        </w:rPr>
      </w:pPr>
      <w:r w:rsidRPr="00EA052C">
        <w:rPr>
          <w:sz w:val="19"/>
          <w:szCs w:val="19"/>
        </w:rPr>
        <w:t xml:space="preserve">AASB </w:t>
      </w:r>
      <w:r w:rsidRPr="00EA052C">
        <w:rPr>
          <w:sz w:val="19"/>
          <w:szCs w:val="19"/>
        </w:rPr>
        <w:fldChar w:fldCharType="begin" w:fldLock="1"/>
      </w:r>
      <w:r w:rsidRPr="00EA052C">
        <w:rPr>
          <w:sz w:val="19"/>
          <w:szCs w:val="19"/>
        </w:rPr>
        <w:instrText xml:space="preserve"> REF DocNo \* charformat </w:instrText>
      </w:r>
      <w:r w:rsidR="00EA052C">
        <w:rPr>
          <w:sz w:val="19"/>
          <w:szCs w:val="19"/>
        </w:rPr>
        <w:instrText xml:space="preserve"> \* MERGEFORMAT </w:instrText>
      </w:r>
      <w:r w:rsidRPr="00EA052C">
        <w:rPr>
          <w:sz w:val="19"/>
          <w:szCs w:val="19"/>
        </w:rPr>
        <w:fldChar w:fldCharType="separate"/>
      </w:r>
      <w:r w:rsidR="00C50009" w:rsidRPr="00EA052C">
        <w:rPr>
          <w:sz w:val="19"/>
          <w:szCs w:val="19"/>
        </w:rPr>
        <w:t>1054</w:t>
      </w:r>
      <w:r w:rsidRPr="00EA052C">
        <w:rPr>
          <w:sz w:val="19"/>
          <w:szCs w:val="19"/>
        </w:rPr>
        <w:fldChar w:fldCharType="end"/>
      </w:r>
      <w:r w:rsidRPr="00EA052C">
        <w:rPr>
          <w:sz w:val="19"/>
          <w:szCs w:val="19"/>
        </w:rPr>
        <w:t xml:space="preserve"> </w:t>
      </w:r>
      <w:r w:rsidRPr="00EA052C">
        <w:rPr>
          <w:i/>
          <w:sz w:val="19"/>
          <w:szCs w:val="19"/>
        </w:rPr>
        <w:fldChar w:fldCharType="begin" w:fldLock="1"/>
      </w:r>
      <w:r w:rsidRPr="00EA052C">
        <w:rPr>
          <w:i/>
          <w:sz w:val="19"/>
          <w:szCs w:val="19"/>
        </w:rPr>
        <w:instrText xml:space="preserve"> REF DocTitle \* charformat </w:instrText>
      </w:r>
      <w:r w:rsidR="00EA052C">
        <w:rPr>
          <w:i/>
          <w:sz w:val="19"/>
          <w:szCs w:val="19"/>
        </w:rPr>
        <w:instrText xml:space="preserve"> \* MERGEFORMAT </w:instrText>
      </w:r>
      <w:r w:rsidRPr="00EA052C">
        <w:rPr>
          <w:i/>
          <w:sz w:val="19"/>
          <w:szCs w:val="19"/>
        </w:rPr>
        <w:fldChar w:fldCharType="separate"/>
      </w:r>
      <w:r w:rsidR="00C50009" w:rsidRPr="00EA052C">
        <w:rPr>
          <w:i/>
          <w:sz w:val="19"/>
          <w:szCs w:val="19"/>
        </w:rPr>
        <w:t>Australian Additional Disclosures</w:t>
      </w:r>
      <w:r w:rsidRPr="00EA052C">
        <w:rPr>
          <w:i/>
          <w:sz w:val="19"/>
          <w:szCs w:val="19"/>
        </w:rPr>
        <w:fldChar w:fldCharType="end"/>
      </w:r>
      <w:r w:rsidRPr="00EA052C">
        <w:rPr>
          <w:sz w:val="19"/>
          <w:szCs w:val="19"/>
        </w:rPr>
        <w:t xml:space="preserve"> </w:t>
      </w:r>
      <w:r w:rsidR="00213F64" w:rsidRPr="00EA052C">
        <w:rPr>
          <w:sz w:val="19"/>
          <w:szCs w:val="19"/>
        </w:rPr>
        <w:t xml:space="preserve">includes </w:t>
      </w:r>
      <w:r w:rsidR="006E5BB4" w:rsidRPr="00EA052C">
        <w:rPr>
          <w:sz w:val="19"/>
          <w:szCs w:val="19"/>
        </w:rPr>
        <w:t>disclosure requirements</w:t>
      </w:r>
      <w:r w:rsidR="00E34053" w:rsidRPr="00EA052C">
        <w:rPr>
          <w:sz w:val="19"/>
          <w:szCs w:val="19"/>
        </w:rPr>
        <w:t xml:space="preserve"> </w:t>
      </w:r>
      <w:r w:rsidR="00647D8E" w:rsidRPr="00EA052C">
        <w:rPr>
          <w:sz w:val="19"/>
          <w:szCs w:val="19"/>
        </w:rPr>
        <w:t xml:space="preserve">and definitions </w:t>
      </w:r>
      <w:r w:rsidR="00E34053" w:rsidRPr="00EA052C">
        <w:rPr>
          <w:sz w:val="19"/>
          <w:szCs w:val="19"/>
        </w:rPr>
        <w:t>which are</w:t>
      </w:r>
      <w:r w:rsidR="00213F64" w:rsidRPr="00EA052C">
        <w:rPr>
          <w:sz w:val="19"/>
          <w:szCs w:val="19"/>
        </w:rPr>
        <w:t xml:space="preserve"> </w:t>
      </w:r>
      <w:r w:rsidR="00B924B3" w:rsidRPr="00EA052C">
        <w:rPr>
          <w:sz w:val="19"/>
          <w:szCs w:val="19"/>
        </w:rPr>
        <w:t>additional</w:t>
      </w:r>
      <w:r w:rsidR="00213F64" w:rsidRPr="00EA052C">
        <w:rPr>
          <w:sz w:val="19"/>
          <w:szCs w:val="19"/>
        </w:rPr>
        <w:t xml:space="preserve"> to </w:t>
      </w:r>
      <w:r w:rsidR="007D347C" w:rsidRPr="00EA052C">
        <w:rPr>
          <w:sz w:val="19"/>
          <w:szCs w:val="19"/>
        </w:rPr>
        <w:t>I</w:t>
      </w:r>
      <w:r w:rsidR="0073471E" w:rsidRPr="00EA052C">
        <w:rPr>
          <w:sz w:val="19"/>
          <w:szCs w:val="19"/>
        </w:rPr>
        <w:t xml:space="preserve">nternational Financial Reporting Standards </w:t>
      </w:r>
      <w:r w:rsidR="00243EC8" w:rsidRPr="00EA052C">
        <w:rPr>
          <w:sz w:val="19"/>
          <w:szCs w:val="19"/>
        </w:rPr>
        <w:t>issued by the International Accou</w:t>
      </w:r>
      <w:r w:rsidR="008C5C1C" w:rsidRPr="00EA052C">
        <w:rPr>
          <w:sz w:val="19"/>
          <w:szCs w:val="19"/>
        </w:rPr>
        <w:t>nting S</w:t>
      </w:r>
      <w:r w:rsidR="005D4777" w:rsidRPr="00EA052C">
        <w:rPr>
          <w:sz w:val="19"/>
          <w:szCs w:val="19"/>
        </w:rPr>
        <w:t>tandards Board (IASB).</w:t>
      </w:r>
    </w:p>
    <w:p w14:paraId="017C98D9" w14:textId="6D87A5CF" w:rsidR="00A04937" w:rsidRPr="00EA052C" w:rsidRDefault="00B52616" w:rsidP="0009771E">
      <w:pPr>
        <w:pStyle w:val="NoNumPlain1"/>
        <w:spacing w:before="100" w:after="100" w:line="240" w:lineRule="auto"/>
        <w:jc w:val="both"/>
        <w:rPr>
          <w:sz w:val="19"/>
          <w:szCs w:val="19"/>
        </w:rPr>
      </w:pPr>
      <w:r w:rsidRPr="00EA052C">
        <w:rPr>
          <w:sz w:val="19"/>
          <w:szCs w:val="19"/>
        </w:rPr>
        <w:t>Compliance</w:t>
      </w:r>
      <w:r w:rsidR="00243EC8" w:rsidRPr="00EA052C">
        <w:rPr>
          <w:sz w:val="19"/>
          <w:szCs w:val="19"/>
        </w:rPr>
        <w:t xml:space="preserve"> with AASB </w:t>
      </w:r>
      <w:r w:rsidR="00243EC8" w:rsidRPr="00EA052C">
        <w:rPr>
          <w:sz w:val="19"/>
          <w:szCs w:val="19"/>
        </w:rPr>
        <w:fldChar w:fldCharType="begin" w:fldLock="1"/>
      </w:r>
      <w:r w:rsidR="00243EC8" w:rsidRPr="00EA052C">
        <w:rPr>
          <w:sz w:val="19"/>
          <w:szCs w:val="19"/>
        </w:rPr>
        <w:instrText xml:space="preserve"> REF DocNo \* charformat </w:instrText>
      </w:r>
      <w:r w:rsidR="00EA052C">
        <w:rPr>
          <w:sz w:val="19"/>
          <w:szCs w:val="19"/>
        </w:rPr>
        <w:instrText xml:space="preserve"> \* MERGEFORMAT </w:instrText>
      </w:r>
      <w:r w:rsidR="00243EC8" w:rsidRPr="00EA052C">
        <w:rPr>
          <w:sz w:val="19"/>
          <w:szCs w:val="19"/>
        </w:rPr>
        <w:fldChar w:fldCharType="separate"/>
      </w:r>
      <w:r w:rsidR="00C50009" w:rsidRPr="00EA052C">
        <w:rPr>
          <w:sz w:val="19"/>
          <w:szCs w:val="19"/>
        </w:rPr>
        <w:t>1054</w:t>
      </w:r>
      <w:r w:rsidR="00243EC8" w:rsidRPr="00EA052C">
        <w:rPr>
          <w:sz w:val="19"/>
          <w:szCs w:val="19"/>
        </w:rPr>
        <w:fldChar w:fldCharType="end"/>
      </w:r>
      <w:r w:rsidRPr="00EA052C">
        <w:rPr>
          <w:sz w:val="19"/>
          <w:szCs w:val="19"/>
        </w:rPr>
        <w:t xml:space="preserve"> is not needed for IFRS compliance</w:t>
      </w:r>
      <w:r w:rsidR="00670344">
        <w:rPr>
          <w:sz w:val="19"/>
          <w:szCs w:val="19"/>
        </w:rPr>
        <w:t>, with the exception of paragraph 17</w:t>
      </w:r>
      <w:r w:rsidR="006E5BB4" w:rsidRPr="00EA052C">
        <w:rPr>
          <w:sz w:val="19"/>
          <w:szCs w:val="19"/>
        </w:rPr>
        <w:t>.</w:t>
      </w:r>
    </w:p>
    <w:p w14:paraId="017C98DA" w14:textId="77777777" w:rsidR="00634C98" w:rsidRPr="00A8015E" w:rsidRDefault="00634C98" w:rsidP="00726B3E">
      <w:pPr>
        <w:pStyle w:val="NoNumPlain1"/>
        <w:spacing w:after="0" w:line="240" w:lineRule="auto"/>
      </w:pPr>
    </w:p>
    <w:p w14:paraId="017C98DB" w14:textId="77777777" w:rsidR="003C7D5B" w:rsidRPr="00A8015E" w:rsidRDefault="003C7D5B" w:rsidP="005C6B86">
      <w:pPr>
        <w:pStyle w:val="NoNumPlain1"/>
        <w:spacing w:before="100" w:after="0" w:line="240" w:lineRule="auto"/>
        <w:sectPr w:rsidR="003C7D5B" w:rsidRPr="00A8015E" w:rsidSect="00C85BDB">
          <w:headerReference w:type="even" r:id="rId18"/>
          <w:headerReference w:type="default" r:id="rId19"/>
          <w:footerReference w:type="default" r:id="rId20"/>
          <w:headerReference w:type="first" r:id="rId21"/>
          <w:pgSz w:w="11907" w:h="16840" w:code="9"/>
          <w:pgMar w:top="1440" w:right="1440" w:bottom="1440" w:left="1440" w:header="709" w:footer="709" w:gutter="0"/>
          <w:cols w:space="720"/>
          <w:docGrid w:linePitch="272"/>
        </w:sectPr>
      </w:pPr>
    </w:p>
    <w:p w14:paraId="017C98DC" w14:textId="5F449252" w:rsidR="00090A6F" w:rsidRPr="00A15DCB" w:rsidRDefault="00A15DCB" w:rsidP="00017FE3">
      <w:pPr>
        <w:pStyle w:val="Heading1"/>
        <w:pBdr>
          <w:top w:val="single" w:sz="4" w:space="1" w:color="auto"/>
          <w:left w:val="single" w:sz="4" w:space="4" w:color="auto"/>
          <w:bottom w:val="single" w:sz="4" w:space="5" w:color="auto"/>
          <w:right w:val="single" w:sz="4" w:space="4" w:color="auto"/>
        </w:pBdr>
        <w:spacing w:before="400" w:line="240" w:lineRule="auto"/>
        <w:jc w:val="left"/>
        <w:rPr>
          <w:rFonts w:ascii="Arial" w:hAnsi="Arial"/>
          <w:sz w:val="26"/>
          <w:szCs w:val="26"/>
        </w:rPr>
      </w:pPr>
      <w:r w:rsidRPr="00A15DCB">
        <w:rPr>
          <w:rFonts w:ascii="Arial" w:hAnsi="Arial"/>
          <w:caps w:val="0"/>
          <w:sz w:val="26"/>
          <w:szCs w:val="26"/>
        </w:rPr>
        <w:lastRenderedPageBreak/>
        <w:t>Accounting Standard A</w:t>
      </w:r>
      <w:r>
        <w:rPr>
          <w:rFonts w:ascii="Arial" w:hAnsi="Arial"/>
          <w:caps w:val="0"/>
          <w:sz w:val="26"/>
          <w:szCs w:val="26"/>
        </w:rPr>
        <w:t>ASB</w:t>
      </w:r>
      <w:r w:rsidRPr="00A15DCB">
        <w:rPr>
          <w:rFonts w:ascii="Arial" w:hAnsi="Arial"/>
          <w:caps w:val="0"/>
          <w:sz w:val="26"/>
          <w:szCs w:val="26"/>
        </w:rPr>
        <w:t xml:space="preserve"> </w:t>
      </w:r>
      <w:r w:rsidR="00090A6F" w:rsidRPr="00A15DCB">
        <w:rPr>
          <w:rFonts w:ascii="Arial" w:hAnsi="Arial"/>
          <w:sz w:val="26"/>
          <w:szCs w:val="26"/>
        </w:rPr>
        <w:fldChar w:fldCharType="begin" w:fldLock="1"/>
      </w:r>
      <w:r w:rsidR="00090A6F" w:rsidRPr="00A15DCB">
        <w:rPr>
          <w:rFonts w:ascii="Arial" w:hAnsi="Arial"/>
          <w:sz w:val="26"/>
          <w:szCs w:val="26"/>
        </w:rPr>
        <w:instrText xml:space="preserve"> REF DocNo  \* charformat </w:instrText>
      </w:r>
      <w:r w:rsidRPr="00A15DCB">
        <w:rPr>
          <w:rFonts w:ascii="Arial" w:hAnsi="Arial"/>
          <w:sz w:val="26"/>
          <w:szCs w:val="26"/>
        </w:rPr>
        <w:instrText xml:space="preserve"> \* MERGEFORMAT </w:instrText>
      </w:r>
      <w:r w:rsidR="00090A6F" w:rsidRPr="00A15DCB">
        <w:rPr>
          <w:rFonts w:ascii="Arial" w:hAnsi="Arial"/>
          <w:sz w:val="26"/>
          <w:szCs w:val="26"/>
        </w:rPr>
        <w:fldChar w:fldCharType="separate"/>
      </w:r>
      <w:r w:rsidRPr="00A15DCB">
        <w:rPr>
          <w:rFonts w:ascii="Arial" w:hAnsi="Arial"/>
          <w:caps w:val="0"/>
          <w:sz w:val="26"/>
          <w:szCs w:val="26"/>
        </w:rPr>
        <w:t>1054</w:t>
      </w:r>
      <w:r w:rsidR="00090A6F" w:rsidRPr="00A15DCB">
        <w:rPr>
          <w:rFonts w:ascii="Arial" w:hAnsi="Arial"/>
          <w:sz w:val="26"/>
          <w:szCs w:val="26"/>
        </w:rPr>
        <w:fldChar w:fldCharType="end"/>
      </w:r>
    </w:p>
    <w:p w14:paraId="017C98DD" w14:textId="692BCE94" w:rsidR="00090A6F" w:rsidRPr="00A15DCB" w:rsidRDefault="00090A6F" w:rsidP="00017FE3">
      <w:pPr>
        <w:pBdr>
          <w:top w:val="single" w:sz="4" w:space="1" w:color="auto"/>
          <w:left w:val="single" w:sz="4" w:space="4" w:color="auto"/>
          <w:bottom w:val="single" w:sz="4" w:space="5" w:color="auto"/>
          <w:right w:val="single" w:sz="4" w:space="4" w:color="auto"/>
        </w:pBdr>
        <w:spacing w:before="100" w:after="100" w:line="240" w:lineRule="auto"/>
        <w:jc w:val="both"/>
        <w:rPr>
          <w:sz w:val="19"/>
          <w:szCs w:val="19"/>
        </w:rPr>
      </w:pPr>
      <w:r w:rsidRPr="00A15DCB">
        <w:rPr>
          <w:sz w:val="19"/>
          <w:szCs w:val="19"/>
        </w:rPr>
        <w:t>The Australian Accounting Standards Board ma</w:t>
      </w:r>
      <w:r w:rsidR="00C50009" w:rsidRPr="00A15DCB">
        <w:rPr>
          <w:sz w:val="19"/>
          <w:szCs w:val="19"/>
        </w:rPr>
        <w:t>d</w:t>
      </w:r>
      <w:r w:rsidRPr="00A15DCB">
        <w:rPr>
          <w:sz w:val="19"/>
          <w:szCs w:val="19"/>
        </w:rPr>
        <w:t>e Accounting Standard AASB </w:t>
      </w:r>
      <w:r w:rsidRPr="00A15DCB">
        <w:rPr>
          <w:sz w:val="19"/>
          <w:szCs w:val="19"/>
        </w:rPr>
        <w:fldChar w:fldCharType="begin" w:fldLock="1"/>
      </w:r>
      <w:r w:rsidRPr="00A15DCB">
        <w:rPr>
          <w:sz w:val="19"/>
          <w:szCs w:val="19"/>
        </w:rPr>
        <w:instrText xml:space="preserve"> REF DocNo  \* charformat </w:instrText>
      </w:r>
      <w:r w:rsidR="00A15DCB">
        <w:rPr>
          <w:sz w:val="19"/>
          <w:szCs w:val="19"/>
        </w:rPr>
        <w:instrText xml:space="preserve"> \* MERGEFORMAT </w:instrText>
      </w:r>
      <w:r w:rsidRPr="00A15DCB">
        <w:rPr>
          <w:sz w:val="19"/>
          <w:szCs w:val="19"/>
        </w:rPr>
        <w:fldChar w:fldCharType="separate"/>
      </w:r>
      <w:r w:rsidR="00C50009" w:rsidRPr="00A15DCB">
        <w:rPr>
          <w:sz w:val="19"/>
          <w:szCs w:val="19"/>
        </w:rPr>
        <w:t>1054</w:t>
      </w:r>
      <w:r w:rsidRPr="00A15DCB">
        <w:rPr>
          <w:sz w:val="19"/>
          <w:szCs w:val="19"/>
        </w:rPr>
        <w:fldChar w:fldCharType="end"/>
      </w:r>
      <w:r w:rsidRPr="00A15DCB">
        <w:rPr>
          <w:sz w:val="19"/>
          <w:szCs w:val="19"/>
        </w:rPr>
        <w:t xml:space="preserve"> </w:t>
      </w:r>
      <w:r w:rsidRPr="00A15DCB">
        <w:rPr>
          <w:i/>
          <w:iCs/>
          <w:sz w:val="19"/>
          <w:szCs w:val="19"/>
        </w:rPr>
        <w:fldChar w:fldCharType="begin" w:fldLock="1"/>
      </w:r>
      <w:r w:rsidRPr="00A15DCB">
        <w:rPr>
          <w:i/>
          <w:iCs/>
          <w:sz w:val="19"/>
          <w:szCs w:val="19"/>
        </w:rPr>
        <w:instrText xml:space="preserve"> REF DocTitle  \* charformat </w:instrText>
      </w:r>
      <w:r w:rsidR="00A15DCB">
        <w:rPr>
          <w:i/>
          <w:iCs/>
          <w:sz w:val="19"/>
          <w:szCs w:val="19"/>
        </w:rPr>
        <w:instrText xml:space="preserve"> \* MERGEFORMAT </w:instrText>
      </w:r>
      <w:r w:rsidRPr="00A15DCB">
        <w:rPr>
          <w:i/>
          <w:iCs/>
          <w:sz w:val="19"/>
          <w:szCs w:val="19"/>
        </w:rPr>
        <w:fldChar w:fldCharType="separate"/>
      </w:r>
      <w:r w:rsidR="00C50009" w:rsidRPr="00A15DCB">
        <w:rPr>
          <w:i/>
          <w:iCs/>
          <w:sz w:val="19"/>
          <w:szCs w:val="19"/>
        </w:rPr>
        <w:t>Australian Additional Disclosures</w:t>
      </w:r>
      <w:r w:rsidRPr="00A15DCB">
        <w:rPr>
          <w:i/>
          <w:iCs/>
          <w:sz w:val="19"/>
          <w:szCs w:val="19"/>
        </w:rPr>
        <w:fldChar w:fldCharType="end"/>
      </w:r>
      <w:r w:rsidRPr="00A15DCB">
        <w:rPr>
          <w:sz w:val="19"/>
          <w:szCs w:val="19"/>
        </w:rPr>
        <w:t xml:space="preserve"> under section 334 of the </w:t>
      </w:r>
      <w:r w:rsidRPr="00A15DCB">
        <w:rPr>
          <w:i/>
          <w:iCs/>
          <w:sz w:val="19"/>
          <w:szCs w:val="19"/>
        </w:rPr>
        <w:t>Corporations Act 2001</w:t>
      </w:r>
      <w:r w:rsidR="00C50009" w:rsidRPr="00A15DCB">
        <w:rPr>
          <w:iCs/>
          <w:sz w:val="19"/>
          <w:szCs w:val="19"/>
        </w:rPr>
        <w:t xml:space="preserve"> on </w:t>
      </w:r>
      <w:bookmarkStart w:id="6" w:name="MadeDate"/>
      <w:r w:rsidR="00C50009" w:rsidRPr="00A15DCB">
        <w:rPr>
          <w:iCs/>
          <w:sz w:val="19"/>
          <w:szCs w:val="19"/>
        </w:rPr>
        <w:t>11 May 2011</w:t>
      </w:r>
      <w:bookmarkEnd w:id="6"/>
      <w:r w:rsidRPr="00A15DCB">
        <w:rPr>
          <w:sz w:val="19"/>
          <w:szCs w:val="19"/>
        </w:rPr>
        <w:t>.</w:t>
      </w:r>
    </w:p>
    <w:p w14:paraId="017C98DF" w14:textId="5DE91726" w:rsidR="00C50009" w:rsidRPr="00A15DCB" w:rsidRDefault="00C50009" w:rsidP="00017FE3">
      <w:pPr>
        <w:pBdr>
          <w:top w:val="single" w:sz="4" w:space="1" w:color="auto"/>
          <w:left w:val="single" w:sz="4" w:space="4" w:color="auto"/>
          <w:bottom w:val="single" w:sz="4" w:space="5" w:color="auto"/>
          <w:right w:val="single" w:sz="4" w:space="4" w:color="auto"/>
        </w:pBdr>
        <w:spacing w:before="100" w:after="100" w:line="240" w:lineRule="auto"/>
        <w:jc w:val="both"/>
        <w:rPr>
          <w:sz w:val="19"/>
          <w:szCs w:val="19"/>
        </w:rPr>
      </w:pPr>
      <w:r w:rsidRPr="00A15DCB">
        <w:rPr>
          <w:sz w:val="19"/>
          <w:szCs w:val="19"/>
        </w:rPr>
        <w:t>This compiled version of AASB </w:t>
      </w:r>
      <w:r w:rsidRPr="00A15DCB">
        <w:rPr>
          <w:sz w:val="19"/>
          <w:szCs w:val="19"/>
        </w:rPr>
        <w:fldChar w:fldCharType="begin" w:fldLock="1"/>
      </w:r>
      <w:r w:rsidRPr="00A15DCB">
        <w:rPr>
          <w:sz w:val="19"/>
          <w:szCs w:val="19"/>
        </w:rPr>
        <w:instrText xml:space="preserve"> REF DocNo \* charformat </w:instrText>
      </w:r>
      <w:r w:rsidR="00A15DCB">
        <w:rPr>
          <w:sz w:val="19"/>
          <w:szCs w:val="19"/>
        </w:rPr>
        <w:instrText xml:space="preserve"> \* MERGEFORMAT </w:instrText>
      </w:r>
      <w:r w:rsidRPr="00A15DCB">
        <w:rPr>
          <w:sz w:val="19"/>
          <w:szCs w:val="19"/>
        </w:rPr>
        <w:fldChar w:fldCharType="separate"/>
      </w:r>
      <w:r w:rsidRPr="00A15DCB">
        <w:rPr>
          <w:sz w:val="19"/>
          <w:szCs w:val="19"/>
        </w:rPr>
        <w:t>1054</w:t>
      </w:r>
      <w:r w:rsidRPr="00A15DCB">
        <w:rPr>
          <w:sz w:val="19"/>
          <w:szCs w:val="19"/>
        </w:rPr>
        <w:fldChar w:fldCharType="end"/>
      </w:r>
      <w:r w:rsidRPr="00A15DCB">
        <w:rPr>
          <w:sz w:val="19"/>
          <w:szCs w:val="19"/>
        </w:rPr>
        <w:t xml:space="preserve"> applies to annual periods </w:t>
      </w:r>
      <w:r w:rsidRPr="00A15DCB">
        <w:rPr>
          <w:sz w:val="19"/>
          <w:szCs w:val="19"/>
        </w:rPr>
        <w:fldChar w:fldCharType="begin" w:fldLock="1"/>
      </w:r>
      <w:r w:rsidRPr="00A15DCB">
        <w:rPr>
          <w:sz w:val="19"/>
          <w:szCs w:val="19"/>
        </w:rPr>
        <w:instrText xml:space="preserve"> REF ApplyTextCompile \* charformat </w:instrText>
      </w:r>
      <w:r w:rsidR="00A15DCB">
        <w:rPr>
          <w:sz w:val="19"/>
          <w:szCs w:val="19"/>
        </w:rPr>
        <w:instrText xml:space="preserve"> \* MERGEFORMAT </w:instrText>
      </w:r>
      <w:r w:rsidRPr="00A15DCB">
        <w:rPr>
          <w:sz w:val="19"/>
          <w:szCs w:val="19"/>
        </w:rPr>
        <w:fldChar w:fldCharType="separate"/>
      </w:r>
      <w:r w:rsidRPr="00A15DCB">
        <w:rPr>
          <w:sz w:val="19"/>
          <w:szCs w:val="19"/>
        </w:rPr>
        <w:t>beginning</w:t>
      </w:r>
      <w:r w:rsidRPr="00A15DCB">
        <w:rPr>
          <w:sz w:val="19"/>
          <w:szCs w:val="19"/>
        </w:rPr>
        <w:fldChar w:fldCharType="end"/>
      </w:r>
      <w:r w:rsidRPr="00A15DCB">
        <w:rPr>
          <w:sz w:val="19"/>
          <w:szCs w:val="19"/>
        </w:rPr>
        <w:t xml:space="preserve"> on or after </w:t>
      </w:r>
      <w:r w:rsidR="00314026" w:rsidRPr="00A15DCB">
        <w:rPr>
          <w:sz w:val="19"/>
          <w:szCs w:val="19"/>
        </w:rPr>
        <w:fldChar w:fldCharType="begin"/>
      </w:r>
      <w:r w:rsidR="00314026" w:rsidRPr="00A15DCB">
        <w:rPr>
          <w:sz w:val="19"/>
          <w:szCs w:val="19"/>
        </w:rPr>
        <w:instrText xml:space="preserve"> REF \* charformat ApplyDateCompile </w:instrText>
      </w:r>
      <w:r w:rsidR="00A15DCB">
        <w:rPr>
          <w:sz w:val="19"/>
          <w:szCs w:val="19"/>
        </w:rPr>
        <w:instrText xml:space="preserve"> \* MERGEFORMAT </w:instrText>
      </w:r>
      <w:r w:rsidR="00314026" w:rsidRPr="00A15DCB">
        <w:rPr>
          <w:sz w:val="19"/>
          <w:szCs w:val="19"/>
        </w:rPr>
        <w:fldChar w:fldCharType="separate"/>
      </w:r>
      <w:r w:rsidR="00E04D7B" w:rsidRPr="00E04D7B">
        <w:rPr>
          <w:sz w:val="19"/>
          <w:szCs w:val="19"/>
        </w:rPr>
        <w:t>1 July 2021</w:t>
      </w:r>
      <w:r w:rsidR="00314026" w:rsidRPr="00A15DCB">
        <w:rPr>
          <w:sz w:val="19"/>
          <w:szCs w:val="19"/>
        </w:rPr>
        <w:fldChar w:fldCharType="end"/>
      </w:r>
      <w:r w:rsidR="00F75C2E">
        <w:rPr>
          <w:sz w:val="19"/>
          <w:szCs w:val="19"/>
        </w:rPr>
        <w:t>.</w:t>
      </w:r>
      <w:r w:rsidRPr="00A15DCB">
        <w:rPr>
          <w:sz w:val="19"/>
          <w:szCs w:val="19"/>
        </w:rPr>
        <w:t xml:space="preserve">  It incorporates relevant amendments contained in other AASB Standards made by the AASB up to and including </w:t>
      </w:r>
      <w:r w:rsidR="00314026" w:rsidRPr="00A15DCB">
        <w:rPr>
          <w:sz w:val="19"/>
          <w:szCs w:val="19"/>
        </w:rPr>
        <w:fldChar w:fldCharType="begin"/>
      </w:r>
      <w:r w:rsidR="00314026" w:rsidRPr="00A15DCB">
        <w:rPr>
          <w:sz w:val="19"/>
          <w:szCs w:val="19"/>
        </w:rPr>
        <w:instrText xml:space="preserve"> REF \* charformat CompileDate </w:instrText>
      </w:r>
      <w:r w:rsidR="00A15DCB">
        <w:rPr>
          <w:sz w:val="19"/>
          <w:szCs w:val="19"/>
        </w:rPr>
        <w:instrText xml:space="preserve"> \* MERGEFORMAT </w:instrText>
      </w:r>
      <w:r w:rsidR="00314026" w:rsidRPr="00A15DCB">
        <w:rPr>
          <w:sz w:val="19"/>
          <w:szCs w:val="19"/>
        </w:rPr>
        <w:fldChar w:fldCharType="separate"/>
      </w:r>
      <w:r w:rsidR="00E04D7B">
        <w:rPr>
          <w:sz w:val="19"/>
          <w:szCs w:val="19"/>
        </w:rPr>
        <w:t xml:space="preserve">6 March </w:t>
      </w:r>
      <w:r w:rsidR="00E04D7B" w:rsidRPr="00267D14">
        <w:rPr>
          <w:sz w:val="19"/>
          <w:szCs w:val="19"/>
        </w:rPr>
        <w:t>20</w:t>
      </w:r>
      <w:r w:rsidR="00E04D7B">
        <w:rPr>
          <w:sz w:val="19"/>
          <w:szCs w:val="19"/>
        </w:rPr>
        <w:t>20</w:t>
      </w:r>
      <w:r w:rsidR="00314026" w:rsidRPr="00A15DCB">
        <w:rPr>
          <w:sz w:val="19"/>
          <w:szCs w:val="19"/>
        </w:rPr>
        <w:fldChar w:fldCharType="end"/>
      </w:r>
      <w:r w:rsidRPr="00A15DCB">
        <w:rPr>
          <w:sz w:val="19"/>
          <w:szCs w:val="19"/>
        </w:rPr>
        <w:t xml:space="preserve"> (see Compilation Details).</w:t>
      </w:r>
    </w:p>
    <w:p w14:paraId="017C98E1" w14:textId="49778352" w:rsidR="00090A6F" w:rsidRPr="00A8015E" w:rsidRDefault="006715F2" w:rsidP="0045081B">
      <w:pPr>
        <w:pStyle w:val="ConvStandardTitle1"/>
      </w:pPr>
      <w:r>
        <w:t>A</w:t>
      </w:r>
      <w:r w:rsidRPr="00A8015E">
        <w:t xml:space="preserve">ccounting Standard </w:t>
      </w:r>
      <w:r w:rsidR="00090A6F" w:rsidRPr="00A8015E">
        <w:t xml:space="preserve">AASB </w:t>
      </w:r>
      <w:r w:rsidR="00090A6F" w:rsidRPr="00A8015E">
        <w:fldChar w:fldCharType="begin" w:fldLock="1"/>
      </w:r>
      <w:r w:rsidR="00090A6F" w:rsidRPr="00A8015E">
        <w:instrText xml:space="preserve"> REF DocNo  \* charformat </w:instrText>
      </w:r>
      <w:r w:rsidR="0045081B">
        <w:instrText xml:space="preserve"> \* MERGEFORMAT </w:instrText>
      </w:r>
      <w:r w:rsidR="00090A6F" w:rsidRPr="00A8015E">
        <w:fldChar w:fldCharType="separate"/>
      </w:r>
      <w:r w:rsidR="00C50009" w:rsidRPr="00A8015E">
        <w:t>1054</w:t>
      </w:r>
      <w:r w:rsidR="00090A6F" w:rsidRPr="00A8015E">
        <w:fldChar w:fldCharType="end"/>
      </w:r>
    </w:p>
    <w:p w14:paraId="017C98E2" w14:textId="026DA2C0" w:rsidR="00090A6F" w:rsidRPr="00A8015E" w:rsidRDefault="00090A6F" w:rsidP="0045081B">
      <w:pPr>
        <w:pStyle w:val="ConvStandardTitle2"/>
      </w:pPr>
      <w:r w:rsidRPr="00A8015E">
        <w:fldChar w:fldCharType="begin" w:fldLock="1"/>
      </w:r>
      <w:r w:rsidRPr="0045081B">
        <w:instrText xml:space="preserve"> REF DocTitle  \* charformat </w:instrText>
      </w:r>
      <w:r w:rsidR="0045081B" w:rsidRPr="0045081B">
        <w:instrText xml:space="preserve"> \* MERGEFORMAT </w:instrText>
      </w:r>
      <w:r w:rsidRPr="00A8015E">
        <w:fldChar w:fldCharType="separate"/>
      </w:r>
      <w:r w:rsidR="00C50009" w:rsidRPr="0045081B">
        <w:t>Australian</w:t>
      </w:r>
      <w:r w:rsidR="00C50009" w:rsidRPr="00A8015E">
        <w:t xml:space="preserve"> Additional Disclosures</w:t>
      </w:r>
      <w:r w:rsidRPr="00A8015E">
        <w:fldChar w:fldCharType="end"/>
      </w:r>
    </w:p>
    <w:p w14:paraId="017C98E3" w14:textId="77777777" w:rsidR="00090A6F" w:rsidRPr="0045081B" w:rsidRDefault="00090A6F" w:rsidP="0045081B">
      <w:pPr>
        <w:pStyle w:val="IASBSectionTitle1NonInd"/>
      </w:pPr>
      <w:r w:rsidRPr="0045081B">
        <w:t>Objective</w:t>
      </w:r>
    </w:p>
    <w:p w14:paraId="017C98E4" w14:textId="77777777" w:rsidR="00090A6F" w:rsidRPr="007653BE" w:rsidRDefault="000D4B5E" w:rsidP="00A743FA">
      <w:pPr>
        <w:pStyle w:val="NumPlain1"/>
        <w:numPr>
          <w:ilvl w:val="0"/>
          <w:numId w:val="8"/>
        </w:numPr>
        <w:tabs>
          <w:tab w:val="clear" w:pos="510"/>
          <w:tab w:val="num" w:pos="709"/>
        </w:tabs>
        <w:ind w:left="709" w:hanging="709"/>
      </w:pPr>
      <w:r w:rsidRPr="007653BE">
        <w:t xml:space="preserve">The objective of this Standard is to set out </w:t>
      </w:r>
      <w:r w:rsidR="00383D8B" w:rsidRPr="007653BE">
        <w:t xml:space="preserve">Australian-specific </w:t>
      </w:r>
      <w:r w:rsidRPr="007653BE">
        <w:t>disclosure</w:t>
      </w:r>
      <w:r w:rsidR="001017E4" w:rsidRPr="007653BE">
        <w:t xml:space="preserve"> requirement</w:t>
      </w:r>
      <w:r w:rsidRPr="007653BE">
        <w:t xml:space="preserve">s </w:t>
      </w:r>
      <w:r w:rsidR="006D413E" w:rsidRPr="007653BE">
        <w:t xml:space="preserve">that </w:t>
      </w:r>
      <w:r w:rsidR="00D027A0" w:rsidRPr="007653BE">
        <w:t xml:space="preserve">are </w:t>
      </w:r>
      <w:r w:rsidR="002D6AA5" w:rsidRPr="007653BE">
        <w:t xml:space="preserve">in addition to </w:t>
      </w:r>
      <w:r w:rsidR="00D027A0" w:rsidRPr="007653BE">
        <w:t>disclosure requirements in International Financial Reporting Standards.</w:t>
      </w:r>
    </w:p>
    <w:p w14:paraId="017C98E5" w14:textId="52D8CA94" w:rsidR="00090A6F" w:rsidRDefault="00090A6F" w:rsidP="0011328A">
      <w:pPr>
        <w:pStyle w:val="IASBSectionTitle1NonInd"/>
      </w:pPr>
      <w:r w:rsidRPr="00A8015E">
        <w:t>Application</w:t>
      </w:r>
    </w:p>
    <w:p w14:paraId="7979AE64" w14:textId="77777777" w:rsidR="00E16FA7" w:rsidRPr="00381CDA" w:rsidRDefault="00E16FA7" w:rsidP="00024F12">
      <w:pPr>
        <w:pStyle w:val="IASBNormalnpara"/>
        <w:numPr>
          <w:ilvl w:val="0"/>
          <w:numId w:val="6"/>
        </w:numPr>
        <w:tabs>
          <w:tab w:val="clear" w:pos="510"/>
        </w:tabs>
        <w:ind w:left="782" w:hanging="782"/>
        <w:rPr>
          <w:b/>
        </w:rPr>
      </w:pPr>
      <w:r w:rsidRPr="00381CDA">
        <w:t>[Deleted by the AASB]</w:t>
      </w:r>
    </w:p>
    <w:p w14:paraId="57DCFEBE" w14:textId="6390F2CE" w:rsidR="0056358B" w:rsidRPr="00381CDA" w:rsidRDefault="00D1365A" w:rsidP="00024F12">
      <w:pPr>
        <w:pStyle w:val="IASBNormalnpara"/>
        <w:numPr>
          <w:ilvl w:val="0"/>
          <w:numId w:val="6"/>
        </w:numPr>
        <w:tabs>
          <w:tab w:val="clear" w:pos="510"/>
        </w:tabs>
        <w:ind w:left="782" w:hanging="782"/>
        <w:rPr>
          <w:b/>
        </w:rPr>
      </w:pPr>
      <w:bookmarkStart w:id="7" w:name="AppDateSpecified"/>
      <w:r w:rsidRPr="00381CDA">
        <w:rPr>
          <w:b/>
        </w:rPr>
        <w:t xml:space="preserve">This Standard applies to </w:t>
      </w:r>
      <w:r w:rsidRPr="00381CDA">
        <w:rPr>
          <w:b/>
          <w:i/>
        </w:rPr>
        <w:t>annual reporting periods</w:t>
      </w:r>
      <w:r w:rsidRPr="00381CDA">
        <w:rPr>
          <w:b/>
        </w:rPr>
        <w:t xml:space="preserve"> </w:t>
      </w:r>
      <w:bookmarkStart w:id="8" w:name="ApplyText"/>
      <w:r w:rsidR="005C781E" w:rsidRPr="00381CDA">
        <w:rPr>
          <w:b/>
        </w:rPr>
        <w:t>beginning</w:t>
      </w:r>
      <w:bookmarkEnd w:id="8"/>
      <w:r w:rsidRPr="00381CDA">
        <w:rPr>
          <w:b/>
        </w:rPr>
        <w:t xml:space="preserve"> on or after </w:t>
      </w:r>
      <w:bookmarkStart w:id="9" w:name="ApplyDate"/>
      <w:r w:rsidR="00C50009" w:rsidRPr="00381CDA">
        <w:rPr>
          <w:b/>
        </w:rPr>
        <w:t>1 July 20</w:t>
      </w:r>
      <w:r w:rsidR="00530ADB" w:rsidRPr="00381CDA">
        <w:rPr>
          <w:b/>
        </w:rPr>
        <w:t>11</w:t>
      </w:r>
      <w:bookmarkEnd w:id="9"/>
      <w:r w:rsidRPr="00381CDA">
        <w:rPr>
          <w:b/>
        </w:rPr>
        <w:t>.</w:t>
      </w:r>
    </w:p>
    <w:p w14:paraId="017C98EA" w14:textId="7AADD59B" w:rsidR="00D1365A" w:rsidRPr="00771E45" w:rsidRDefault="0024359E" w:rsidP="006C5F0F">
      <w:pPr>
        <w:pStyle w:val="IASBNormalnparaP"/>
        <w:spacing w:before="0" w:after="0"/>
        <w:rPr>
          <w:b/>
          <w:sz w:val="16"/>
          <w:szCs w:val="16"/>
        </w:rPr>
      </w:pPr>
      <w:r w:rsidRPr="00771E45">
        <w:rPr>
          <w:sz w:val="16"/>
          <w:szCs w:val="16"/>
        </w:rPr>
        <w:t>[Note:  For application dates of paragraphs changed or added by an amending Standard, see Compilation Details.]</w:t>
      </w:r>
    </w:p>
    <w:p w14:paraId="017C98EB" w14:textId="627D4960" w:rsidR="00D1365A" w:rsidRPr="001B1A23" w:rsidRDefault="00D1365A" w:rsidP="00024F12">
      <w:pPr>
        <w:pStyle w:val="IASBNormalnpara"/>
        <w:numPr>
          <w:ilvl w:val="0"/>
          <w:numId w:val="6"/>
        </w:numPr>
        <w:tabs>
          <w:tab w:val="clear" w:pos="510"/>
        </w:tabs>
        <w:ind w:left="782" w:hanging="782"/>
        <w:rPr>
          <w:b/>
        </w:rPr>
      </w:pPr>
      <w:bookmarkStart w:id="10" w:name="EarlyYesPara"/>
      <w:r w:rsidRPr="001B1A23">
        <w:rPr>
          <w:b/>
        </w:rPr>
        <w:t>This Standard</w:t>
      </w:r>
      <w:r w:rsidR="008F6C8A" w:rsidRPr="001B1A23">
        <w:rPr>
          <w:b/>
        </w:rPr>
        <w:t>, or individual disclosure requirements,</w:t>
      </w:r>
      <w:r w:rsidRPr="001B1A23">
        <w:rPr>
          <w:b/>
        </w:rPr>
        <w:t xml:space="preserve"> may be applied to annual reporting periods </w:t>
      </w:r>
      <w:bookmarkStart w:id="11" w:name="EarlyText"/>
      <w:r w:rsidR="005C781E" w:rsidRPr="001B1A23">
        <w:rPr>
          <w:b/>
        </w:rPr>
        <w:t>beginning</w:t>
      </w:r>
      <w:bookmarkEnd w:id="11"/>
      <w:r w:rsidRPr="001B1A23">
        <w:rPr>
          <w:b/>
        </w:rPr>
        <w:t xml:space="preserve"> on or after </w:t>
      </w:r>
      <w:bookmarkStart w:id="12" w:name="EarlyDate"/>
      <w:r w:rsidR="005C781E" w:rsidRPr="001B1A23">
        <w:rPr>
          <w:b/>
        </w:rPr>
        <w:t>1 January 2005</w:t>
      </w:r>
      <w:bookmarkEnd w:id="12"/>
      <w:r w:rsidRPr="001B1A23">
        <w:rPr>
          <w:b/>
        </w:rPr>
        <w:t xml:space="preserve"> </w:t>
      </w:r>
      <w:bookmarkStart w:id="13" w:name="EarlyWord"/>
      <w:r w:rsidR="005C781E" w:rsidRPr="001B1A23">
        <w:rPr>
          <w:b/>
        </w:rPr>
        <w:t>but</w:t>
      </w:r>
      <w:bookmarkEnd w:id="13"/>
      <w:r w:rsidRPr="001B1A23">
        <w:rPr>
          <w:b/>
        </w:rPr>
        <w:t xml:space="preserve"> </w:t>
      </w:r>
      <w:r w:rsidR="007978DC" w:rsidRPr="001B1A23">
        <w:rPr>
          <w:b/>
        </w:rPr>
        <w:t xml:space="preserve">before </w:t>
      </w:r>
      <w:r w:rsidR="00314026" w:rsidRPr="001B1A23">
        <w:rPr>
          <w:b/>
        </w:rPr>
        <w:fldChar w:fldCharType="begin"/>
      </w:r>
      <w:r w:rsidR="00314026" w:rsidRPr="001B1A23">
        <w:rPr>
          <w:b/>
        </w:rPr>
        <w:instrText xml:space="preserve"> REF \* charformat ApplyDate  \* MERGEFORMAT </w:instrText>
      </w:r>
      <w:r w:rsidR="00314026" w:rsidRPr="001B1A23">
        <w:rPr>
          <w:b/>
        </w:rPr>
        <w:fldChar w:fldCharType="separate"/>
      </w:r>
      <w:r w:rsidR="00E04D7B" w:rsidRPr="00381CDA">
        <w:rPr>
          <w:b/>
        </w:rPr>
        <w:t>1 July 2011</w:t>
      </w:r>
      <w:r w:rsidR="00314026" w:rsidRPr="001B1A23">
        <w:rPr>
          <w:b/>
        </w:rPr>
        <w:fldChar w:fldCharType="end"/>
      </w:r>
      <w:r w:rsidR="008954F5" w:rsidRPr="001B1A23">
        <w:rPr>
          <w:b/>
        </w:rPr>
        <w:t>, provided that AASB </w:t>
      </w:r>
      <w:r w:rsidR="00F94ED9" w:rsidRPr="001B1A23">
        <w:rPr>
          <w:b/>
        </w:rPr>
        <w:t>2011-1</w:t>
      </w:r>
      <w:r w:rsidR="00176DF8" w:rsidRPr="001B1A23">
        <w:rPr>
          <w:b/>
        </w:rPr>
        <w:t xml:space="preserve"> </w:t>
      </w:r>
      <w:r w:rsidR="00176DF8" w:rsidRPr="001B1A23">
        <w:rPr>
          <w:b/>
          <w:i/>
        </w:rPr>
        <w:t>Amendments to Australian Accounting Standards arising fro</w:t>
      </w:r>
      <w:r w:rsidR="0096458E" w:rsidRPr="001B1A23">
        <w:rPr>
          <w:b/>
          <w:i/>
        </w:rPr>
        <w:t>m the Trans-Tasman Convergence P</w:t>
      </w:r>
      <w:r w:rsidR="00176DF8" w:rsidRPr="001B1A23">
        <w:rPr>
          <w:b/>
          <w:i/>
        </w:rPr>
        <w:t>roject</w:t>
      </w:r>
      <w:r w:rsidR="008F6C8A" w:rsidRPr="001B1A23">
        <w:rPr>
          <w:b/>
        </w:rPr>
        <w:t>, or its rel</w:t>
      </w:r>
      <w:r w:rsidR="0048503E" w:rsidRPr="001B1A23">
        <w:rPr>
          <w:b/>
        </w:rPr>
        <w:t>evant individual</w:t>
      </w:r>
      <w:r w:rsidR="008F6C8A" w:rsidRPr="001B1A23">
        <w:rPr>
          <w:b/>
        </w:rPr>
        <w:t xml:space="preserve"> amendments, is also adopted early for the same period</w:t>
      </w:r>
      <w:r w:rsidRPr="001B1A23">
        <w:rPr>
          <w:b/>
        </w:rPr>
        <w:t>.  When an entity applies this Standard</w:t>
      </w:r>
      <w:r w:rsidR="004B3C7E" w:rsidRPr="001B1A23">
        <w:rPr>
          <w:b/>
        </w:rPr>
        <w:t>,</w:t>
      </w:r>
      <w:r w:rsidRPr="001B1A23">
        <w:rPr>
          <w:b/>
        </w:rPr>
        <w:t xml:space="preserve"> </w:t>
      </w:r>
      <w:r w:rsidR="004B3C7E" w:rsidRPr="001B1A23">
        <w:rPr>
          <w:b/>
        </w:rPr>
        <w:t>or individual disclosure requirements</w:t>
      </w:r>
      <w:r w:rsidR="00D173E3" w:rsidRPr="001B1A23">
        <w:rPr>
          <w:b/>
        </w:rPr>
        <w:t>,</w:t>
      </w:r>
      <w:r w:rsidR="004B3C7E" w:rsidRPr="001B1A23">
        <w:rPr>
          <w:b/>
        </w:rPr>
        <w:t xml:space="preserve"> to such an</w:t>
      </w:r>
      <w:r w:rsidRPr="001B1A23">
        <w:rPr>
          <w:b/>
        </w:rPr>
        <w:t xml:space="preserve"> annual reporting period</w:t>
      </w:r>
      <w:r w:rsidR="004B3C7E" w:rsidRPr="001B1A23">
        <w:rPr>
          <w:b/>
        </w:rPr>
        <w:t xml:space="preserve">, </w:t>
      </w:r>
      <w:r w:rsidRPr="001B1A23">
        <w:rPr>
          <w:b/>
        </w:rPr>
        <w:t>it shall disclose that fact.</w:t>
      </w:r>
    </w:p>
    <w:bookmarkEnd w:id="7"/>
    <w:bookmarkEnd w:id="10"/>
    <w:p w14:paraId="017C98EC" w14:textId="77777777" w:rsidR="00090A6F" w:rsidRPr="00A8015E" w:rsidRDefault="001B45DA" w:rsidP="00024F12">
      <w:pPr>
        <w:pStyle w:val="IASBNormalnpara"/>
        <w:numPr>
          <w:ilvl w:val="0"/>
          <w:numId w:val="6"/>
        </w:numPr>
        <w:tabs>
          <w:tab w:val="clear" w:pos="510"/>
        </w:tabs>
        <w:ind w:left="782" w:hanging="782"/>
        <w:rPr>
          <w:b/>
        </w:rPr>
      </w:pPr>
      <w:r>
        <w:t>[Deleted by the AASB]</w:t>
      </w:r>
    </w:p>
    <w:p w14:paraId="5BAA0A6C" w14:textId="77777777" w:rsidR="00E13964" w:rsidRDefault="00E13964" w:rsidP="00E13964">
      <w:pPr>
        <w:pStyle w:val="IASBNormalnpara"/>
      </w:pPr>
      <w:r>
        <w:t>5A–</w:t>
      </w:r>
    </w:p>
    <w:p w14:paraId="22D7683C" w14:textId="51E61214" w:rsidR="00E13964" w:rsidRPr="00A8015E" w:rsidRDefault="00E13964" w:rsidP="00E13964">
      <w:pPr>
        <w:pStyle w:val="IASBNormalnpara"/>
        <w:spacing w:before="0"/>
      </w:pPr>
      <w:r>
        <w:t>5C</w:t>
      </w:r>
      <w:r>
        <w:tab/>
        <w:t>[Deleted by the AASB]</w:t>
      </w:r>
    </w:p>
    <w:p w14:paraId="017C98F1" w14:textId="3A04E9E0" w:rsidR="00BA3B38" w:rsidRPr="00A8015E" w:rsidRDefault="005D410C" w:rsidP="0011328A">
      <w:pPr>
        <w:pStyle w:val="IASBSectionTitle1NonInd"/>
      </w:pPr>
      <w:r w:rsidRPr="00A8015E">
        <w:t>Definitions</w:t>
      </w:r>
    </w:p>
    <w:p w14:paraId="017C98F2" w14:textId="77777777" w:rsidR="00BA3B38" w:rsidRPr="00A8015E" w:rsidRDefault="00BA3B38" w:rsidP="00024F12">
      <w:pPr>
        <w:pStyle w:val="IASBNormalnpara"/>
        <w:numPr>
          <w:ilvl w:val="0"/>
          <w:numId w:val="6"/>
        </w:numPr>
        <w:tabs>
          <w:tab w:val="clear" w:pos="510"/>
        </w:tabs>
        <w:ind w:left="782" w:hanging="782"/>
        <w:rPr>
          <w:lang w:eastAsia="en-NZ"/>
        </w:rPr>
      </w:pPr>
      <w:r w:rsidRPr="00A8015E">
        <w:rPr>
          <w:lang w:eastAsia="en-NZ"/>
        </w:rPr>
        <w:t xml:space="preserve">The </w:t>
      </w:r>
      <w:r w:rsidRPr="00A8015E">
        <w:t>following</w:t>
      </w:r>
      <w:r w:rsidRPr="00A8015E">
        <w:rPr>
          <w:lang w:eastAsia="en-NZ"/>
        </w:rPr>
        <w:t xml:space="preserve"> terms are used in</w:t>
      </w:r>
      <w:r w:rsidR="00804F74" w:rsidRPr="00A8015E">
        <w:rPr>
          <w:lang w:eastAsia="en-NZ"/>
        </w:rPr>
        <w:t xml:space="preserve"> </w:t>
      </w:r>
      <w:r w:rsidR="000440F3" w:rsidRPr="00A8015E">
        <w:rPr>
          <w:lang w:eastAsia="en-NZ"/>
        </w:rPr>
        <w:t>this Standard</w:t>
      </w:r>
      <w:r w:rsidR="00BA153A" w:rsidRPr="00A8015E">
        <w:rPr>
          <w:lang w:eastAsia="en-NZ"/>
        </w:rPr>
        <w:t xml:space="preserve"> with</w:t>
      </w:r>
      <w:r w:rsidR="00827087" w:rsidRPr="00A8015E">
        <w:rPr>
          <w:lang w:eastAsia="en-NZ"/>
        </w:rPr>
        <w:t xml:space="preserve"> the meanings specified.</w:t>
      </w:r>
    </w:p>
    <w:p w14:paraId="017C98F3" w14:textId="2AD3916F" w:rsidR="00BA3B38" w:rsidRPr="007653BE" w:rsidRDefault="00BA3B38" w:rsidP="00F8417B">
      <w:pPr>
        <w:pStyle w:val="DefnPara"/>
        <w:spacing w:before="100" w:after="0" w:line="240" w:lineRule="auto"/>
        <w:ind w:left="782" w:firstLine="0"/>
        <w:jc w:val="both"/>
        <w:rPr>
          <w:b w:val="0"/>
          <w:sz w:val="19"/>
          <w:szCs w:val="19"/>
          <w:lang w:eastAsia="en-NZ"/>
        </w:rPr>
      </w:pPr>
      <w:r w:rsidRPr="007653BE">
        <w:rPr>
          <w:b w:val="0"/>
          <w:i/>
          <w:sz w:val="19"/>
          <w:szCs w:val="19"/>
          <w:lang w:eastAsia="en-NZ"/>
        </w:rPr>
        <w:t>Annual reporting period</w:t>
      </w:r>
      <w:r w:rsidRPr="007653BE">
        <w:rPr>
          <w:b w:val="0"/>
          <w:sz w:val="19"/>
          <w:szCs w:val="19"/>
          <w:lang w:eastAsia="en-NZ"/>
        </w:rPr>
        <w:t xml:space="preserve"> means the financial year or similar period to which annu</w:t>
      </w:r>
      <w:r w:rsidR="00BA153A" w:rsidRPr="007653BE">
        <w:rPr>
          <w:b w:val="0"/>
          <w:sz w:val="19"/>
          <w:szCs w:val="19"/>
          <w:lang w:eastAsia="en-NZ"/>
        </w:rPr>
        <w:t xml:space="preserve">al </w:t>
      </w:r>
      <w:r w:rsidR="00BA153A" w:rsidRPr="007653BE">
        <w:rPr>
          <w:b w:val="0"/>
          <w:sz w:val="19"/>
          <w:szCs w:val="19"/>
        </w:rPr>
        <w:t>financial</w:t>
      </w:r>
      <w:r w:rsidR="00A15DCB">
        <w:rPr>
          <w:b w:val="0"/>
          <w:sz w:val="19"/>
          <w:szCs w:val="19"/>
          <w:lang w:eastAsia="en-NZ"/>
        </w:rPr>
        <w:t xml:space="preserve"> </w:t>
      </w:r>
      <w:r w:rsidR="00BA153A" w:rsidRPr="007653BE">
        <w:rPr>
          <w:b w:val="0"/>
          <w:sz w:val="19"/>
          <w:szCs w:val="19"/>
          <w:lang w:eastAsia="en-NZ"/>
        </w:rPr>
        <w:t>statements relate.</w:t>
      </w:r>
    </w:p>
    <w:p w14:paraId="017C98F4" w14:textId="77777777" w:rsidR="00BA3B38" w:rsidRPr="007653BE" w:rsidRDefault="00BA3B38" w:rsidP="00F8417B">
      <w:pPr>
        <w:pStyle w:val="DefnPara"/>
        <w:spacing w:before="100" w:after="0" w:line="240" w:lineRule="auto"/>
        <w:ind w:left="782" w:firstLine="0"/>
        <w:jc w:val="both"/>
        <w:rPr>
          <w:b w:val="0"/>
          <w:sz w:val="19"/>
          <w:szCs w:val="19"/>
          <w:lang w:eastAsia="en-NZ"/>
        </w:rPr>
      </w:pPr>
      <w:r w:rsidRPr="007653BE">
        <w:rPr>
          <w:b w:val="0"/>
          <w:i/>
          <w:sz w:val="19"/>
          <w:szCs w:val="19"/>
          <w:lang w:eastAsia="en-NZ"/>
        </w:rPr>
        <w:t>Special purpose financial statements</w:t>
      </w:r>
      <w:r w:rsidR="00147CE0" w:rsidRPr="007653BE">
        <w:rPr>
          <w:b w:val="0"/>
          <w:sz w:val="19"/>
          <w:szCs w:val="19"/>
          <w:lang w:eastAsia="en-NZ"/>
        </w:rPr>
        <w:t xml:space="preserve"> </w:t>
      </w:r>
      <w:r w:rsidRPr="007653BE">
        <w:rPr>
          <w:b w:val="0"/>
          <w:sz w:val="19"/>
          <w:szCs w:val="19"/>
          <w:lang w:eastAsia="en-NZ"/>
        </w:rPr>
        <w:t xml:space="preserve">are </w:t>
      </w:r>
      <w:r w:rsidRPr="007653BE">
        <w:rPr>
          <w:b w:val="0"/>
          <w:sz w:val="19"/>
          <w:szCs w:val="19"/>
        </w:rPr>
        <w:t>financial</w:t>
      </w:r>
      <w:r w:rsidRPr="007653BE">
        <w:rPr>
          <w:b w:val="0"/>
          <w:sz w:val="19"/>
          <w:szCs w:val="19"/>
          <w:lang w:eastAsia="en-NZ"/>
        </w:rPr>
        <w:t xml:space="preserve"> statements other than general purpose financial statements.</w:t>
      </w:r>
    </w:p>
    <w:p w14:paraId="017C98F5" w14:textId="77777777" w:rsidR="00BA3B38" w:rsidRPr="00A8015E" w:rsidRDefault="00BA3B38" w:rsidP="0011328A">
      <w:pPr>
        <w:pStyle w:val="IASBSectionTitle1NonInd"/>
      </w:pPr>
      <w:r w:rsidRPr="00A8015E">
        <w:t>Compliance with Australian Accounting Standards</w:t>
      </w:r>
    </w:p>
    <w:p w14:paraId="017C98F6" w14:textId="60A53396" w:rsidR="00BA3B38" w:rsidRPr="00A8015E" w:rsidRDefault="00BA3B38" w:rsidP="00024F12">
      <w:pPr>
        <w:pStyle w:val="IASBNormalnpara"/>
        <w:numPr>
          <w:ilvl w:val="0"/>
          <w:numId w:val="6"/>
        </w:numPr>
        <w:tabs>
          <w:tab w:val="clear" w:pos="510"/>
        </w:tabs>
        <w:ind w:left="782" w:hanging="782"/>
        <w:rPr>
          <w:lang w:eastAsia="en-NZ"/>
        </w:rPr>
      </w:pPr>
      <w:r w:rsidRPr="00A8015E">
        <w:rPr>
          <w:lang w:eastAsia="en-NZ"/>
        </w:rPr>
        <w:t>An entity whose financial statements comply with Australian Accounting Standards shall make an explicit and unreserved statement of such compliance in the notes.</w:t>
      </w:r>
      <w:r w:rsidR="005D4C7C">
        <w:rPr>
          <w:lang w:eastAsia="en-NZ"/>
        </w:rPr>
        <w:t xml:space="preserve"> </w:t>
      </w:r>
      <w:r w:rsidRPr="00A8015E">
        <w:rPr>
          <w:lang w:eastAsia="en-NZ"/>
        </w:rPr>
        <w:t xml:space="preserve"> An entity shall not describe financial statements as complying with Australian Accounting Standards unless they comply with all the requirements of A</w:t>
      </w:r>
      <w:r w:rsidR="00781045">
        <w:rPr>
          <w:lang w:eastAsia="en-NZ"/>
        </w:rPr>
        <w:t>ustralian Accounting Standards.</w:t>
      </w:r>
    </w:p>
    <w:p w14:paraId="017C98F8" w14:textId="77777777" w:rsidR="00BA3B38" w:rsidRPr="00A8015E" w:rsidRDefault="00C34C27" w:rsidP="0011328A">
      <w:pPr>
        <w:pStyle w:val="IASBSectionTitle1NonInd"/>
      </w:pPr>
      <w:r w:rsidRPr="00A8015E">
        <w:t>Reporting Framework</w:t>
      </w:r>
    </w:p>
    <w:p w14:paraId="017C98F9" w14:textId="77777777" w:rsidR="00BA3B38" w:rsidRPr="00A8015E" w:rsidRDefault="00BA3B38" w:rsidP="00024F12">
      <w:pPr>
        <w:pStyle w:val="IASBNormalnpara"/>
        <w:numPr>
          <w:ilvl w:val="0"/>
          <w:numId w:val="6"/>
        </w:numPr>
        <w:tabs>
          <w:tab w:val="clear" w:pos="510"/>
        </w:tabs>
        <w:ind w:left="782" w:hanging="782"/>
        <w:rPr>
          <w:lang w:eastAsia="en-NZ"/>
        </w:rPr>
      </w:pPr>
      <w:r w:rsidRPr="00A8015E">
        <w:rPr>
          <w:lang w:eastAsia="en-NZ"/>
        </w:rPr>
        <w:t xml:space="preserve">An entity shall </w:t>
      </w:r>
      <w:r w:rsidRPr="00A8015E">
        <w:t>disclose</w:t>
      </w:r>
      <w:r w:rsidRPr="00A8015E">
        <w:rPr>
          <w:lang w:eastAsia="en-NZ"/>
        </w:rPr>
        <w:t xml:space="preserve"> in the notes:</w:t>
      </w:r>
    </w:p>
    <w:p w14:paraId="017C98FA" w14:textId="77777777" w:rsidR="00BA3B38" w:rsidRPr="00A8015E" w:rsidRDefault="00BA3B38" w:rsidP="006F22B6">
      <w:pPr>
        <w:pStyle w:val="IASBNormalnpara"/>
        <w:numPr>
          <w:ilvl w:val="1"/>
          <w:numId w:val="6"/>
        </w:numPr>
        <w:tabs>
          <w:tab w:val="clear" w:pos="1021"/>
        </w:tabs>
        <w:ind w:left="1564" w:hanging="782"/>
      </w:pPr>
      <w:r w:rsidRPr="00A8015E">
        <w:t>the statutory bas</w:t>
      </w:r>
      <w:r w:rsidR="008B03AD" w:rsidRPr="00A8015E">
        <w:t>is</w:t>
      </w:r>
      <w:r w:rsidRPr="00A8015E">
        <w:t xml:space="preserve"> or other reporting framework, if any, under which the financial statements are prepared;</w:t>
      </w:r>
      <w:r w:rsidR="000D523D" w:rsidRPr="00A8015E">
        <w:t xml:space="preserve"> and</w:t>
      </w:r>
    </w:p>
    <w:p w14:paraId="017C98FB" w14:textId="77777777" w:rsidR="00BA3B38" w:rsidRPr="00A8015E" w:rsidRDefault="00BA3B38" w:rsidP="006F22B6">
      <w:pPr>
        <w:pStyle w:val="IASBNormalnpara"/>
        <w:numPr>
          <w:ilvl w:val="1"/>
          <w:numId w:val="6"/>
        </w:numPr>
        <w:tabs>
          <w:tab w:val="clear" w:pos="1021"/>
        </w:tabs>
        <w:ind w:left="1564" w:hanging="782"/>
        <w:rPr>
          <w:lang w:eastAsia="en-NZ"/>
        </w:rPr>
      </w:pPr>
      <w:r w:rsidRPr="00A8015E">
        <w:rPr>
          <w:lang w:eastAsia="en-NZ"/>
        </w:rPr>
        <w:lastRenderedPageBreak/>
        <w:t>whether, for the purposes of preparing the financial statements, it is a for-</w:t>
      </w:r>
      <w:r w:rsidR="000D523D" w:rsidRPr="00A8015E">
        <w:rPr>
          <w:lang w:eastAsia="en-NZ"/>
        </w:rPr>
        <w:t>profit or not-for-profit entity.</w:t>
      </w:r>
    </w:p>
    <w:p w14:paraId="017C98FC" w14:textId="77777777" w:rsidR="00BA3B38" w:rsidRPr="00A8015E" w:rsidRDefault="00775364" w:rsidP="0011328A">
      <w:pPr>
        <w:pStyle w:val="IASBSectionTitle1NonInd"/>
      </w:pPr>
      <w:r w:rsidRPr="00A8015E">
        <w:t>General Purpose or S</w:t>
      </w:r>
      <w:r w:rsidR="008D29E9" w:rsidRPr="00A8015E">
        <w:t xml:space="preserve">pecial </w:t>
      </w:r>
      <w:r w:rsidRPr="00A8015E">
        <w:t>P</w:t>
      </w:r>
      <w:r w:rsidR="008D29E9" w:rsidRPr="00A8015E">
        <w:t>u</w:t>
      </w:r>
      <w:r w:rsidRPr="00A8015E">
        <w:t>rpose Financial S</w:t>
      </w:r>
      <w:r w:rsidR="008D29E9" w:rsidRPr="00A8015E">
        <w:t>tatements</w:t>
      </w:r>
    </w:p>
    <w:p w14:paraId="017C98FD" w14:textId="3F7D2021" w:rsidR="00BA3B38" w:rsidRPr="00531897" w:rsidRDefault="00BA3B38" w:rsidP="00024F12">
      <w:pPr>
        <w:pStyle w:val="IASBNormalnpara"/>
        <w:numPr>
          <w:ilvl w:val="0"/>
          <w:numId w:val="6"/>
        </w:numPr>
        <w:tabs>
          <w:tab w:val="clear" w:pos="510"/>
        </w:tabs>
        <w:ind w:left="782" w:hanging="782"/>
        <w:rPr>
          <w:lang w:eastAsia="en-NZ"/>
        </w:rPr>
      </w:pPr>
      <w:r w:rsidRPr="00A8015E">
        <w:rPr>
          <w:lang w:eastAsia="en-NZ"/>
        </w:rPr>
        <w:t xml:space="preserve">An entity </w:t>
      </w:r>
      <w:r w:rsidR="009A2ADC" w:rsidRPr="00A8015E">
        <w:rPr>
          <w:lang w:eastAsia="en-NZ"/>
        </w:rPr>
        <w:t xml:space="preserve">shall </w:t>
      </w:r>
      <w:r w:rsidR="009A2ADC" w:rsidRPr="00A8015E">
        <w:t>disclose</w:t>
      </w:r>
      <w:r w:rsidR="009A2ADC" w:rsidRPr="00A8015E">
        <w:rPr>
          <w:lang w:eastAsia="en-NZ"/>
        </w:rPr>
        <w:t xml:space="preserve"> in the notes whether</w:t>
      </w:r>
      <w:r w:rsidRPr="00A8015E">
        <w:rPr>
          <w:lang w:eastAsia="en-NZ"/>
        </w:rPr>
        <w:t xml:space="preserve"> the financial statements are gener</w:t>
      </w:r>
      <w:r w:rsidR="009A2ADC" w:rsidRPr="00A8015E">
        <w:rPr>
          <w:lang w:eastAsia="en-NZ"/>
        </w:rPr>
        <w:t>al purpose financial statements</w:t>
      </w:r>
      <w:r w:rsidRPr="00A8015E">
        <w:rPr>
          <w:lang w:eastAsia="en-NZ"/>
        </w:rPr>
        <w:t xml:space="preserve"> or </w:t>
      </w:r>
      <w:r w:rsidRPr="00A8015E">
        <w:rPr>
          <w:i/>
          <w:lang w:eastAsia="en-NZ"/>
        </w:rPr>
        <w:t>special purpose financial statements.</w:t>
      </w:r>
    </w:p>
    <w:p w14:paraId="63DEF3F7" w14:textId="77777777" w:rsidR="00157038" w:rsidRPr="007C3764" w:rsidRDefault="00157038" w:rsidP="00D616AB">
      <w:pPr>
        <w:pStyle w:val="IASBSectionTitle2Ind"/>
      </w:pPr>
      <w:r w:rsidRPr="007C3764">
        <w:t>Information about special purpose financial statements</w:t>
      </w:r>
    </w:p>
    <w:p w14:paraId="7B423AE5" w14:textId="77777777" w:rsidR="00157038" w:rsidRPr="00787228" w:rsidRDefault="00157038" w:rsidP="002020A2">
      <w:pPr>
        <w:pStyle w:val="IASBNormalnpara"/>
        <w:keepNext/>
        <w:rPr>
          <w:b/>
        </w:rPr>
      </w:pPr>
      <w:r w:rsidRPr="00787228">
        <w:t>9A</w:t>
      </w:r>
      <w:r w:rsidRPr="00787228">
        <w:tab/>
        <w:t>A not-for-profit private sector entity</w:t>
      </w:r>
      <w:r w:rsidRPr="00787228">
        <w:rPr>
          <w:i/>
        </w:rPr>
        <w:t xml:space="preserve"> </w:t>
      </w:r>
      <w:r w:rsidRPr="00787228">
        <w:t>that prepares special purpose financial statements shall:</w:t>
      </w:r>
    </w:p>
    <w:p w14:paraId="36DA602C" w14:textId="77777777" w:rsidR="00157038" w:rsidRPr="00787228" w:rsidRDefault="00157038" w:rsidP="00883247">
      <w:pPr>
        <w:pStyle w:val="IASBNormalnpara"/>
        <w:numPr>
          <w:ilvl w:val="1"/>
          <w:numId w:val="6"/>
        </w:numPr>
        <w:tabs>
          <w:tab w:val="clear" w:pos="1021"/>
        </w:tabs>
        <w:ind w:left="1564" w:hanging="782"/>
        <w:rPr>
          <w:szCs w:val="19"/>
        </w:rPr>
      </w:pPr>
      <w:r w:rsidRPr="00787228">
        <w:rPr>
          <w:szCs w:val="19"/>
        </w:rPr>
        <w:t>disclose the basis on which the decision to prepare special purpose financial statements was made;</w:t>
      </w:r>
    </w:p>
    <w:p w14:paraId="72A850EC" w14:textId="77777777" w:rsidR="00157038" w:rsidRPr="00787228" w:rsidRDefault="00157038" w:rsidP="00883247">
      <w:pPr>
        <w:pStyle w:val="IASBNormalnpara"/>
        <w:numPr>
          <w:ilvl w:val="1"/>
          <w:numId w:val="6"/>
        </w:numPr>
        <w:tabs>
          <w:tab w:val="clear" w:pos="1021"/>
        </w:tabs>
        <w:ind w:left="1564" w:hanging="782"/>
        <w:rPr>
          <w:szCs w:val="19"/>
        </w:rPr>
      </w:pPr>
      <w:r w:rsidRPr="00787228">
        <w:rPr>
          <w:szCs w:val="19"/>
        </w:rPr>
        <w:t>where the entity has interests in other entities – disclose either:</w:t>
      </w:r>
    </w:p>
    <w:p w14:paraId="3E355EE0" w14:textId="1D418820" w:rsidR="00157038" w:rsidRPr="00787228" w:rsidRDefault="00157038" w:rsidP="00883247">
      <w:pPr>
        <w:pStyle w:val="NumFPlain1"/>
        <w:numPr>
          <w:ilvl w:val="1"/>
          <w:numId w:val="11"/>
        </w:numPr>
        <w:tabs>
          <w:tab w:val="clear" w:pos="2410"/>
        </w:tabs>
        <w:spacing w:after="0"/>
        <w:ind w:left="2347" w:hanging="782"/>
        <w:rPr>
          <w:szCs w:val="19"/>
        </w:rPr>
      </w:pPr>
      <w:r w:rsidRPr="00787228">
        <w:rPr>
          <w:szCs w:val="19"/>
        </w:rPr>
        <w:t>whether or not its subsidiaries and investments in associates or joint ventures have been consolidated or equity accounted in a manner consistent with the requirements set out in AASB</w:t>
      </w:r>
      <w:r w:rsidR="00670344">
        <w:rPr>
          <w:szCs w:val="19"/>
        </w:rPr>
        <w:t> </w:t>
      </w:r>
      <w:r w:rsidRPr="00787228">
        <w:rPr>
          <w:szCs w:val="19"/>
        </w:rPr>
        <w:t>10</w:t>
      </w:r>
      <w:r w:rsidR="00670344">
        <w:rPr>
          <w:szCs w:val="19"/>
        </w:rPr>
        <w:t xml:space="preserve"> </w:t>
      </w:r>
      <w:r w:rsidRPr="00787228">
        <w:rPr>
          <w:i/>
          <w:szCs w:val="19"/>
        </w:rPr>
        <w:t>Consolidated Financial Statements</w:t>
      </w:r>
      <w:r w:rsidRPr="00787228">
        <w:rPr>
          <w:szCs w:val="19"/>
        </w:rPr>
        <w:t xml:space="preserve"> or AASB</w:t>
      </w:r>
      <w:r w:rsidR="00670344">
        <w:rPr>
          <w:szCs w:val="19"/>
        </w:rPr>
        <w:t> </w:t>
      </w:r>
      <w:r w:rsidRPr="00787228">
        <w:rPr>
          <w:szCs w:val="19"/>
        </w:rPr>
        <w:t xml:space="preserve">128 </w:t>
      </w:r>
      <w:r w:rsidRPr="00787228">
        <w:rPr>
          <w:i/>
          <w:szCs w:val="19"/>
        </w:rPr>
        <w:t>Investments in Associates and Joint Ventures</w:t>
      </w:r>
      <w:r w:rsidRPr="00787228">
        <w:rPr>
          <w:szCs w:val="19"/>
        </w:rPr>
        <w:t>, as appropriate. If the entity has not consolidated its subsidiaries or equity accounted its investments in associates or joint ventures consistently with those requirements, it shall disclose that fact, and the reasons why; or</w:t>
      </w:r>
    </w:p>
    <w:p w14:paraId="20859C02" w14:textId="77777777" w:rsidR="00157038" w:rsidRPr="00787228" w:rsidRDefault="00157038" w:rsidP="00883247">
      <w:pPr>
        <w:pStyle w:val="NumFPlain1"/>
        <w:numPr>
          <w:ilvl w:val="1"/>
          <w:numId w:val="11"/>
        </w:numPr>
        <w:tabs>
          <w:tab w:val="clear" w:pos="2410"/>
        </w:tabs>
        <w:spacing w:after="0"/>
        <w:ind w:left="2347" w:hanging="782"/>
        <w:rPr>
          <w:szCs w:val="19"/>
        </w:rPr>
      </w:pPr>
      <w:bookmarkStart w:id="14" w:name="_Hlk24624490"/>
      <w:r w:rsidRPr="00787228">
        <w:rPr>
          <w:szCs w:val="19"/>
        </w:rPr>
        <w:t>that the entity has not determined whether its interests in other entities give rise to interests in subsidiaries, associates or joint ventures, provided it is not required by legislation to make such an assessment for the purpose of assessing its financial reporting requirements and has not made such an assessment;</w:t>
      </w:r>
    </w:p>
    <w:bookmarkEnd w:id="14"/>
    <w:p w14:paraId="40BEAA08" w14:textId="76100871" w:rsidR="00157038" w:rsidRPr="00787228" w:rsidRDefault="00157038" w:rsidP="00883247">
      <w:pPr>
        <w:pStyle w:val="IASBNormalnpara"/>
        <w:numPr>
          <w:ilvl w:val="1"/>
          <w:numId w:val="6"/>
        </w:numPr>
        <w:tabs>
          <w:tab w:val="clear" w:pos="1021"/>
        </w:tabs>
        <w:ind w:left="1564" w:hanging="782"/>
        <w:rPr>
          <w:szCs w:val="19"/>
        </w:rPr>
      </w:pPr>
      <w:r w:rsidRPr="00787228">
        <w:rPr>
          <w:szCs w:val="19"/>
        </w:rPr>
        <w:t>for each material accounting policy applied and disclosed in the financial statements that does not comply with all the recognition and measurement requirements in Australian Accounting Standards (except for requirements set out in AASB 10 or AASB 128), disclose an indication of how it does not comply; or if such an assessment has not been made, disclose that fact; and</w:t>
      </w:r>
    </w:p>
    <w:p w14:paraId="6D8DBC4F" w14:textId="2C526A32" w:rsidR="00157038" w:rsidRPr="00787228" w:rsidRDefault="00157038" w:rsidP="00883247">
      <w:pPr>
        <w:pStyle w:val="IASBNormalnpara"/>
        <w:numPr>
          <w:ilvl w:val="1"/>
          <w:numId w:val="6"/>
        </w:numPr>
        <w:tabs>
          <w:tab w:val="clear" w:pos="1021"/>
        </w:tabs>
        <w:ind w:left="1564" w:hanging="782"/>
        <w:rPr>
          <w:szCs w:val="19"/>
        </w:rPr>
      </w:pPr>
      <w:r w:rsidRPr="00787228">
        <w:rPr>
          <w:szCs w:val="19"/>
        </w:rPr>
        <w:t xml:space="preserve">disclose whether or not the financial statements </w:t>
      </w:r>
      <w:r w:rsidRPr="00787228" w:rsidDel="008C0A88">
        <w:rPr>
          <w:szCs w:val="19"/>
        </w:rPr>
        <w:t xml:space="preserve">overall </w:t>
      </w:r>
      <w:r w:rsidRPr="00787228">
        <w:rPr>
          <w:szCs w:val="19"/>
        </w:rPr>
        <w:t>comply with all the recognition and measurement requirements in Australian Accounting Standards (except for requirements set out in AASB</w:t>
      </w:r>
      <w:r w:rsidR="009D3125" w:rsidRPr="00787228">
        <w:rPr>
          <w:szCs w:val="19"/>
        </w:rPr>
        <w:t> </w:t>
      </w:r>
      <w:r w:rsidRPr="00787228">
        <w:rPr>
          <w:szCs w:val="19"/>
        </w:rPr>
        <w:t>10 or AASB 128) or that such an assessment has not been made.</w:t>
      </w:r>
    </w:p>
    <w:p w14:paraId="717E26DF" w14:textId="77777777" w:rsidR="00157038" w:rsidRPr="00787228" w:rsidRDefault="00157038" w:rsidP="00623F9F">
      <w:pPr>
        <w:pStyle w:val="IASBNormalnpara"/>
      </w:pPr>
      <w:r w:rsidRPr="00787228">
        <w:t>9B</w:t>
      </w:r>
      <w:r w:rsidRPr="00787228">
        <w:tab/>
      </w:r>
      <w:r w:rsidRPr="00787228">
        <w:rPr>
          <w:i/>
        </w:rPr>
        <w:t>Implementation guidance and illustrative examples for not-for-profit private sector entities</w:t>
      </w:r>
      <w:r w:rsidRPr="00787228">
        <w:t xml:space="preserve"> accompanies this Standard</w:t>
      </w:r>
      <w:r w:rsidRPr="00787228">
        <w:rPr>
          <w:rStyle w:val="CommentReference"/>
          <w:sz w:val="19"/>
          <w:szCs w:val="19"/>
        </w:rPr>
        <w:t>.</w:t>
      </w:r>
      <w:r w:rsidRPr="00787228">
        <w:t xml:space="preserve"> It illustrates the application of the requirements in paragraph 9A and their relationship to the requirements in AASB 101 </w:t>
      </w:r>
      <w:r w:rsidRPr="00787228">
        <w:rPr>
          <w:i/>
          <w:iCs/>
        </w:rPr>
        <w:t>Presentation of Financial Statements</w:t>
      </w:r>
      <w:r w:rsidRPr="00787228">
        <w:rPr>
          <w:iCs/>
        </w:rPr>
        <w:t xml:space="preserve"> for the disclosure of an entity’s significant accounting policies</w:t>
      </w:r>
      <w:r w:rsidRPr="00787228">
        <w:t>.</w:t>
      </w:r>
    </w:p>
    <w:p w14:paraId="017C98FE" w14:textId="77777777" w:rsidR="00090A6F" w:rsidRPr="00A8015E" w:rsidRDefault="00265217" w:rsidP="0011328A">
      <w:pPr>
        <w:pStyle w:val="IASBSectionTitle1NonInd"/>
      </w:pPr>
      <w:r w:rsidRPr="00A8015E">
        <w:t>Audit F</w:t>
      </w:r>
      <w:r w:rsidR="00EF12AC" w:rsidRPr="00A8015E">
        <w:t>ees</w:t>
      </w:r>
    </w:p>
    <w:p w14:paraId="017C98FF" w14:textId="1EF34D51" w:rsidR="00710C61" w:rsidRPr="00A8015E" w:rsidRDefault="00710C61" w:rsidP="00C624A5">
      <w:pPr>
        <w:pStyle w:val="IASBNormalnpara"/>
        <w:numPr>
          <w:ilvl w:val="0"/>
          <w:numId w:val="6"/>
        </w:numPr>
        <w:tabs>
          <w:tab w:val="clear" w:pos="510"/>
        </w:tabs>
        <w:ind w:left="782" w:hanging="782"/>
      </w:pPr>
      <w:r w:rsidRPr="00A8015E">
        <w:t>An entity shall disclose fees to each auditor or reviewer, including an</w:t>
      </w:r>
      <w:r w:rsidR="00781045">
        <w:t>y network firm, separately for:</w:t>
      </w:r>
    </w:p>
    <w:p w14:paraId="017C9900" w14:textId="059C5D42" w:rsidR="00710C61" w:rsidRPr="00A8015E" w:rsidRDefault="00710C61" w:rsidP="00165B21">
      <w:pPr>
        <w:pStyle w:val="IASBNormalnpara"/>
        <w:numPr>
          <w:ilvl w:val="1"/>
          <w:numId w:val="6"/>
        </w:numPr>
        <w:tabs>
          <w:tab w:val="clear" w:pos="1021"/>
        </w:tabs>
        <w:ind w:left="1564" w:hanging="782"/>
      </w:pPr>
      <w:r w:rsidRPr="00A8015E">
        <w:t>the audit or review of the financial statements; and</w:t>
      </w:r>
    </w:p>
    <w:p w14:paraId="017C9901" w14:textId="5AB251EA" w:rsidR="00710C61" w:rsidRPr="00A8015E" w:rsidRDefault="00710C61" w:rsidP="00165B21">
      <w:pPr>
        <w:pStyle w:val="IASBNormalnpara"/>
        <w:numPr>
          <w:ilvl w:val="1"/>
          <w:numId w:val="6"/>
        </w:numPr>
        <w:tabs>
          <w:tab w:val="clear" w:pos="1021"/>
        </w:tabs>
        <w:ind w:left="1564" w:hanging="782"/>
      </w:pPr>
      <w:r w:rsidRPr="00A8015E">
        <w:t>all other services performed during the reporting period.</w:t>
      </w:r>
    </w:p>
    <w:p w14:paraId="017C9902" w14:textId="77777777" w:rsidR="00710C61" w:rsidRPr="00A8015E" w:rsidRDefault="00710C61" w:rsidP="00C624A5">
      <w:pPr>
        <w:pStyle w:val="IASBNormalnpara"/>
        <w:numPr>
          <w:ilvl w:val="0"/>
          <w:numId w:val="6"/>
        </w:numPr>
        <w:tabs>
          <w:tab w:val="clear" w:pos="510"/>
        </w:tabs>
        <w:ind w:left="782" w:hanging="782"/>
      </w:pPr>
      <w:r w:rsidRPr="00A8015E">
        <w:t xml:space="preserve">For paragraph </w:t>
      </w:r>
      <w:r w:rsidR="007E751B" w:rsidRPr="00A8015E">
        <w:t>10</w:t>
      </w:r>
      <w:r w:rsidRPr="00A8015E">
        <w:t>(b) above, an entity shall describe the nature of other services.</w:t>
      </w:r>
    </w:p>
    <w:p w14:paraId="017C9903" w14:textId="77777777" w:rsidR="00BA3B38" w:rsidRPr="00A8015E" w:rsidRDefault="00BA3B38" w:rsidP="0011328A">
      <w:pPr>
        <w:pStyle w:val="IASBSectionTitle1NonInd"/>
      </w:pPr>
      <w:r w:rsidRPr="00A8015E">
        <w:t>Imputation</w:t>
      </w:r>
      <w:r w:rsidR="00265217" w:rsidRPr="00A8015E">
        <w:t xml:space="preserve"> C</w:t>
      </w:r>
      <w:r w:rsidR="00EF12AC" w:rsidRPr="00A8015E">
        <w:t>redits</w:t>
      </w:r>
    </w:p>
    <w:p w14:paraId="017C9904" w14:textId="77777777" w:rsidR="00BA3B38" w:rsidRPr="00A8015E" w:rsidRDefault="00BA3B38" w:rsidP="00C624A5">
      <w:pPr>
        <w:pStyle w:val="IASBNormalnpara"/>
        <w:numPr>
          <w:ilvl w:val="0"/>
          <w:numId w:val="6"/>
        </w:numPr>
        <w:tabs>
          <w:tab w:val="clear" w:pos="510"/>
        </w:tabs>
        <w:ind w:left="782" w:hanging="782"/>
        <w:rPr>
          <w:lang w:eastAsia="en-NZ"/>
        </w:rPr>
      </w:pPr>
      <w:r w:rsidRPr="00A8015E">
        <w:rPr>
          <w:lang w:eastAsia="en-NZ"/>
        </w:rPr>
        <w:t xml:space="preserve">The term ‘imputation </w:t>
      </w:r>
      <w:r w:rsidR="00104CFC" w:rsidRPr="00A8015E">
        <w:rPr>
          <w:lang w:eastAsia="en-NZ"/>
        </w:rPr>
        <w:t>credits’ is used in paragraphs </w:t>
      </w:r>
      <w:r w:rsidR="006D5327" w:rsidRPr="00A8015E">
        <w:rPr>
          <w:lang w:eastAsia="en-NZ"/>
        </w:rPr>
        <w:t>13</w:t>
      </w:r>
      <w:r w:rsidR="005A7DF3" w:rsidRPr="00A8015E">
        <w:rPr>
          <w:lang w:eastAsia="en-NZ"/>
        </w:rPr>
        <w:t>-</w:t>
      </w:r>
      <w:r w:rsidR="00B5492B" w:rsidRPr="00A8015E">
        <w:rPr>
          <w:lang w:eastAsia="en-NZ"/>
        </w:rPr>
        <w:t>1</w:t>
      </w:r>
      <w:r w:rsidR="006D5327" w:rsidRPr="00A8015E">
        <w:rPr>
          <w:lang w:eastAsia="en-NZ"/>
        </w:rPr>
        <w:t>5</w:t>
      </w:r>
      <w:r w:rsidRPr="00A8015E">
        <w:rPr>
          <w:lang w:eastAsia="en-NZ"/>
        </w:rPr>
        <w:t xml:space="preserve"> to also mean ‘franking credits’.  The disc</w:t>
      </w:r>
      <w:r w:rsidR="00104CFC" w:rsidRPr="00A8015E">
        <w:rPr>
          <w:lang w:eastAsia="en-NZ"/>
        </w:rPr>
        <w:t>losures required by paragraphs </w:t>
      </w:r>
      <w:r w:rsidR="00E507B9" w:rsidRPr="00A8015E">
        <w:rPr>
          <w:lang w:eastAsia="en-NZ"/>
        </w:rPr>
        <w:t>13</w:t>
      </w:r>
      <w:r w:rsidR="004F63EB" w:rsidRPr="00A8015E">
        <w:rPr>
          <w:lang w:eastAsia="en-NZ"/>
        </w:rPr>
        <w:t> </w:t>
      </w:r>
      <w:r w:rsidR="00EA1DBB" w:rsidRPr="00A8015E">
        <w:rPr>
          <w:lang w:eastAsia="en-NZ"/>
        </w:rPr>
        <w:t xml:space="preserve">and </w:t>
      </w:r>
      <w:r w:rsidR="00B5492B" w:rsidRPr="00A8015E">
        <w:rPr>
          <w:lang w:eastAsia="en-NZ"/>
        </w:rPr>
        <w:t>1</w:t>
      </w:r>
      <w:r w:rsidR="00E507B9" w:rsidRPr="00A8015E">
        <w:rPr>
          <w:lang w:eastAsia="en-NZ"/>
        </w:rPr>
        <w:t>5</w:t>
      </w:r>
      <w:r w:rsidRPr="00A8015E">
        <w:rPr>
          <w:lang w:eastAsia="en-NZ"/>
        </w:rPr>
        <w:t xml:space="preserve"> shall be made separately in respect of any New Zealand imputation credits and any Australian imputation credits.</w:t>
      </w:r>
    </w:p>
    <w:p w14:paraId="017C9905" w14:textId="77777777" w:rsidR="00BA3B38" w:rsidRPr="00A8015E" w:rsidRDefault="00BA3B38" w:rsidP="00C624A5">
      <w:pPr>
        <w:pStyle w:val="IASBNormalnpara"/>
        <w:numPr>
          <w:ilvl w:val="0"/>
          <w:numId w:val="6"/>
        </w:numPr>
        <w:tabs>
          <w:tab w:val="clear" w:pos="510"/>
        </w:tabs>
        <w:ind w:left="782" w:hanging="782"/>
        <w:rPr>
          <w:lang w:eastAsia="en-NZ"/>
        </w:rPr>
      </w:pPr>
      <w:r w:rsidRPr="00A8015E">
        <w:rPr>
          <w:lang w:eastAsia="en-NZ"/>
        </w:rPr>
        <w:t xml:space="preserve">An </w:t>
      </w:r>
      <w:r w:rsidRPr="00A8015E">
        <w:t>entity</w:t>
      </w:r>
      <w:r w:rsidRPr="00A8015E">
        <w:rPr>
          <w:lang w:eastAsia="en-NZ"/>
        </w:rPr>
        <w:t xml:space="preserve"> shall disclose the amount of imputation credits available for use in subsequent reporting periods.</w:t>
      </w:r>
    </w:p>
    <w:p w14:paraId="017C9906" w14:textId="77777777" w:rsidR="00BA3B38" w:rsidRPr="00A8015E" w:rsidRDefault="00BA3B38" w:rsidP="00C624A5">
      <w:pPr>
        <w:pStyle w:val="IASBNormalnpara"/>
        <w:numPr>
          <w:ilvl w:val="0"/>
          <w:numId w:val="6"/>
        </w:numPr>
        <w:tabs>
          <w:tab w:val="clear" w:pos="510"/>
        </w:tabs>
        <w:ind w:left="782" w:hanging="782"/>
        <w:rPr>
          <w:lang w:eastAsia="en-NZ"/>
        </w:rPr>
      </w:pPr>
      <w:r w:rsidRPr="00A8015E">
        <w:rPr>
          <w:lang w:eastAsia="en-NZ"/>
        </w:rPr>
        <w:t xml:space="preserve">For </w:t>
      </w:r>
      <w:r w:rsidRPr="00A8015E">
        <w:t>the</w:t>
      </w:r>
      <w:r w:rsidRPr="00A8015E">
        <w:rPr>
          <w:lang w:eastAsia="en-NZ"/>
        </w:rPr>
        <w:t xml:space="preserve"> purposes of determining the amount required to be disclosed in accordance </w:t>
      </w:r>
      <w:r w:rsidR="00EA1DBB" w:rsidRPr="00A8015E">
        <w:rPr>
          <w:lang w:eastAsia="en-NZ"/>
        </w:rPr>
        <w:t>with paragraph </w:t>
      </w:r>
      <w:r w:rsidR="005D54E2" w:rsidRPr="00A8015E">
        <w:rPr>
          <w:lang w:eastAsia="en-NZ"/>
        </w:rPr>
        <w:t>13</w:t>
      </w:r>
      <w:r w:rsidRPr="00A8015E">
        <w:rPr>
          <w:lang w:eastAsia="en-NZ"/>
        </w:rPr>
        <w:t>, entities may have:</w:t>
      </w:r>
    </w:p>
    <w:p w14:paraId="017C9907" w14:textId="6647AD29" w:rsidR="005D3B3F" w:rsidRPr="00A8015E" w:rsidRDefault="005D3B3F" w:rsidP="00165B21">
      <w:pPr>
        <w:pStyle w:val="IASBNormalnpara"/>
        <w:numPr>
          <w:ilvl w:val="1"/>
          <w:numId w:val="6"/>
        </w:numPr>
        <w:tabs>
          <w:tab w:val="clear" w:pos="1021"/>
        </w:tabs>
        <w:ind w:left="1564" w:hanging="782"/>
      </w:pPr>
      <w:r w:rsidRPr="00A8015E">
        <w:t>imputation credits that will arise from the payment of the amount of the provision for income tax;</w:t>
      </w:r>
    </w:p>
    <w:p w14:paraId="017C9908" w14:textId="66CAF687" w:rsidR="00BA3B38" w:rsidRPr="00A8015E" w:rsidRDefault="00BA3B38" w:rsidP="00165B21">
      <w:pPr>
        <w:pStyle w:val="IASBNormalnpara"/>
        <w:numPr>
          <w:ilvl w:val="1"/>
          <w:numId w:val="6"/>
        </w:numPr>
        <w:tabs>
          <w:tab w:val="clear" w:pos="1021"/>
        </w:tabs>
        <w:ind w:left="1564" w:hanging="782"/>
      </w:pPr>
      <w:r w:rsidRPr="00A8015E">
        <w:t>imputation debits that will arise from the payment of dividends recognised as a liability at the reporting date; and</w:t>
      </w:r>
    </w:p>
    <w:p w14:paraId="017C9909" w14:textId="136083D2" w:rsidR="00BA3B38" w:rsidRPr="00A8015E" w:rsidRDefault="00BA3B38" w:rsidP="00165B21">
      <w:pPr>
        <w:pStyle w:val="IASBNormalnpara"/>
        <w:numPr>
          <w:ilvl w:val="1"/>
          <w:numId w:val="6"/>
        </w:numPr>
        <w:tabs>
          <w:tab w:val="clear" w:pos="1021"/>
        </w:tabs>
        <w:ind w:left="1564" w:hanging="782"/>
      </w:pPr>
      <w:r w:rsidRPr="00A8015E">
        <w:lastRenderedPageBreak/>
        <w:t>imputation credits that will arise from the receipt of dividends recognised as rec</w:t>
      </w:r>
      <w:r w:rsidR="00781045">
        <w:t>eivables at the reporting date.</w:t>
      </w:r>
    </w:p>
    <w:p w14:paraId="017C990A" w14:textId="77777777" w:rsidR="00BA3B38" w:rsidRPr="00A8015E" w:rsidRDefault="00BA3B38" w:rsidP="00C624A5">
      <w:pPr>
        <w:pStyle w:val="IASBNormalnpara"/>
        <w:numPr>
          <w:ilvl w:val="0"/>
          <w:numId w:val="6"/>
        </w:numPr>
        <w:tabs>
          <w:tab w:val="clear" w:pos="510"/>
        </w:tabs>
        <w:ind w:left="782" w:hanging="782"/>
      </w:pPr>
      <w:r w:rsidRPr="00A8015E">
        <w:t xml:space="preserve">Where there are different classes of investors with different entitlements to imputation </w:t>
      </w:r>
      <w:r w:rsidRPr="00A8015E">
        <w:rPr>
          <w:lang w:eastAsia="en-NZ"/>
        </w:rPr>
        <w:t>credits</w:t>
      </w:r>
      <w:r w:rsidRPr="00A8015E">
        <w:t>, disclosures shall be made about the nature of those entitlements for each class where this is relevant to an understanding of them.</w:t>
      </w:r>
    </w:p>
    <w:p w14:paraId="017C990B" w14:textId="77777777" w:rsidR="00E72850" w:rsidRPr="00A8015E" w:rsidRDefault="00E72850" w:rsidP="0011328A">
      <w:pPr>
        <w:pStyle w:val="IASBSectionTitle1NonInd"/>
      </w:pPr>
      <w:r w:rsidRPr="00A8015E">
        <w:t>Reconciliation</w:t>
      </w:r>
      <w:r w:rsidRPr="00A8015E">
        <w:rPr>
          <w:lang w:eastAsia="en-NZ"/>
        </w:rPr>
        <w:t xml:space="preserve"> of </w:t>
      </w:r>
      <w:r w:rsidR="006711DC" w:rsidRPr="00A8015E">
        <w:rPr>
          <w:lang w:eastAsia="en-NZ"/>
        </w:rPr>
        <w:t xml:space="preserve">Net </w:t>
      </w:r>
      <w:r w:rsidR="00EF3A6D" w:rsidRPr="00A8015E">
        <w:rPr>
          <w:lang w:eastAsia="en-NZ"/>
        </w:rPr>
        <w:t>Operating Cash Flow to</w:t>
      </w:r>
      <w:r w:rsidRPr="00A8015E">
        <w:rPr>
          <w:lang w:eastAsia="en-NZ"/>
        </w:rPr>
        <w:t xml:space="preserve"> Profit (Loss)</w:t>
      </w:r>
    </w:p>
    <w:p w14:paraId="017C990C" w14:textId="77777777" w:rsidR="00090A6F" w:rsidRPr="00A8015E" w:rsidRDefault="00E72850" w:rsidP="00C624A5">
      <w:pPr>
        <w:pStyle w:val="IASBNormalnpara"/>
        <w:numPr>
          <w:ilvl w:val="0"/>
          <w:numId w:val="6"/>
        </w:numPr>
        <w:tabs>
          <w:tab w:val="clear" w:pos="510"/>
        </w:tabs>
        <w:ind w:left="782" w:hanging="782"/>
      </w:pPr>
      <w:r w:rsidRPr="00165B21">
        <w:t>When an entity uses the direct method</w:t>
      </w:r>
      <w:r w:rsidR="00821914" w:rsidRPr="00165B21">
        <w:t xml:space="preserve"> to present its statement of cash flows</w:t>
      </w:r>
      <w:r w:rsidRPr="00165B21">
        <w:t xml:space="preserve">, the financial statements shall provide a reconciliation of </w:t>
      </w:r>
      <w:r w:rsidR="00D3219B" w:rsidRPr="00165B21">
        <w:t>the net cash flow from operating activities to profit (loss)</w:t>
      </w:r>
      <w:r w:rsidRPr="00165B21">
        <w:t>.</w:t>
      </w:r>
    </w:p>
    <w:p w14:paraId="5158FD94" w14:textId="5ECF58BB" w:rsidR="001E20BB" w:rsidRPr="0045081B" w:rsidRDefault="001E20BB" w:rsidP="0045081B">
      <w:pPr>
        <w:pStyle w:val="IASBSectionTitle1NonInd"/>
      </w:pPr>
      <w:bookmarkStart w:id="15" w:name="_Hlk37160053"/>
      <w:r w:rsidRPr="0045081B">
        <w:t>IFRS Standard Not Yet Issued in Australia</w:t>
      </w:r>
    </w:p>
    <w:bookmarkEnd w:id="15"/>
    <w:p w14:paraId="017C990D" w14:textId="77DB8CE3" w:rsidR="001E20BB" w:rsidRDefault="001E20BB" w:rsidP="00C624A5">
      <w:pPr>
        <w:pStyle w:val="IASBNormalnpara"/>
        <w:numPr>
          <w:ilvl w:val="0"/>
          <w:numId w:val="6"/>
        </w:numPr>
        <w:tabs>
          <w:tab w:val="clear" w:pos="510"/>
        </w:tabs>
        <w:ind w:left="782" w:hanging="782"/>
      </w:pPr>
      <w:r w:rsidRPr="00C624A5">
        <w:t xml:space="preserve">When an IFRS Standard has been issued by the International Accounting Standards Board but the equivalent Australian Accounting Standard has yet to be issued by the AASB, an entity intending to comply with IFRS Standards shall disclose the information specified </w:t>
      </w:r>
      <w:r w:rsidR="00092465" w:rsidRPr="00C624A5">
        <w:t>in paragraphs 30 and 31 of AASB </w:t>
      </w:r>
      <w:r w:rsidRPr="00C624A5">
        <w:t xml:space="preserve">108 </w:t>
      </w:r>
      <w:r w:rsidRPr="00C624A5">
        <w:rPr>
          <w:i/>
          <w:iCs/>
        </w:rPr>
        <w:t xml:space="preserve">Accounting Policies, Changes in Accounting Estimates and Errors </w:t>
      </w:r>
      <w:r w:rsidRPr="00C624A5">
        <w:t>in relation to that IFRS Standard</w:t>
      </w:r>
      <w:r w:rsidRPr="001E20BB">
        <w:t>.</w:t>
      </w:r>
    </w:p>
    <w:p w14:paraId="240D8428" w14:textId="77777777" w:rsidR="00464071" w:rsidRDefault="00464071" w:rsidP="00464071">
      <w:pPr>
        <w:pStyle w:val="NumPlain1"/>
        <w:numPr>
          <w:ilvl w:val="0"/>
          <w:numId w:val="0"/>
        </w:numPr>
        <w:rPr>
          <w:lang w:eastAsia="en-NZ"/>
        </w:rPr>
      </w:pPr>
    </w:p>
    <w:p w14:paraId="66BC0E07" w14:textId="77777777" w:rsidR="00600832" w:rsidRDefault="00600832" w:rsidP="00464071">
      <w:pPr>
        <w:pStyle w:val="NumPlain1"/>
        <w:numPr>
          <w:ilvl w:val="0"/>
          <w:numId w:val="0"/>
        </w:numPr>
        <w:rPr>
          <w:lang w:eastAsia="en-NZ"/>
        </w:rPr>
        <w:sectPr w:rsidR="00600832" w:rsidSect="00A958E3">
          <w:headerReference w:type="even" r:id="rId22"/>
          <w:headerReference w:type="default" r:id="rId23"/>
          <w:footerReference w:type="default" r:id="rId24"/>
          <w:headerReference w:type="first" r:id="rId25"/>
          <w:pgSz w:w="11907" w:h="16840" w:code="9"/>
          <w:pgMar w:top="1440" w:right="1440" w:bottom="1440" w:left="1440" w:header="709" w:footer="709" w:gutter="0"/>
          <w:cols w:space="720"/>
          <w:docGrid w:linePitch="272"/>
        </w:sectPr>
      </w:pPr>
    </w:p>
    <w:p w14:paraId="78DCB2D6" w14:textId="1483F5D6" w:rsidR="00CC5059" w:rsidRPr="00CC5059" w:rsidRDefault="00CC5059" w:rsidP="00FA5419">
      <w:pPr>
        <w:pStyle w:val="ConvSectionTitle"/>
      </w:pPr>
      <w:r w:rsidRPr="00CC5059">
        <w:lastRenderedPageBreak/>
        <w:t>Appendix A</w:t>
      </w:r>
      <w:r w:rsidR="001270E7">
        <w:br/>
      </w:r>
      <w:r w:rsidRPr="00CC5059">
        <w:t>Australian simplified disclosures for Tier 2 entities</w:t>
      </w:r>
    </w:p>
    <w:p w14:paraId="45C5C649" w14:textId="77777777" w:rsidR="00CC5059" w:rsidRPr="00CC5059" w:rsidRDefault="00CC5059" w:rsidP="009F420F">
      <w:pPr>
        <w:spacing w:before="100" w:after="100" w:line="240" w:lineRule="auto"/>
        <w:rPr>
          <w:i/>
          <w:sz w:val="19"/>
          <w:szCs w:val="19"/>
        </w:rPr>
      </w:pPr>
      <w:r w:rsidRPr="00CC5059">
        <w:rPr>
          <w:i/>
          <w:sz w:val="19"/>
          <w:szCs w:val="19"/>
        </w:rPr>
        <w:t>This appendix is an integral part of the Standard.</w:t>
      </w:r>
    </w:p>
    <w:p w14:paraId="4F54B2D0" w14:textId="6F2DBDA1" w:rsidR="00CC5059" w:rsidRDefault="00CC5059" w:rsidP="00513CF9">
      <w:pPr>
        <w:pStyle w:val="AusBold"/>
        <w:rPr>
          <w:i/>
        </w:rPr>
      </w:pPr>
      <w:r w:rsidRPr="00CC5059">
        <w:t>AusA1</w:t>
      </w:r>
      <w:r w:rsidRPr="00CC5059">
        <w:tab/>
        <w:t xml:space="preserve">Paragraphs 7–16 do not apply to entities preparing general purpose financial statements that apply AASB 1060 </w:t>
      </w:r>
      <w:r w:rsidRPr="00CC5059">
        <w:rPr>
          <w:i/>
        </w:rPr>
        <w:t>General Purpose Financial Statements – Simplified Disclosures for For-Profit and Not-for-Profit Tier 2 Entities.</w:t>
      </w:r>
    </w:p>
    <w:p w14:paraId="48D0CE1D" w14:textId="77777777" w:rsidR="00F24739" w:rsidRPr="000267D4" w:rsidRDefault="00F24739" w:rsidP="00F24739">
      <w:pPr>
        <w:pStyle w:val="AusBold"/>
        <w:ind w:left="1570" w:hanging="1570"/>
        <w:rPr>
          <w:b w:val="0"/>
          <w:bCs/>
          <w:iCs/>
        </w:rPr>
      </w:pPr>
    </w:p>
    <w:p w14:paraId="4B3C5C05" w14:textId="4C2FF44D" w:rsidR="0045081B" w:rsidRPr="000267D4" w:rsidRDefault="0045081B" w:rsidP="00464071">
      <w:pPr>
        <w:pStyle w:val="NumPlain1"/>
        <w:numPr>
          <w:ilvl w:val="0"/>
          <w:numId w:val="0"/>
        </w:numPr>
        <w:rPr>
          <w:bCs/>
          <w:iCs/>
          <w:lang w:eastAsia="en-NZ"/>
        </w:rPr>
        <w:sectPr w:rsidR="0045081B" w:rsidRPr="000267D4" w:rsidSect="00A958E3">
          <w:footerReference w:type="default" r:id="rId26"/>
          <w:pgSz w:w="11907" w:h="16840" w:code="9"/>
          <w:pgMar w:top="1440" w:right="1440" w:bottom="1440" w:left="1440" w:header="709" w:footer="709" w:gutter="0"/>
          <w:cols w:space="720"/>
          <w:docGrid w:linePitch="272"/>
        </w:sectPr>
      </w:pPr>
    </w:p>
    <w:p w14:paraId="14500503" w14:textId="4C88EB50" w:rsidR="00157038" w:rsidRPr="00532CD3" w:rsidRDefault="00157038" w:rsidP="00157038">
      <w:pPr>
        <w:pStyle w:val="ConvSectionTitle"/>
        <w:rPr>
          <w:lang w:val="en-US"/>
        </w:rPr>
      </w:pPr>
      <w:r w:rsidRPr="00532CD3">
        <w:rPr>
          <w:lang w:val="en-US"/>
        </w:rPr>
        <w:lastRenderedPageBreak/>
        <w:t>Implementation guidance and illustrative examples for not-for</w:t>
      </w:r>
      <w:r w:rsidR="00AE7922">
        <w:rPr>
          <w:lang w:val="en-US"/>
        </w:rPr>
        <w:t>-profit private sector entities</w:t>
      </w:r>
    </w:p>
    <w:p w14:paraId="5CDCF936" w14:textId="77777777" w:rsidR="00157038" w:rsidRPr="006D5A74" w:rsidRDefault="00157038" w:rsidP="009D3125">
      <w:pPr>
        <w:spacing w:before="100" w:after="100" w:line="240" w:lineRule="auto"/>
        <w:jc w:val="both"/>
        <w:rPr>
          <w:i/>
          <w:sz w:val="19"/>
          <w:szCs w:val="19"/>
        </w:rPr>
      </w:pPr>
      <w:r w:rsidRPr="006D5A74">
        <w:rPr>
          <w:i/>
          <w:iCs/>
          <w:sz w:val="19"/>
          <w:szCs w:val="19"/>
        </w:rPr>
        <w:t xml:space="preserve">The following implementation guidance and illustrative examples accompany, but are not part of, AASB 1054 </w:t>
      </w:r>
      <w:r w:rsidRPr="00E435A2">
        <w:rPr>
          <w:iCs/>
          <w:sz w:val="19"/>
          <w:szCs w:val="19"/>
        </w:rPr>
        <w:t>Australian Additional Disclosures</w:t>
      </w:r>
      <w:r w:rsidRPr="006D5A74">
        <w:rPr>
          <w:iCs/>
          <w:sz w:val="19"/>
          <w:szCs w:val="19"/>
        </w:rPr>
        <w:t>.</w:t>
      </w:r>
      <w:r w:rsidRPr="006D5A74">
        <w:rPr>
          <w:i/>
          <w:sz w:val="19"/>
          <w:szCs w:val="19"/>
        </w:rPr>
        <w:t xml:space="preserve"> They illustrate aspects of AASB 1054 but are not intended to provide interpretative guidance.</w:t>
      </w:r>
    </w:p>
    <w:p w14:paraId="24518481" w14:textId="77777777" w:rsidR="00157038" w:rsidRPr="00152389" w:rsidRDefault="00157038" w:rsidP="00A01CCA">
      <w:pPr>
        <w:pStyle w:val="ListParagraph"/>
        <w:pBdr>
          <w:left w:val="none" w:sz="0" w:space="0" w:color="auto"/>
          <w:right w:val="none" w:sz="0" w:space="0" w:color="auto"/>
        </w:pBdr>
        <w:spacing w:before="100" w:after="0"/>
        <w:ind w:left="782" w:hanging="782"/>
        <w:contextualSpacing w:val="0"/>
        <w:jc w:val="both"/>
      </w:pPr>
      <w:r w:rsidRPr="00152389">
        <w:t>The AASB has prepared this</w:t>
      </w:r>
      <w:r>
        <w:t xml:space="preserve"> guidance and examples</w:t>
      </w:r>
      <w:r w:rsidRPr="00152389">
        <w:t xml:space="preserve"> to explain and illustrate </w:t>
      </w:r>
      <w:r w:rsidRPr="000278AB">
        <w:t xml:space="preserve">the application of the requirements in paragraph 9A </w:t>
      </w:r>
      <w:r>
        <w:t xml:space="preserve">of this Standard </w:t>
      </w:r>
      <w:r w:rsidRPr="000278AB">
        <w:t xml:space="preserve">and their relationship to the requirements in AASB 101 </w:t>
      </w:r>
      <w:r w:rsidRPr="000278AB">
        <w:rPr>
          <w:i/>
          <w:iCs/>
        </w:rPr>
        <w:t>Presentation of Financial Statements</w:t>
      </w:r>
      <w:r w:rsidRPr="000278AB">
        <w:rPr>
          <w:iCs/>
        </w:rPr>
        <w:t xml:space="preserve"> for the disclosure of </w:t>
      </w:r>
      <w:r>
        <w:rPr>
          <w:iCs/>
        </w:rPr>
        <w:t>a not-for-profit</w:t>
      </w:r>
      <w:r w:rsidRPr="000278AB">
        <w:rPr>
          <w:iCs/>
        </w:rPr>
        <w:t xml:space="preserve"> </w:t>
      </w:r>
      <w:r>
        <w:rPr>
          <w:iCs/>
        </w:rPr>
        <w:t xml:space="preserve">private sector </w:t>
      </w:r>
      <w:r w:rsidRPr="000278AB">
        <w:rPr>
          <w:iCs/>
        </w:rPr>
        <w:t>entity’s significant accounting policies</w:t>
      </w:r>
      <w:r w:rsidRPr="000278AB">
        <w:t>.</w:t>
      </w:r>
      <w:r>
        <w:t xml:space="preserve">  These requirements apply to entities applying this Standard, including those required by legislation to comply.  An entity preparing special purpose financial statements that is not specifically required to comply with AASB 1054 may elect not to comply with these requirements, however, is encouraged to do so.</w:t>
      </w:r>
    </w:p>
    <w:p w14:paraId="66551450" w14:textId="77777777" w:rsidR="00157038" w:rsidRPr="000278AB" w:rsidRDefault="00157038" w:rsidP="00A01CCA">
      <w:pPr>
        <w:pStyle w:val="ListParagraph"/>
        <w:pBdr>
          <w:left w:val="none" w:sz="0" w:space="0" w:color="auto"/>
          <w:right w:val="none" w:sz="0" w:space="0" w:color="auto"/>
        </w:pBdr>
        <w:spacing w:before="100"/>
        <w:ind w:left="782" w:hanging="782"/>
        <w:contextualSpacing w:val="0"/>
        <w:jc w:val="both"/>
      </w:pPr>
      <w:r>
        <w:t xml:space="preserve">The table below has been provided for ease of reference to illustrate the types of entities that would be generally within the scope of the requirements in paragraph 9A of this Standard, but some entities may have different specific requirements. </w:t>
      </w:r>
    </w:p>
    <w:tbl>
      <w:tblPr>
        <w:tblStyle w:val="TableGrid"/>
        <w:tblW w:w="0" w:type="auto"/>
        <w:tblLook w:val="04A0" w:firstRow="1" w:lastRow="0" w:firstColumn="1" w:lastColumn="0" w:noHBand="0" w:noVBand="1"/>
        <w:tblCaption w:val="Summary of scope"/>
        <w:tblDescription w:val="Summary of scope"/>
      </w:tblPr>
      <w:tblGrid>
        <w:gridCol w:w="420"/>
        <w:gridCol w:w="6511"/>
        <w:gridCol w:w="2086"/>
      </w:tblGrid>
      <w:tr w:rsidR="00157038" w:rsidRPr="006D5A74" w14:paraId="04AA88CF" w14:textId="77777777" w:rsidTr="00287863">
        <w:tc>
          <w:tcPr>
            <w:tcW w:w="421" w:type="dxa"/>
            <w:shd w:val="clear" w:color="auto" w:fill="D9D9D9" w:themeFill="background1" w:themeFillShade="D9"/>
          </w:tcPr>
          <w:p w14:paraId="68F93DE4" w14:textId="77777777" w:rsidR="00157038" w:rsidRPr="006D5A74" w:rsidRDefault="00157038" w:rsidP="00331C77">
            <w:pPr>
              <w:spacing w:before="60" w:after="60" w:line="240" w:lineRule="auto"/>
              <w:rPr>
                <w:b/>
                <w:bCs/>
                <w:sz w:val="19"/>
                <w:szCs w:val="19"/>
              </w:rPr>
            </w:pPr>
            <w:r w:rsidRPr="006D5A74">
              <w:rPr>
                <w:b/>
                <w:bCs/>
                <w:sz w:val="19"/>
                <w:szCs w:val="19"/>
              </w:rPr>
              <w:t>#</w:t>
            </w:r>
          </w:p>
        </w:tc>
        <w:tc>
          <w:tcPr>
            <w:tcW w:w="6546" w:type="dxa"/>
            <w:shd w:val="clear" w:color="auto" w:fill="D9D9D9" w:themeFill="background1" w:themeFillShade="D9"/>
          </w:tcPr>
          <w:p w14:paraId="3CC84532" w14:textId="53E65B81" w:rsidR="00157038" w:rsidRPr="006D5A74" w:rsidRDefault="00331C77" w:rsidP="00331C77">
            <w:pPr>
              <w:spacing w:before="60" w:after="60" w:line="240" w:lineRule="auto"/>
              <w:rPr>
                <w:b/>
                <w:bCs/>
                <w:sz w:val="19"/>
                <w:szCs w:val="19"/>
              </w:rPr>
            </w:pPr>
            <w:r>
              <w:rPr>
                <w:b/>
                <w:bCs/>
                <w:sz w:val="19"/>
                <w:szCs w:val="19"/>
              </w:rPr>
              <w:t>Entity</w:t>
            </w:r>
          </w:p>
        </w:tc>
        <w:tc>
          <w:tcPr>
            <w:tcW w:w="2094" w:type="dxa"/>
            <w:shd w:val="clear" w:color="auto" w:fill="D9D9D9" w:themeFill="background1" w:themeFillShade="D9"/>
          </w:tcPr>
          <w:p w14:paraId="6A13622F" w14:textId="77777777" w:rsidR="00157038" w:rsidRPr="006D5A74" w:rsidRDefault="00157038" w:rsidP="00331C77">
            <w:pPr>
              <w:spacing w:before="60" w:after="60" w:line="240" w:lineRule="auto"/>
              <w:rPr>
                <w:b/>
                <w:bCs/>
                <w:sz w:val="19"/>
                <w:szCs w:val="19"/>
              </w:rPr>
            </w:pPr>
            <w:r w:rsidRPr="006D5A74">
              <w:rPr>
                <w:b/>
                <w:bCs/>
                <w:sz w:val="19"/>
                <w:szCs w:val="19"/>
              </w:rPr>
              <w:t xml:space="preserve">In scope/out of scope </w:t>
            </w:r>
          </w:p>
        </w:tc>
      </w:tr>
      <w:tr w:rsidR="00157038" w:rsidRPr="006D5A74" w14:paraId="35C51E72" w14:textId="77777777" w:rsidTr="00287863">
        <w:tc>
          <w:tcPr>
            <w:tcW w:w="421" w:type="dxa"/>
          </w:tcPr>
          <w:p w14:paraId="1D4F179C" w14:textId="77777777" w:rsidR="00157038" w:rsidRPr="006D5A74" w:rsidRDefault="00157038" w:rsidP="00331C77">
            <w:pPr>
              <w:spacing w:before="60" w:after="60" w:line="240" w:lineRule="auto"/>
              <w:rPr>
                <w:b/>
                <w:bCs/>
                <w:sz w:val="19"/>
                <w:szCs w:val="19"/>
              </w:rPr>
            </w:pPr>
            <w:r w:rsidRPr="006D5A74">
              <w:rPr>
                <w:b/>
                <w:bCs/>
                <w:sz w:val="19"/>
                <w:szCs w:val="19"/>
              </w:rPr>
              <w:t>1</w:t>
            </w:r>
          </w:p>
        </w:tc>
        <w:tc>
          <w:tcPr>
            <w:tcW w:w="6546" w:type="dxa"/>
          </w:tcPr>
          <w:p w14:paraId="7E498E2A" w14:textId="77777777" w:rsidR="00157038" w:rsidRPr="006D5A74" w:rsidRDefault="00157038" w:rsidP="00331C77">
            <w:pPr>
              <w:spacing w:before="60" w:after="60" w:line="240" w:lineRule="auto"/>
              <w:rPr>
                <w:b/>
                <w:bCs/>
                <w:sz w:val="19"/>
                <w:szCs w:val="19"/>
              </w:rPr>
            </w:pPr>
            <w:r w:rsidRPr="006D5A74">
              <w:rPr>
                <w:b/>
                <w:bCs/>
                <w:sz w:val="19"/>
                <w:szCs w:val="19"/>
              </w:rPr>
              <w:t>For-profit private and for-profit public sector entities preparing special purpose financial statements</w:t>
            </w:r>
          </w:p>
        </w:tc>
        <w:tc>
          <w:tcPr>
            <w:tcW w:w="2094" w:type="dxa"/>
          </w:tcPr>
          <w:p w14:paraId="66DFE0EF" w14:textId="77777777" w:rsidR="00157038" w:rsidRPr="006D5A74" w:rsidRDefault="00157038" w:rsidP="00331C77">
            <w:pPr>
              <w:spacing w:before="60" w:after="60" w:line="240" w:lineRule="auto"/>
              <w:rPr>
                <w:sz w:val="19"/>
                <w:szCs w:val="19"/>
              </w:rPr>
            </w:pPr>
            <w:r w:rsidRPr="006D5A74">
              <w:rPr>
                <w:sz w:val="19"/>
                <w:szCs w:val="19"/>
              </w:rPr>
              <w:t xml:space="preserve">Not in scope </w:t>
            </w:r>
          </w:p>
        </w:tc>
      </w:tr>
      <w:tr w:rsidR="00157038" w:rsidRPr="006D5A74" w14:paraId="3D9A82E7" w14:textId="77777777" w:rsidTr="00287863">
        <w:tc>
          <w:tcPr>
            <w:tcW w:w="421" w:type="dxa"/>
          </w:tcPr>
          <w:p w14:paraId="662DCB49" w14:textId="77777777" w:rsidR="00157038" w:rsidRPr="006D5A74" w:rsidRDefault="00157038" w:rsidP="00331C77">
            <w:pPr>
              <w:spacing w:before="60" w:after="60" w:line="240" w:lineRule="auto"/>
              <w:rPr>
                <w:b/>
                <w:bCs/>
                <w:sz w:val="19"/>
                <w:szCs w:val="19"/>
              </w:rPr>
            </w:pPr>
            <w:r w:rsidRPr="006D5A74">
              <w:rPr>
                <w:b/>
                <w:bCs/>
                <w:sz w:val="19"/>
                <w:szCs w:val="19"/>
              </w:rPr>
              <w:t>2</w:t>
            </w:r>
          </w:p>
        </w:tc>
        <w:tc>
          <w:tcPr>
            <w:tcW w:w="6546" w:type="dxa"/>
          </w:tcPr>
          <w:p w14:paraId="05DCA17D" w14:textId="77777777" w:rsidR="00157038" w:rsidRPr="006D5A74" w:rsidRDefault="00157038" w:rsidP="00331C77">
            <w:pPr>
              <w:spacing w:before="60" w:after="60" w:line="240" w:lineRule="auto"/>
              <w:rPr>
                <w:b/>
                <w:sz w:val="19"/>
                <w:szCs w:val="19"/>
              </w:rPr>
            </w:pPr>
            <w:r w:rsidRPr="006D5A74">
              <w:rPr>
                <w:b/>
                <w:bCs/>
                <w:sz w:val="19"/>
                <w:szCs w:val="19"/>
              </w:rPr>
              <w:t>Not-for-profit private sector entities</w:t>
            </w:r>
          </w:p>
        </w:tc>
        <w:tc>
          <w:tcPr>
            <w:tcW w:w="2094" w:type="dxa"/>
          </w:tcPr>
          <w:p w14:paraId="7C2BF673" w14:textId="77777777" w:rsidR="00157038" w:rsidRPr="006D5A74" w:rsidRDefault="00157038" w:rsidP="00331C77">
            <w:pPr>
              <w:spacing w:before="60" w:after="60" w:line="240" w:lineRule="auto"/>
              <w:rPr>
                <w:sz w:val="19"/>
                <w:szCs w:val="19"/>
              </w:rPr>
            </w:pPr>
          </w:p>
        </w:tc>
      </w:tr>
      <w:tr w:rsidR="00157038" w:rsidRPr="006D5A74" w14:paraId="6E2EF3FB" w14:textId="77777777" w:rsidTr="00287863">
        <w:tc>
          <w:tcPr>
            <w:tcW w:w="421" w:type="dxa"/>
            <w:tcBorders>
              <w:bottom w:val="nil"/>
            </w:tcBorders>
          </w:tcPr>
          <w:p w14:paraId="6B9CABC3" w14:textId="77777777" w:rsidR="00157038" w:rsidRPr="006D5A74" w:rsidRDefault="00157038" w:rsidP="00331C77">
            <w:pPr>
              <w:spacing w:before="60" w:after="60" w:line="240" w:lineRule="auto"/>
              <w:rPr>
                <w:sz w:val="19"/>
                <w:szCs w:val="19"/>
              </w:rPr>
            </w:pPr>
          </w:p>
        </w:tc>
        <w:tc>
          <w:tcPr>
            <w:tcW w:w="6546" w:type="dxa"/>
            <w:tcBorders>
              <w:bottom w:val="nil"/>
            </w:tcBorders>
          </w:tcPr>
          <w:p w14:paraId="74763B7E" w14:textId="77777777" w:rsidR="00157038" w:rsidRPr="006D5A74" w:rsidRDefault="00157038" w:rsidP="00331C77">
            <w:pPr>
              <w:spacing w:before="60" w:after="60" w:line="240" w:lineRule="auto"/>
              <w:rPr>
                <w:i/>
                <w:iCs/>
                <w:sz w:val="19"/>
                <w:szCs w:val="19"/>
              </w:rPr>
            </w:pPr>
            <w:r w:rsidRPr="006D5A74">
              <w:rPr>
                <w:i/>
                <w:iCs/>
                <w:sz w:val="19"/>
                <w:szCs w:val="19"/>
              </w:rPr>
              <w:t>Charities registered with the Australian Charities and Not-for-profits Commission (ACNC)</w:t>
            </w:r>
          </w:p>
        </w:tc>
        <w:tc>
          <w:tcPr>
            <w:tcW w:w="2094" w:type="dxa"/>
            <w:tcBorders>
              <w:bottom w:val="nil"/>
            </w:tcBorders>
          </w:tcPr>
          <w:p w14:paraId="76D54117" w14:textId="77777777" w:rsidR="00157038" w:rsidRPr="006D5A74" w:rsidRDefault="00157038" w:rsidP="00331C77">
            <w:pPr>
              <w:spacing w:before="60" w:after="60" w:line="240" w:lineRule="auto"/>
              <w:rPr>
                <w:sz w:val="19"/>
                <w:szCs w:val="19"/>
              </w:rPr>
            </w:pPr>
          </w:p>
        </w:tc>
      </w:tr>
      <w:tr w:rsidR="00157038" w:rsidRPr="006D5A74" w14:paraId="0FBFADE6" w14:textId="77777777" w:rsidTr="00287863">
        <w:tc>
          <w:tcPr>
            <w:tcW w:w="421" w:type="dxa"/>
            <w:tcBorders>
              <w:top w:val="nil"/>
            </w:tcBorders>
          </w:tcPr>
          <w:p w14:paraId="1A52E24A" w14:textId="77777777" w:rsidR="00157038" w:rsidRPr="006D5A74" w:rsidRDefault="00157038" w:rsidP="00331C77">
            <w:pPr>
              <w:spacing w:before="60" w:after="60" w:line="240" w:lineRule="auto"/>
              <w:rPr>
                <w:sz w:val="19"/>
                <w:szCs w:val="19"/>
              </w:rPr>
            </w:pPr>
          </w:p>
        </w:tc>
        <w:tc>
          <w:tcPr>
            <w:tcW w:w="6546" w:type="dxa"/>
            <w:tcBorders>
              <w:top w:val="nil"/>
            </w:tcBorders>
          </w:tcPr>
          <w:p w14:paraId="78BFFF54" w14:textId="77777777" w:rsidR="00157038" w:rsidRPr="006D5A74" w:rsidRDefault="00157038" w:rsidP="00331C77">
            <w:pPr>
              <w:pStyle w:val="ListParagraph"/>
              <w:numPr>
                <w:ilvl w:val="0"/>
                <w:numId w:val="19"/>
              </w:numPr>
              <w:pBdr>
                <w:left w:val="none" w:sz="0" w:space="0" w:color="auto"/>
                <w:right w:val="none" w:sz="0" w:space="0" w:color="auto"/>
              </w:pBdr>
              <w:spacing w:before="60" w:after="60"/>
              <w:contextualSpacing w:val="0"/>
              <w:rPr>
                <w:szCs w:val="19"/>
              </w:rPr>
            </w:pPr>
            <w:r w:rsidRPr="006D5A74">
              <w:rPr>
                <w:szCs w:val="19"/>
              </w:rPr>
              <w:t>that have annual revenue of $250,000 or more (ie medium and large charities), preparing special purpose financial statements and required to comply with the ACNC reporting requirements for such financial statements</w:t>
            </w:r>
          </w:p>
        </w:tc>
        <w:tc>
          <w:tcPr>
            <w:tcW w:w="2094" w:type="dxa"/>
            <w:tcBorders>
              <w:top w:val="nil"/>
            </w:tcBorders>
          </w:tcPr>
          <w:p w14:paraId="78B34089" w14:textId="77777777" w:rsidR="00157038" w:rsidRPr="006D5A74" w:rsidRDefault="00157038" w:rsidP="00331C77">
            <w:pPr>
              <w:spacing w:before="60" w:after="60" w:line="240" w:lineRule="auto"/>
              <w:rPr>
                <w:sz w:val="19"/>
                <w:szCs w:val="19"/>
              </w:rPr>
            </w:pPr>
            <w:r w:rsidRPr="006D5A74">
              <w:rPr>
                <w:sz w:val="19"/>
                <w:szCs w:val="19"/>
              </w:rPr>
              <w:t>In scope, must comply with AASB 1054</w:t>
            </w:r>
          </w:p>
        </w:tc>
      </w:tr>
      <w:tr w:rsidR="00157038" w:rsidRPr="006D5A74" w14:paraId="79A34BD9" w14:textId="77777777" w:rsidTr="00287863">
        <w:tc>
          <w:tcPr>
            <w:tcW w:w="421" w:type="dxa"/>
            <w:tcBorders>
              <w:top w:val="nil"/>
            </w:tcBorders>
          </w:tcPr>
          <w:p w14:paraId="477F1A36" w14:textId="77777777" w:rsidR="00157038" w:rsidRPr="006D5A74" w:rsidRDefault="00157038" w:rsidP="00331C77">
            <w:pPr>
              <w:spacing w:before="60" w:after="60" w:line="240" w:lineRule="auto"/>
              <w:rPr>
                <w:sz w:val="19"/>
                <w:szCs w:val="19"/>
              </w:rPr>
            </w:pPr>
          </w:p>
        </w:tc>
        <w:tc>
          <w:tcPr>
            <w:tcW w:w="6546" w:type="dxa"/>
            <w:tcBorders>
              <w:top w:val="nil"/>
            </w:tcBorders>
          </w:tcPr>
          <w:p w14:paraId="721D524B" w14:textId="77777777" w:rsidR="00157038" w:rsidRPr="006D5A74" w:rsidRDefault="00157038" w:rsidP="00331C77">
            <w:pPr>
              <w:pStyle w:val="ListParagraph"/>
              <w:numPr>
                <w:ilvl w:val="0"/>
                <w:numId w:val="19"/>
              </w:numPr>
              <w:pBdr>
                <w:left w:val="none" w:sz="0" w:space="0" w:color="auto"/>
                <w:right w:val="none" w:sz="0" w:space="0" w:color="auto"/>
              </w:pBdr>
              <w:spacing w:before="60" w:after="60"/>
              <w:contextualSpacing w:val="0"/>
              <w:rPr>
                <w:szCs w:val="19"/>
              </w:rPr>
            </w:pPr>
            <w:r w:rsidRPr="006D5A74">
              <w:rPr>
                <w:szCs w:val="19"/>
              </w:rPr>
              <w:t>that have annual revenue of less than $250,000 (ie small charities)</w:t>
            </w:r>
          </w:p>
        </w:tc>
        <w:tc>
          <w:tcPr>
            <w:tcW w:w="2094" w:type="dxa"/>
            <w:tcBorders>
              <w:top w:val="nil"/>
            </w:tcBorders>
          </w:tcPr>
          <w:p w14:paraId="69EB0ECA" w14:textId="77777777" w:rsidR="00157038" w:rsidRPr="006D5A74" w:rsidRDefault="00157038" w:rsidP="00331C77">
            <w:pPr>
              <w:spacing w:before="60" w:after="60" w:line="240" w:lineRule="auto"/>
              <w:rPr>
                <w:sz w:val="19"/>
                <w:szCs w:val="19"/>
              </w:rPr>
            </w:pPr>
            <w:r w:rsidRPr="006D5A74">
              <w:rPr>
                <w:sz w:val="19"/>
                <w:szCs w:val="19"/>
              </w:rPr>
              <w:t xml:space="preserve">Not in scope </w:t>
            </w:r>
          </w:p>
        </w:tc>
      </w:tr>
      <w:tr w:rsidR="00157038" w:rsidRPr="006D5A74" w14:paraId="065AC2AC" w14:textId="77777777" w:rsidTr="00287863">
        <w:tc>
          <w:tcPr>
            <w:tcW w:w="421" w:type="dxa"/>
          </w:tcPr>
          <w:p w14:paraId="08A1B653" w14:textId="77777777" w:rsidR="00157038" w:rsidRPr="006D5A74" w:rsidRDefault="00157038" w:rsidP="00331C77">
            <w:pPr>
              <w:spacing w:before="60" w:after="60" w:line="240" w:lineRule="auto"/>
              <w:rPr>
                <w:sz w:val="19"/>
                <w:szCs w:val="19"/>
              </w:rPr>
            </w:pPr>
          </w:p>
        </w:tc>
        <w:tc>
          <w:tcPr>
            <w:tcW w:w="6546" w:type="dxa"/>
          </w:tcPr>
          <w:p w14:paraId="3EDC569C" w14:textId="77777777" w:rsidR="00157038" w:rsidRPr="006D5A74" w:rsidDel="00FF1CB4" w:rsidRDefault="00157038" w:rsidP="00331C77">
            <w:pPr>
              <w:pStyle w:val="ListParagraph"/>
              <w:numPr>
                <w:ilvl w:val="0"/>
                <w:numId w:val="19"/>
              </w:numPr>
              <w:pBdr>
                <w:left w:val="none" w:sz="0" w:space="0" w:color="auto"/>
                <w:right w:val="none" w:sz="0" w:space="0" w:color="auto"/>
              </w:pBdr>
              <w:spacing w:before="60" w:after="60"/>
              <w:contextualSpacing w:val="0"/>
              <w:rPr>
                <w:szCs w:val="19"/>
              </w:rPr>
            </w:pPr>
            <w:r w:rsidRPr="006D5A74">
              <w:rPr>
                <w:szCs w:val="19"/>
              </w:rPr>
              <w:t>that have annual revenue of $250,000 or more, preparing special purpose financial statements and not required to comply with the ACNC reporting requirements for such financial statements</w:t>
            </w:r>
          </w:p>
        </w:tc>
        <w:tc>
          <w:tcPr>
            <w:tcW w:w="2094" w:type="dxa"/>
          </w:tcPr>
          <w:p w14:paraId="25F36AF3" w14:textId="77777777" w:rsidR="00157038" w:rsidRPr="006D5A74" w:rsidRDefault="00157038" w:rsidP="00331C77">
            <w:pPr>
              <w:spacing w:before="60" w:after="60" w:line="240" w:lineRule="auto"/>
              <w:rPr>
                <w:sz w:val="19"/>
                <w:szCs w:val="19"/>
              </w:rPr>
            </w:pPr>
            <w:r w:rsidRPr="006D5A74">
              <w:rPr>
                <w:sz w:val="19"/>
                <w:szCs w:val="19"/>
              </w:rPr>
              <w:t>Not in scope</w:t>
            </w:r>
          </w:p>
        </w:tc>
      </w:tr>
      <w:tr w:rsidR="00157038" w:rsidRPr="006D5A74" w14:paraId="47FF6C5E" w14:textId="77777777" w:rsidTr="00287863">
        <w:tc>
          <w:tcPr>
            <w:tcW w:w="421" w:type="dxa"/>
          </w:tcPr>
          <w:p w14:paraId="62EB0484" w14:textId="77777777" w:rsidR="00157038" w:rsidRPr="006D5A74" w:rsidRDefault="00157038" w:rsidP="00331C77">
            <w:pPr>
              <w:spacing w:before="60" w:after="60" w:line="240" w:lineRule="auto"/>
              <w:rPr>
                <w:sz w:val="19"/>
                <w:szCs w:val="19"/>
              </w:rPr>
            </w:pPr>
          </w:p>
        </w:tc>
        <w:tc>
          <w:tcPr>
            <w:tcW w:w="6546" w:type="dxa"/>
          </w:tcPr>
          <w:p w14:paraId="6D193975" w14:textId="77777777" w:rsidR="00157038" w:rsidRPr="006D5A74" w:rsidRDefault="00157038" w:rsidP="00331C77">
            <w:pPr>
              <w:spacing w:before="60" w:after="60" w:line="240" w:lineRule="auto"/>
              <w:rPr>
                <w:i/>
                <w:iCs/>
                <w:sz w:val="19"/>
                <w:szCs w:val="19"/>
              </w:rPr>
            </w:pPr>
            <w:r w:rsidRPr="006D5A74">
              <w:rPr>
                <w:i/>
                <w:iCs/>
                <w:sz w:val="19"/>
                <w:szCs w:val="19"/>
              </w:rPr>
              <w:t>Not-for-profit entities not registered with ACNC</w:t>
            </w:r>
          </w:p>
        </w:tc>
        <w:tc>
          <w:tcPr>
            <w:tcW w:w="2094" w:type="dxa"/>
          </w:tcPr>
          <w:p w14:paraId="7BBE20DB" w14:textId="77777777" w:rsidR="00157038" w:rsidRPr="006D5A74" w:rsidRDefault="00157038" w:rsidP="00331C77">
            <w:pPr>
              <w:spacing w:before="60" w:after="60" w:line="240" w:lineRule="auto"/>
              <w:rPr>
                <w:sz w:val="19"/>
                <w:szCs w:val="19"/>
              </w:rPr>
            </w:pPr>
          </w:p>
        </w:tc>
      </w:tr>
      <w:tr w:rsidR="00157038" w:rsidRPr="006D5A74" w14:paraId="36956188" w14:textId="77777777" w:rsidTr="00287863">
        <w:tc>
          <w:tcPr>
            <w:tcW w:w="421" w:type="dxa"/>
          </w:tcPr>
          <w:p w14:paraId="2CED20E6" w14:textId="77777777" w:rsidR="00157038" w:rsidRPr="006D5A74" w:rsidRDefault="00157038" w:rsidP="00331C77">
            <w:pPr>
              <w:spacing w:before="60" w:after="60" w:line="240" w:lineRule="auto"/>
              <w:rPr>
                <w:sz w:val="19"/>
                <w:szCs w:val="19"/>
              </w:rPr>
            </w:pPr>
          </w:p>
        </w:tc>
        <w:tc>
          <w:tcPr>
            <w:tcW w:w="6546" w:type="dxa"/>
          </w:tcPr>
          <w:p w14:paraId="2013EDB9" w14:textId="77777777" w:rsidR="00157038" w:rsidRPr="006D5A74" w:rsidRDefault="00157038" w:rsidP="00331C77">
            <w:pPr>
              <w:pStyle w:val="ListParagraph"/>
              <w:numPr>
                <w:ilvl w:val="0"/>
                <w:numId w:val="19"/>
              </w:numPr>
              <w:pBdr>
                <w:left w:val="none" w:sz="0" w:space="0" w:color="auto"/>
                <w:right w:val="none" w:sz="0" w:space="0" w:color="auto"/>
              </w:pBdr>
              <w:spacing w:before="60" w:after="60"/>
              <w:contextualSpacing w:val="0"/>
              <w:rPr>
                <w:szCs w:val="19"/>
              </w:rPr>
            </w:pPr>
            <w:r w:rsidRPr="006D5A74">
              <w:rPr>
                <w:szCs w:val="19"/>
              </w:rPr>
              <w:t xml:space="preserve">lodging special purpose financial statements with the Australian Securities and Investments Commission (ASIC) under the </w:t>
            </w:r>
            <w:r w:rsidRPr="006D5A74">
              <w:rPr>
                <w:i/>
                <w:iCs/>
                <w:szCs w:val="19"/>
              </w:rPr>
              <w:t xml:space="preserve">Corporations Act 2001 </w:t>
            </w:r>
            <w:r w:rsidRPr="006D5A74">
              <w:rPr>
                <w:szCs w:val="19"/>
              </w:rPr>
              <w:t>(eg companies limited by guarantee)</w:t>
            </w:r>
          </w:p>
        </w:tc>
        <w:tc>
          <w:tcPr>
            <w:tcW w:w="2094" w:type="dxa"/>
          </w:tcPr>
          <w:p w14:paraId="3793A7B3" w14:textId="77777777" w:rsidR="00157038" w:rsidRPr="006D5A74" w:rsidRDefault="00157038" w:rsidP="00331C77">
            <w:pPr>
              <w:spacing w:before="60" w:after="60" w:line="240" w:lineRule="auto"/>
              <w:rPr>
                <w:sz w:val="19"/>
                <w:szCs w:val="19"/>
              </w:rPr>
            </w:pPr>
            <w:r w:rsidRPr="006D5A74">
              <w:rPr>
                <w:sz w:val="19"/>
                <w:szCs w:val="19"/>
              </w:rPr>
              <w:t>In scope, must comply with AASB 1054</w:t>
            </w:r>
          </w:p>
        </w:tc>
      </w:tr>
      <w:tr w:rsidR="00157038" w:rsidRPr="006D5A74" w14:paraId="5867E38A" w14:textId="77777777" w:rsidTr="00287863">
        <w:tc>
          <w:tcPr>
            <w:tcW w:w="421" w:type="dxa"/>
          </w:tcPr>
          <w:p w14:paraId="1BCB80A4" w14:textId="77777777" w:rsidR="00157038" w:rsidRPr="006D5A74" w:rsidRDefault="00157038" w:rsidP="00331C77">
            <w:pPr>
              <w:spacing w:before="60" w:after="60" w:line="240" w:lineRule="auto"/>
              <w:rPr>
                <w:sz w:val="19"/>
                <w:szCs w:val="19"/>
              </w:rPr>
            </w:pPr>
          </w:p>
        </w:tc>
        <w:tc>
          <w:tcPr>
            <w:tcW w:w="6546" w:type="dxa"/>
          </w:tcPr>
          <w:p w14:paraId="6912CC12" w14:textId="77777777" w:rsidR="00157038" w:rsidRPr="006D5A74" w:rsidRDefault="00157038" w:rsidP="00331C77">
            <w:pPr>
              <w:pStyle w:val="ListParagraph"/>
              <w:numPr>
                <w:ilvl w:val="0"/>
                <w:numId w:val="19"/>
              </w:numPr>
              <w:pBdr>
                <w:left w:val="none" w:sz="0" w:space="0" w:color="auto"/>
                <w:right w:val="none" w:sz="0" w:space="0" w:color="auto"/>
              </w:pBdr>
              <w:spacing w:before="60" w:after="60"/>
              <w:contextualSpacing w:val="0"/>
              <w:rPr>
                <w:szCs w:val="19"/>
              </w:rPr>
            </w:pPr>
            <w:r w:rsidRPr="006D5A74">
              <w:rPr>
                <w:szCs w:val="19"/>
              </w:rPr>
              <w:t>required by Federal or State/Territory legislation to prepare financial statements in accordance with Australian Accounting Standards or accounting standards (eg incorporated associations, co-operatives and charitable fundraising organisations), that are preparing special purpose financial statements and not specifically required to comply with AASB 1054</w:t>
            </w:r>
          </w:p>
        </w:tc>
        <w:tc>
          <w:tcPr>
            <w:tcW w:w="2094" w:type="dxa"/>
          </w:tcPr>
          <w:p w14:paraId="112BCD19" w14:textId="77777777" w:rsidR="00157038" w:rsidRPr="006D5A74" w:rsidRDefault="00157038" w:rsidP="00331C77">
            <w:pPr>
              <w:spacing w:before="60" w:after="60" w:line="240" w:lineRule="auto"/>
              <w:rPr>
                <w:sz w:val="19"/>
                <w:szCs w:val="19"/>
              </w:rPr>
            </w:pPr>
            <w:r w:rsidRPr="006D5A74">
              <w:rPr>
                <w:sz w:val="19"/>
                <w:szCs w:val="19"/>
              </w:rPr>
              <w:t xml:space="preserve">Not in scope </w:t>
            </w:r>
          </w:p>
        </w:tc>
      </w:tr>
      <w:tr w:rsidR="00157038" w:rsidRPr="006D5A74" w14:paraId="79182308" w14:textId="77777777" w:rsidTr="00287863">
        <w:tc>
          <w:tcPr>
            <w:tcW w:w="421" w:type="dxa"/>
          </w:tcPr>
          <w:p w14:paraId="24910C76" w14:textId="77777777" w:rsidR="00157038" w:rsidRPr="006D5A74" w:rsidRDefault="00157038" w:rsidP="00331C77">
            <w:pPr>
              <w:spacing w:before="60" w:after="60" w:line="240" w:lineRule="auto"/>
              <w:rPr>
                <w:b/>
                <w:bCs/>
                <w:sz w:val="19"/>
                <w:szCs w:val="19"/>
              </w:rPr>
            </w:pPr>
            <w:r w:rsidRPr="006D5A74">
              <w:rPr>
                <w:b/>
                <w:bCs/>
                <w:sz w:val="19"/>
                <w:szCs w:val="19"/>
              </w:rPr>
              <w:t>3</w:t>
            </w:r>
          </w:p>
        </w:tc>
        <w:tc>
          <w:tcPr>
            <w:tcW w:w="6546" w:type="dxa"/>
          </w:tcPr>
          <w:p w14:paraId="6B97D0D9" w14:textId="77777777" w:rsidR="00157038" w:rsidRPr="006D5A74" w:rsidRDefault="00157038" w:rsidP="00331C77">
            <w:pPr>
              <w:spacing w:before="60" w:after="60" w:line="240" w:lineRule="auto"/>
              <w:rPr>
                <w:b/>
                <w:bCs/>
                <w:sz w:val="19"/>
                <w:szCs w:val="19"/>
              </w:rPr>
            </w:pPr>
            <w:r w:rsidRPr="006D5A74">
              <w:rPr>
                <w:b/>
                <w:bCs/>
                <w:sz w:val="19"/>
                <w:szCs w:val="19"/>
              </w:rPr>
              <w:t>Other not-for-profit entities, including not-for-profit public sector entities, entities not specified above and entities not required to comply with AASB 1054 by legislation or otherwise</w:t>
            </w:r>
          </w:p>
        </w:tc>
        <w:tc>
          <w:tcPr>
            <w:tcW w:w="2094" w:type="dxa"/>
          </w:tcPr>
          <w:p w14:paraId="3A3407B3" w14:textId="77777777" w:rsidR="00157038" w:rsidRPr="006D5A74" w:rsidRDefault="00157038" w:rsidP="00331C77">
            <w:pPr>
              <w:spacing w:before="60" w:after="60" w:line="240" w:lineRule="auto"/>
              <w:rPr>
                <w:sz w:val="19"/>
                <w:szCs w:val="19"/>
              </w:rPr>
            </w:pPr>
            <w:r w:rsidRPr="006D5A74">
              <w:rPr>
                <w:sz w:val="19"/>
                <w:szCs w:val="19"/>
              </w:rPr>
              <w:t xml:space="preserve">Not in scope </w:t>
            </w:r>
          </w:p>
        </w:tc>
      </w:tr>
    </w:tbl>
    <w:p w14:paraId="2E04F546" w14:textId="6E031C05" w:rsidR="00157038" w:rsidRPr="003766A0" w:rsidRDefault="00157038" w:rsidP="00AF46EE">
      <w:pPr>
        <w:pStyle w:val="ListParagraph"/>
        <w:pBdr>
          <w:left w:val="none" w:sz="0" w:space="0" w:color="auto"/>
          <w:right w:val="none" w:sz="0" w:space="0" w:color="auto"/>
        </w:pBdr>
        <w:spacing w:before="240" w:after="0"/>
        <w:ind w:left="782" w:hanging="782"/>
        <w:contextualSpacing w:val="0"/>
        <w:jc w:val="both"/>
      </w:pPr>
      <w:r w:rsidRPr="003766A0">
        <w:t>The following flowchart summarise</w:t>
      </w:r>
      <w:r>
        <w:t>s</w:t>
      </w:r>
      <w:r w:rsidRPr="003766A0">
        <w:t xml:space="preserve"> some of the key decisions in determining how to apply the disclosure requirements in paragraph 9A of </w:t>
      </w:r>
      <w:r>
        <w:t>this Standard</w:t>
      </w:r>
      <w:r w:rsidRPr="003766A0">
        <w:t xml:space="preserve"> in relation to special</w:t>
      </w:r>
      <w:r w:rsidR="00A76622">
        <w:t xml:space="preserve"> purpose financial statements.</w:t>
      </w:r>
    </w:p>
    <w:p w14:paraId="0F425294" w14:textId="77777777" w:rsidR="00157038" w:rsidRPr="003766A0" w:rsidRDefault="00157038" w:rsidP="00A01CCA">
      <w:pPr>
        <w:pStyle w:val="ListParagraph"/>
        <w:pBdr>
          <w:left w:val="none" w:sz="0" w:space="0" w:color="auto"/>
          <w:right w:val="none" w:sz="0" w:space="0" w:color="auto"/>
        </w:pBdr>
        <w:spacing w:before="100" w:after="0"/>
        <w:ind w:left="782" w:hanging="782"/>
        <w:contextualSpacing w:val="0"/>
        <w:jc w:val="both"/>
      </w:pPr>
      <w:r w:rsidRPr="003766A0">
        <w:t xml:space="preserve">In disclosing the information required by paragraph 9A of </w:t>
      </w:r>
      <w:r>
        <w:t>this Standard</w:t>
      </w:r>
      <w:r w:rsidRPr="003766A0">
        <w:t>, entities are not expected to provide quantitative information, or reconciliations, where accounting policies do not comply with all the recognition and measurement requirements in Australian Accounting Standards.</w:t>
      </w:r>
    </w:p>
    <w:bookmarkStart w:id="16" w:name="_Ref11661927"/>
    <w:bookmarkStart w:id="17" w:name="_Ref11776835"/>
    <w:p w14:paraId="79A60D9C" w14:textId="1E5F765D" w:rsidR="00157038" w:rsidRPr="00E73C51" w:rsidRDefault="00157038" w:rsidP="00E73C51">
      <w:pPr>
        <w:pStyle w:val="ConvSectionTitle"/>
        <w:spacing w:after="120"/>
        <w:rPr>
          <w:sz w:val="19"/>
          <w:szCs w:val="19"/>
        </w:rPr>
      </w:pPr>
      <w:r w:rsidRPr="00E73C51">
        <w:rPr>
          <w:noProof/>
          <w:sz w:val="19"/>
          <w:szCs w:val="19"/>
          <w:lang w:eastAsia="en-AU"/>
        </w:rPr>
        <w:lastRenderedPageBreak/>
        <mc:AlternateContent>
          <mc:Choice Requires="wpg">
            <w:drawing>
              <wp:anchor distT="0" distB="0" distL="114300" distR="114300" simplePos="0" relativeHeight="251658241" behindDoc="0" locked="0" layoutInCell="1" allowOverlap="1" wp14:anchorId="235EAC84" wp14:editId="07A02E3E">
                <wp:simplePos x="0" y="0"/>
                <wp:positionH relativeFrom="margin">
                  <wp:posOffset>-588645</wp:posOffset>
                </wp:positionH>
                <wp:positionV relativeFrom="margin">
                  <wp:posOffset>397510</wp:posOffset>
                </wp:positionV>
                <wp:extent cx="6774815" cy="8560435"/>
                <wp:effectExtent l="0" t="0" r="26035" b="12065"/>
                <wp:wrapSquare wrapText="bothSides"/>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74815" cy="8560435"/>
                          <a:chOff x="0" y="0"/>
                          <a:chExt cx="6867587" cy="8512085"/>
                        </a:xfrm>
                      </wpg:grpSpPr>
                      <wps:wsp>
                        <wps:cNvPr id="214" name="TextBox 61"/>
                        <wps:cNvSpPr txBox="1"/>
                        <wps:spPr>
                          <a:xfrm>
                            <a:off x="57150" y="1228629"/>
                            <a:ext cx="1098774" cy="279716"/>
                          </a:xfrm>
                          <a:prstGeom prst="rect">
                            <a:avLst/>
                          </a:prstGeom>
                          <a:noFill/>
                          <a:ln>
                            <a:noFill/>
                          </a:ln>
                        </wps:spPr>
                        <wps:txbx>
                          <w:txbxContent>
                            <w:p w14:paraId="6FEAF926" w14:textId="77777777" w:rsidR="00962ABB" w:rsidRPr="00651196" w:rsidRDefault="00962ABB" w:rsidP="00157038">
                              <w:pPr>
                                <w:jc w:val="center"/>
                                <w:rPr>
                                  <w:sz w:val="19"/>
                                  <w:szCs w:val="19"/>
                                </w:rPr>
                              </w:pPr>
                              <w:r w:rsidRPr="00651196">
                                <w:rPr>
                                  <w:rFonts w:cs="Arial"/>
                                  <w:color w:val="000000"/>
                                  <w:kern w:val="24"/>
                                  <w:sz w:val="19"/>
                                  <w:szCs w:val="19"/>
                                </w:rPr>
                                <w:t>No</w:t>
                              </w:r>
                            </w:p>
                          </w:txbxContent>
                        </wps:txbx>
                        <wps:bodyPr wrap="square" rtlCol="0">
                          <a:noAutofit/>
                        </wps:bodyPr>
                      </wps:wsp>
                      <wps:wsp>
                        <wps:cNvPr id="3" name="Connector: Elbow 3" descr="Elbow connector"/>
                        <wps:cNvCnPr>
                          <a:stCxn id="39" idx="3"/>
                        </wps:cNvCnPr>
                        <wps:spPr>
                          <a:xfrm>
                            <a:off x="2776203" y="3682273"/>
                            <a:ext cx="720292" cy="433822"/>
                          </a:xfrm>
                          <a:prstGeom prst="bentConnector3">
                            <a:avLst>
                              <a:gd name="adj1" fmla="val 100408"/>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 name="Group 4"/>
                        <wpg:cNvGrpSpPr/>
                        <wpg:grpSpPr>
                          <a:xfrm>
                            <a:off x="0" y="0"/>
                            <a:ext cx="6867587" cy="8512085"/>
                            <a:chOff x="0" y="0"/>
                            <a:chExt cx="6867587" cy="8512085"/>
                          </a:xfrm>
                        </wpg:grpSpPr>
                        <wpg:grpSp>
                          <wpg:cNvPr id="26" name="Group 4" descr="Chart part 1"/>
                          <wpg:cNvGrpSpPr/>
                          <wpg:grpSpPr>
                            <a:xfrm>
                              <a:off x="771524" y="0"/>
                              <a:ext cx="5992496" cy="5051847"/>
                              <a:chOff x="-1" y="0"/>
                              <a:chExt cx="5996941" cy="5056561"/>
                            </a:xfrm>
                          </wpg:grpSpPr>
                          <wps:wsp>
                            <wps:cNvPr id="58" name="Straight Arrow Connector 58"/>
                            <wps:cNvCnPr>
                              <a:stCxn id="32" idx="2"/>
                              <a:endCxn id="57" idx="0"/>
                            </wps:cNvCnPr>
                            <wps:spPr>
                              <a:xfrm flipH="1">
                                <a:off x="5013007" y="1803313"/>
                                <a:ext cx="1" cy="3056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TextBox 36">
                              <a:extLst>
                                <a:ext uri="{C183D7F6-B498-43B3-948B-1728B52AA6E4}">
                                  <adec:decorative xmlns:adec="http://schemas.microsoft.com/office/drawing/2017/decorative" val="1"/>
                                </a:ext>
                              </a:extLst>
                            </wps:cNvPr>
                            <wps:cNvSpPr txBox="1"/>
                            <wps:spPr>
                              <a:xfrm>
                                <a:off x="1532753" y="0"/>
                                <a:ext cx="2719414" cy="916143"/>
                              </a:xfrm>
                              <a:prstGeom prst="rect">
                                <a:avLst/>
                              </a:prstGeom>
                              <a:noFill/>
                              <a:ln>
                                <a:solidFill>
                                  <a:schemeClr val="tx1"/>
                                </a:solidFill>
                              </a:ln>
                            </wps:spPr>
                            <wps:txbx>
                              <w:txbxContent>
                                <w:p w14:paraId="24650750" w14:textId="77777777" w:rsidR="00962ABB" w:rsidRPr="00651196" w:rsidRDefault="00962ABB" w:rsidP="006A3B30">
                                  <w:pPr>
                                    <w:spacing w:before="60"/>
                                    <w:jc w:val="center"/>
                                    <w:rPr>
                                      <w:sz w:val="19"/>
                                      <w:szCs w:val="19"/>
                                    </w:rPr>
                                  </w:pPr>
                                  <w:r w:rsidRPr="00651196">
                                    <w:rPr>
                                      <w:rFonts w:cs="Arial"/>
                                      <w:color w:val="000000"/>
                                      <w:kern w:val="24"/>
                                      <w:sz w:val="19"/>
                                      <w:szCs w:val="19"/>
                                    </w:rPr>
                                    <w:t xml:space="preserve">Is the entity required by legislation </w:t>
                                  </w:r>
                                  <w:r w:rsidRPr="00651196">
                                    <w:rPr>
                                      <w:sz w:val="19"/>
                                      <w:szCs w:val="19"/>
                                    </w:rPr>
                                    <w:t>for the purposes of assessing its financial reporting requirements</w:t>
                                  </w:r>
                                  <w:r w:rsidRPr="00651196">
                                    <w:rPr>
                                      <w:rFonts w:cs="Arial"/>
                                      <w:color w:val="000000"/>
                                      <w:kern w:val="24"/>
                                      <w:sz w:val="19"/>
                                      <w:szCs w:val="19"/>
                                    </w:rPr>
                                    <w:t xml:space="preserve"> to determine whether or not its interests in other entities give rise to interests in subsidiaries, associates or joint ventures as defined in </w:t>
                                  </w:r>
                                  <w:r w:rsidRPr="00651196">
                                    <w:rPr>
                                      <w:rFonts w:cstheme="minorBidi"/>
                                      <w:color w:val="000000"/>
                                      <w:kern w:val="24"/>
                                      <w:sz w:val="19"/>
                                      <w:szCs w:val="19"/>
                                    </w:rPr>
                                    <w:t>AASB 10 or AASB 128</w:t>
                                  </w:r>
                                  <w:r w:rsidRPr="00651196">
                                    <w:rPr>
                                      <w:rFonts w:cs="Arial"/>
                                      <w:color w:val="000000"/>
                                      <w:kern w:val="24"/>
                                      <w:sz w:val="19"/>
                                      <w:szCs w:val="19"/>
                                    </w:rPr>
                                    <w:t>?</w:t>
                                  </w:r>
                                </w:p>
                              </w:txbxContent>
                            </wps:txbx>
                            <wps:bodyPr wrap="square" rtlCol="0">
                              <a:noAutofit/>
                            </wps:bodyPr>
                          </wps:wsp>
                          <wps:wsp>
                            <wps:cNvPr id="34" name="TextBox 36">
                              <a:extLst>
                                <a:ext uri="{C183D7F6-B498-43B3-948B-1728B52AA6E4}">
                                  <adec:decorative xmlns:adec="http://schemas.microsoft.com/office/drawing/2017/decorative" val="1"/>
                                </a:ext>
                              </a:extLst>
                            </wps:cNvPr>
                            <wps:cNvSpPr txBox="1"/>
                            <wps:spPr>
                              <a:xfrm>
                                <a:off x="0" y="1142189"/>
                                <a:ext cx="2339914" cy="636113"/>
                              </a:xfrm>
                              <a:prstGeom prst="rect">
                                <a:avLst/>
                              </a:prstGeom>
                              <a:noFill/>
                              <a:ln>
                                <a:solidFill>
                                  <a:schemeClr val="tx1"/>
                                </a:solidFill>
                              </a:ln>
                            </wps:spPr>
                            <wps:txbx>
                              <w:txbxContent>
                                <w:p w14:paraId="52D6601A" w14:textId="77777777" w:rsidR="00962ABB" w:rsidRPr="00651196" w:rsidRDefault="00962ABB" w:rsidP="00DE09F6">
                                  <w:pPr>
                                    <w:spacing w:before="60"/>
                                    <w:jc w:val="center"/>
                                    <w:rPr>
                                      <w:sz w:val="19"/>
                                      <w:szCs w:val="19"/>
                                    </w:rPr>
                                  </w:pPr>
                                  <w:r w:rsidRPr="00651196">
                                    <w:rPr>
                                      <w:rFonts w:cstheme="minorBidi"/>
                                      <w:color w:val="000000"/>
                                      <w:kern w:val="24"/>
                                      <w:sz w:val="19"/>
                                      <w:szCs w:val="19"/>
                                    </w:rPr>
                                    <w:t>Does the entity have any subsidiaries as defined in AASB 10 or investments in associates or joint ventures as defined in AASB 128?</w:t>
                                  </w:r>
                                </w:p>
                              </w:txbxContent>
                            </wps:txbx>
                            <wps:bodyPr wrap="square" rtlCol="0">
                              <a:noAutofit/>
                            </wps:bodyPr>
                          </wps:wsp>
                          <wps:wsp>
                            <wps:cNvPr id="37" name="TextBox 19">
                              <a:extLst>
                                <a:ext uri="{C183D7F6-B498-43B3-948B-1728B52AA6E4}">
                                  <adec:decorative xmlns:adec="http://schemas.microsoft.com/office/drawing/2017/decorative" val="1"/>
                                </a:ext>
                              </a:extLst>
                            </wps:cNvPr>
                            <wps:cNvSpPr txBox="1"/>
                            <wps:spPr>
                              <a:xfrm>
                                <a:off x="5081" y="2207962"/>
                                <a:ext cx="2334260" cy="831850"/>
                              </a:xfrm>
                              <a:prstGeom prst="rect">
                                <a:avLst/>
                              </a:prstGeom>
                              <a:noFill/>
                              <a:ln>
                                <a:solidFill>
                                  <a:schemeClr val="tx1"/>
                                </a:solidFill>
                              </a:ln>
                            </wps:spPr>
                            <wps:txbx>
                              <w:txbxContent>
                                <w:p w14:paraId="0531AFB3" w14:textId="680A0B65" w:rsidR="00962ABB" w:rsidRPr="00651196" w:rsidRDefault="00962ABB" w:rsidP="00157038">
                                  <w:pPr>
                                    <w:jc w:val="center"/>
                                    <w:rPr>
                                      <w:sz w:val="19"/>
                                      <w:szCs w:val="19"/>
                                    </w:rPr>
                                  </w:pPr>
                                  <w:r w:rsidRPr="00651196">
                                    <w:rPr>
                                      <w:rFonts w:cs="Arial"/>
                                      <w:color w:val="000000"/>
                                      <w:kern w:val="24"/>
                                      <w:sz w:val="19"/>
                                      <w:szCs w:val="19"/>
                                    </w:rPr>
                                    <w:t>Has the entity consolidated its subsidiaries or equity accounted its investments in associates or joint ventures in a manner consistent with the requirements set out in AASB 10 or AASB</w:t>
                                  </w:r>
                                  <w:r w:rsidR="00D6444B">
                                    <w:rPr>
                                      <w:rFonts w:cs="Arial"/>
                                      <w:color w:val="000000"/>
                                      <w:kern w:val="24"/>
                                      <w:sz w:val="19"/>
                                      <w:szCs w:val="19"/>
                                    </w:rPr>
                                    <w:t> </w:t>
                                  </w:r>
                                  <w:r w:rsidRPr="00651196">
                                    <w:rPr>
                                      <w:rFonts w:cs="Arial"/>
                                      <w:color w:val="000000"/>
                                      <w:kern w:val="24"/>
                                      <w:sz w:val="19"/>
                                      <w:szCs w:val="19"/>
                                    </w:rPr>
                                    <w:t>128 as appropriate?</w:t>
                                  </w:r>
                                </w:p>
                              </w:txbxContent>
                            </wps:txbx>
                            <wps:bodyPr wrap="square" lIns="0" tIns="0" rIns="0" bIns="0" rtlCol="0" anchor="ctr" anchorCtr="0">
                              <a:noAutofit/>
                            </wps:bodyPr>
                          </wps:wsp>
                          <wps:wsp>
                            <wps:cNvPr id="39" name="TextBox 77">
                              <a:extLst>
                                <a:ext uri="{C183D7F6-B498-43B3-948B-1728B52AA6E4}">
                                  <adec:decorative xmlns:adec="http://schemas.microsoft.com/office/drawing/2017/decorative" val="1"/>
                                </a:ext>
                              </a:extLst>
                            </wps:cNvPr>
                            <wps:cNvSpPr txBox="1"/>
                            <wps:spPr>
                              <a:xfrm>
                                <a:off x="347343" y="3327508"/>
                                <a:ext cx="1658822" cy="716400"/>
                              </a:xfrm>
                              <a:prstGeom prst="flowChartTerminator">
                                <a:avLst/>
                              </a:prstGeom>
                              <a:noFill/>
                              <a:ln>
                                <a:solidFill>
                                  <a:schemeClr val="tx1"/>
                                </a:solidFill>
                              </a:ln>
                            </wps:spPr>
                            <wps:txbx>
                              <w:txbxContent>
                                <w:p w14:paraId="5E2E08DE" w14:textId="77777777" w:rsidR="00962ABB" w:rsidRPr="00651196" w:rsidRDefault="00962ABB" w:rsidP="00157038">
                                  <w:pPr>
                                    <w:jc w:val="center"/>
                                    <w:rPr>
                                      <w:sz w:val="19"/>
                                      <w:szCs w:val="19"/>
                                    </w:rPr>
                                  </w:pPr>
                                  <w:r w:rsidRPr="00651196">
                                    <w:rPr>
                                      <w:rFonts w:cs="Arial"/>
                                      <w:color w:val="000000"/>
                                      <w:kern w:val="24"/>
                                      <w:sz w:val="19"/>
                                      <w:szCs w:val="19"/>
                                    </w:rPr>
                                    <w:t>Disclose that fact and the reasons why (paragraph 9A(b) – see example 3)</w:t>
                                  </w:r>
                                </w:p>
                              </w:txbxContent>
                            </wps:txbx>
                            <wps:bodyPr wrap="square" lIns="0" tIns="0" rIns="0" bIns="0" rtlCol="0" anchor="ctr">
                              <a:noAutofit/>
                            </wps:bodyPr>
                          </wps:wsp>
                          <wps:wsp>
                            <wps:cNvPr id="40" name="TextBox 78">
                              <a:extLst>
                                <a:ext uri="{C183D7F6-B498-43B3-948B-1728B52AA6E4}">
                                  <adec:decorative xmlns:adec="http://schemas.microsoft.com/office/drawing/2017/decorative" val="1"/>
                                </a:ext>
                              </a:extLst>
                            </wps:cNvPr>
                            <wps:cNvSpPr txBox="1"/>
                            <wps:spPr>
                              <a:xfrm>
                                <a:off x="2702278" y="2899890"/>
                                <a:ext cx="1671320" cy="627380"/>
                              </a:xfrm>
                              <a:prstGeom prst="flowChartTerminator">
                                <a:avLst/>
                              </a:prstGeom>
                              <a:noFill/>
                              <a:ln>
                                <a:solidFill>
                                  <a:schemeClr val="tx1"/>
                                </a:solidFill>
                              </a:ln>
                            </wps:spPr>
                            <wps:txbx>
                              <w:txbxContent>
                                <w:p w14:paraId="2717183F" w14:textId="77777777" w:rsidR="00962ABB" w:rsidRPr="00651196" w:rsidRDefault="00962ABB" w:rsidP="00157038">
                                  <w:pPr>
                                    <w:jc w:val="center"/>
                                    <w:rPr>
                                      <w:sz w:val="19"/>
                                      <w:szCs w:val="19"/>
                                    </w:rPr>
                                  </w:pPr>
                                  <w:r w:rsidRPr="00651196">
                                    <w:rPr>
                                      <w:rFonts w:cs="Arial"/>
                                      <w:color w:val="000000"/>
                                      <w:kern w:val="24"/>
                                      <w:sz w:val="19"/>
                                      <w:szCs w:val="19"/>
                                    </w:rPr>
                                    <w:t>Disclose that fact (paragraph 9A(b) – see example 1)</w:t>
                                  </w:r>
                                </w:p>
                              </w:txbxContent>
                            </wps:txbx>
                            <wps:bodyPr wrap="square" lIns="0" tIns="0" rIns="0" bIns="0" rtlCol="0" anchor="ctr" anchorCtr="0">
                              <a:noAutofit/>
                            </wps:bodyPr>
                          </wps:wsp>
                          <wps:wsp>
                            <wps:cNvPr id="41" name="TextBox 122">
                              <a:extLst>
                                <a:ext uri="{C183D7F6-B498-43B3-948B-1728B52AA6E4}">
                                  <adec:decorative xmlns:adec="http://schemas.microsoft.com/office/drawing/2017/decorative" val="1"/>
                                </a:ext>
                              </a:extLst>
                            </wps:cNvPr>
                            <wps:cNvSpPr txBox="1"/>
                            <wps:spPr>
                              <a:xfrm>
                                <a:off x="1334888" y="4119936"/>
                                <a:ext cx="3152633" cy="936625"/>
                              </a:xfrm>
                              <a:prstGeom prst="rect">
                                <a:avLst/>
                              </a:prstGeom>
                              <a:solidFill>
                                <a:schemeClr val="bg1"/>
                              </a:solidFill>
                              <a:ln>
                                <a:solidFill>
                                  <a:schemeClr val="tx1"/>
                                </a:solidFill>
                              </a:ln>
                            </wps:spPr>
                            <wps:txbx>
                              <w:txbxContent>
                                <w:p w14:paraId="3C09FC6F" w14:textId="2EC82123" w:rsidR="00962ABB" w:rsidRPr="00651196" w:rsidRDefault="00962ABB" w:rsidP="006A3B30">
                                  <w:pPr>
                                    <w:spacing w:after="100"/>
                                    <w:jc w:val="center"/>
                                    <w:rPr>
                                      <w:rFonts w:cs="Arial"/>
                                      <w:b/>
                                      <w:bCs/>
                                      <w:color w:val="000000"/>
                                      <w:kern w:val="24"/>
                                      <w:sz w:val="19"/>
                                      <w:szCs w:val="19"/>
                                      <w:u w:val="single"/>
                                    </w:rPr>
                                  </w:pPr>
                                  <w:r w:rsidRPr="00651196">
                                    <w:rPr>
                                      <w:rFonts w:cs="Arial"/>
                                      <w:b/>
                                      <w:bCs/>
                                      <w:color w:val="000000"/>
                                      <w:kern w:val="24"/>
                                      <w:sz w:val="19"/>
                                      <w:szCs w:val="19"/>
                                      <w:u w:val="single"/>
                                    </w:rPr>
                                    <w:t>Acco</w:t>
                                  </w:r>
                                  <w:r>
                                    <w:rPr>
                                      <w:rFonts w:cs="Arial"/>
                                      <w:b/>
                                      <w:bCs/>
                                      <w:color w:val="000000"/>
                                      <w:kern w:val="24"/>
                                      <w:sz w:val="19"/>
                                      <w:szCs w:val="19"/>
                                      <w:u w:val="single"/>
                                    </w:rPr>
                                    <w:t>unting policy assessment step 1</w:t>
                                  </w:r>
                                </w:p>
                                <w:p w14:paraId="6625F61B" w14:textId="77777777" w:rsidR="00962ABB" w:rsidRPr="00651196" w:rsidRDefault="00962ABB" w:rsidP="00157038">
                                  <w:pPr>
                                    <w:jc w:val="center"/>
                                    <w:rPr>
                                      <w:sz w:val="19"/>
                                      <w:szCs w:val="19"/>
                                    </w:rPr>
                                  </w:pPr>
                                  <w:r w:rsidRPr="00651196">
                                    <w:rPr>
                                      <w:rFonts w:cs="Arial"/>
                                      <w:color w:val="000000"/>
                                      <w:kern w:val="24"/>
                                      <w:sz w:val="19"/>
                                      <w:szCs w:val="19"/>
                                    </w:rPr>
                                    <w:t xml:space="preserve">Assess whether each material accounting policy applied and disclosed in the financial statements complies with </w:t>
                                  </w:r>
                                  <w:r w:rsidRPr="00651196">
                                    <w:rPr>
                                      <w:sz w:val="19"/>
                                      <w:szCs w:val="19"/>
                                    </w:rPr>
                                    <w:t xml:space="preserve">all the recognition and measurement requirements in </w:t>
                                  </w:r>
                                  <w:r w:rsidRPr="00651196">
                                    <w:rPr>
                                      <w:rFonts w:cs="Arial"/>
                                      <w:color w:val="000000"/>
                                      <w:kern w:val="24"/>
                                      <w:sz w:val="19"/>
                                      <w:szCs w:val="19"/>
                                    </w:rPr>
                                    <w:t xml:space="preserve">Australian Accounting Standards </w:t>
                                  </w:r>
                                  <w:r w:rsidRPr="00651196">
                                    <w:rPr>
                                      <w:sz w:val="19"/>
                                      <w:szCs w:val="19"/>
                                    </w:rPr>
                                    <w:t>(except for requirements set out in AASB 10 or AASB 128)</w:t>
                                  </w:r>
                                  <w:r w:rsidRPr="00651196">
                                    <w:rPr>
                                      <w:rFonts w:cs="Arial"/>
                                      <w:color w:val="000000"/>
                                      <w:kern w:val="24"/>
                                      <w:sz w:val="19"/>
                                      <w:szCs w:val="19"/>
                                    </w:rPr>
                                    <w:t>.</w:t>
                                  </w:r>
                                </w:p>
                              </w:txbxContent>
                            </wps:txbx>
                            <wps:bodyPr wrap="square" rtlCol="0" anchor="ctr">
                              <a:noAutofit/>
                            </wps:bodyPr>
                          </wps:wsp>
                          <wps:wsp>
                            <wps:cNvPr id="42" name="Connector: Elbow 42"/>
                            <wps:cNvCnPr>
                              <a:stCxn id="30" idx="1"/>
                            </wps:cNvCnPr>
                            <wps:spPr>
                              <a:xfrm rot="10800000" flipV="1">
                                <a:off x="1169678" y="458072"/>
                                <a:ext cx="363076" cy="684200"/>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Connector: Elbow 45"/>
                            <wps:cNvCnPr>
                              <a:stCxn id="30" idx="3"/>
                            </wps:cNvCnPr>
                            <wps:spPr>
                              <a:xfrm>
                                <a:off x="4252167" y="458072"/>
                                <a:ext cx="760840" cy="668966"/>
                              </a:xfrm>
                              <a:prstGeom prst="bentConnector3">
                                <a:avLst>
                                  <a:gd name="adj1" fmla="val 9971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flipH="1">
                                <a:off x="2339340" y="1465176"/>
                                <a:ext cx="16897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a:stCxn id="34" idx="2"/>
                              <a:endCxn id="37" idx="0"/>
                            </wps:cNvCnPr>
                            <wps:spPr>
                              <a:xfrm>
                                <a:off x="1169958" y="1778302"/>
                                <a:ext cx="2254" cy="429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a:stCxn id="37" idx="2"/>
                              <a:endCxn id="39" idx="0"/>
                            </wps:cNvCnPr>
                            <wps:spPr>
                              <a:xfrm>
                                <a:off x="1172210" y="3039812"/>
                                <a:ext cx="4514" cy="2879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Connector: Elbow 55"/>
                            <wps:cNvCnPr>
                              <a:stCxn id="37" idx="3"/>
                              <a:endCxn id="40" idx="0"/>
                            </wps:cNvCnPr>
                            <wps:spPr>
                              <a:xfrm>
                                <a:off x="2339341" y="2623888"/>
                                <a:ext cx="1198597" cy="276002"/>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56"/>
                            <wps:cNvCnPr>
                              <a:cxnSpLocks/>
                              <a:stCxn id="40" idx="2"/>
                            </wps:cNvCnPr>
                            <wps:spPr>
                              <a:xfrm>
                                <a:off x="3537938" y="3527270"/>
                                <a:ext cx="1925" cy="5926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extBox 78">
                              <a:extLst>
                                <a:ext uri="{C183D7F6-B498-43B3-948B-1728B52AA6E4}">
                                  <adec:decorative xmlns:adec="http://schemas.microsoft.com/office/drawing/2017/decorative" val="1"/>
                                </a:ext>
                              </a:extLst>
                            </wps:cNvPr>
                            <wps:cNvSpPr txBox="1"/>
                            <wps:spPr>
                              <a:xfrm>
                                <a:off x="4177347" y="2108960"/>
                                <a:ext cx="1671320" cy="627380"/>
                              </a:xfrm>
                              <a:prstGeom prst="flowChartTerminator">
                                <a:avLst/>
                              </a:prstGeom>
                              <a:noFill/>
                              <a:ln>
                                <a:solidFill>
                                  <a:schemeClr val="tx1"/>
                                </a:solidFill>
                              </a:ln>
                            </wps:spPr>
                            <wps:txbx>
                              <w:txbxContent>
                                <w:p w14:paraId="595F4419" w14:textId="77777777" w:rsidR="00962ABB" w:rsidRPr="00651196" w:rsidRDefault="00962ABB" w:rsidP="00157038">
                                  <w:pPr>
                                    <w:jc w:val="center"/>
                                    <w:rPr>
                                      <w:sz w:val="19"/>
                                      <w:szCs w:val="19"/>
                                    </w:rPr>
                                  </w:pPr>
                                  <w:r w:rsidRPr="00651196">
                                    <w:rPr>
                                      <w:rFonts w:cs="Arial"/>
                                      <w:color w:val="000000"/>
                                      <w:kern w:val="24"/>
                                      <w:sz w:val="19"/>
                                      <w:szCs w:val="19"/>
                                    </w:rPr>
                                    <w:t>Disclose that fact (paragraph 9A(b) – see example 2)</w:t>
                                  </w:r>
                                </w:p>
                              </w:txbxContent>
                            </wps:txbx>
                            <wps:bodyPr wrap="square" lIns="0" tIns="0" rIns="0" bIns="0" rtlCol="0" anchor="ctr" anchorCtr="0">
                              <a:noAutofit/>
                            </wps:bodyPr>
                          </wps:wsp>
                          <wps:wsp>
                            <wps:cNvPr id="59" name="Connector: Elbow 59"/>
                            <wps:cNvCnPr>
                              <a:stCxn id="57" idx="2"/>
                              <a:endCxn id="41" idx="3"/>
                            </wps:cNvCnPr>
                            <wps:spPr>
                              <a:xfrm rot="5400000">
                                <a:off x="3824309" y="3399552"/>
                                <a:ext cx="1851909" cy="52548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TextBox 35"/>
                            <wps:cNvSpPr txBox="1"/>
                            <wps:spPr>
                              <a:xfrm>
                                <a:off x="560947" y="198108"/>
                                <a:ext cx="1574800" cy="254635"/>
                              </a:xfrm>
                              <a:prstGeom prst="rect">
                                <a:avLst/>
                              </a:prstGeom>
                              <a:noFill/>
                              <a:ln>
                                <a:noFill/>
                              </a:ln>
                            </wps:spPr>
                            <wps:txbx>
                              <w:txbxContent>
                                <w:p w14:paraId="36C44834" w14:textId="77777777" w:rsidR="00962ABB" w:rsidRPr="00651196" w:rsidRDefault="00962ABB" w:rsidP="00157038">
                                  <w:pPr>
                                    <w:jc w:val="center"/>
                                    <w:rPr>
                                      <w:sz w:val="19"/>
                                      <w:szCs w:val="19"/>
                                    </w:rPr>
                                  </w:pPr>
                                  <w:r w:rsidRPr="00651196">
                                    <w:rPr>
                                      <w:rFonts w:cs="Arial"/>
                                      <w:color w:val="000000"/>
                                      <w:kern w:val="24"/>
                                      <w:sz w:val="19"/>
                                      <w:szCs w:val="19"/>
                                    </w:rPr>
                                    <w:t>Yes</w:t>
                                  </w:r>
                                </w:p>
                              </w:txbxContent>
                            </wps:txbx>
                            <wps:bodyPr wrap="square" rtlCol="0">
                              <a:noAutofit/>
                            </wps:bodyPr>
                          </wps:wsp>
                          <wps:wsp>
                            <wps:cNvPr id="61" name="TextBox 35">
                              <a:extLst>
                                <a:ext uri="{C183D7F6-B498-43B3-948B-1728B52AA6E4}">
                                  <adec:decorative xmlns:adec="http://schemas.microsoft.com/office/drawing/2017/decorative" val="1"/>
                                </a:ext>
                              </a:extLst>
                            </wps:cNvPr>
                            <wps:cNvSpPr txBox="1"/>
                            <wps:spPr>
                              <a:xfrm>
                                <a:off x="3599224" y="1234302"/>
                                <a:ext cx="474372" cy="254635"/>
                              </a:xfrm>
                              <a:prstGeom prst="rect">
                                <a:avLst/>
                              </a:prstGeom>
                              <a:noFill/>
                              <a:ln>
                                <a:noFill/>
                              </a:ln>
                            </wps:spPr>
                            <wps:txbx>
                              <w:txbxContent>
                                <w:p w14:paraId="2312B38E" w14:textId="77777777" w:rsidR="00962ABB" w:rsidRPr="00651196" w:rsidRDefault="00962ABB" w:rsidP="00157038">
                                  <w:pPr>
                                    <w:jc w:val="center"/>
                                    <w:rPr>
                                      <w:sz w:val="19"/>
                                      <w:szCs w:val="19"/>
                                    </w:rPr>
                                  </w:pPr>
                                  <w:r w:rsidRPr="00651196">
                                    <w:rPr>
                                      <w:rFonts w:cs="Arial"/>
                                      <w:color w:val="000000"/>
                                      <w:kern w:val="24"/>
                                      <w:sz w:val="19"/>
                                      <w:szCs w:val="19"/>
                                    </w:rPr>
                                    <w:t>Yes</w:t>
                                  </w:r>
                                </w:p>
                              </w:txbxContent>
                            </wps:txbx>
                            <wps:bodyPr wrap="square" rtlCol="0">
                              <a:noAutofit/>
                            </wps:bodyPr>
                          </wps:wsp>
                          <wps:wsp>
                            <wps:cNvPr id="62" name="TextBox 35"/>
                            <wps:cNvSpPr txBox="1"/>
                            <wps:spPr>
                              <a:xfrm>
                                <a:off x="542671" y="1891587"/>
                                <a:ext cx="1574800" cy="254635"/>
                              </a:xfrm>
                              <a:prstGeom prst="rect">
                                <a:avLst/>
                              </a:prstGeom>
                              <a:noFill/>
                              <a:ln>
                                <a:noFill/>
                              </a:ln>
                            </wps:spPr>
                            <wps:txbx>
                              <w:txbxContent>
                                <w:p w14:paraId="1F7F1F10" w14:textId="77777777" w:rsidR="00962ABB" w:rsidRPr="00651196" w:rsidRDefault="00962ABB" w:rsidP="00157038">
                                  <w:pPr>
                                    <w:jc w:val="center"/>
                                    <w:rPr>
                                      <w:sz w:val="19"/>
                                      <w:szCs w:val="19"/>
                                    </w:rPr>
                                  </w:pPr>
                                  <w:r w:rsidRPr="00651196">
                                    <w:rPr>
                                      <w:rFonts w:cs="Arial"/>
                                      <w:color w:val="000000"/>
                                      <w:kern w:val="24"/>
                                      <w:sz w:val="19"/>
                                      <w:szCs w:val="19"/>
                                    </w:rPr>
                                    <w:t>Yes</w:t>
                                  </w:r>
                                </w:p>
                              </w:txbxContent>
                            </wps:txbx>
                            <wps:bodyPr wrap="square" rtlCol="0">
                              <a:noAutofit/>
                            </wps:bodyPr>
                          </wps:wsp>
                          <wps:wsp>
                            <wps:cNvPr id="192" name="TextBox 35" descr="Information relating to table"/>
                            <wps:cNvSpPr txBox="1"/>
                            <wps:spPr>
                              <a:xfrm>
                                <a:off x="1717848" y="2418076"/>
                                <a:ext cx="1574800" cy="254635"/>
                              </a:xfrm>
                              <a:prstGeom prst="rect">
                                <a:avLst/>
                              </a:prstGeom>
                              <a:noFill/>
                              <a:ln>
                                <a:noFill/>
                              </a:ln>
                            </wps:spPr>
                            <wps:txbx>
                              <w:txbxContent>
                                <w:p w14:paraId="6AD75F6F" w14:textId="77777777" w:rsidR="00962ABB" w:rsidRPr="00651196" w:rsidRDefault="00962ABB" w:rsidP="00157038">
                                  <w:pPr>
                                    <w:jc w:val="center"/>
                                    <w:rPr>
                                      <w:sz w:val="19"/>
                                      <w:szCs w:val="19"/>
                                    </w:rPr>
                                  </w:pPr>
                                  <w:r w:rsidRPr="00651196">
                                    <w:rPr>
                                      <w:rFonts w:cs="Arial"/>
                                      <w:color w:val="000000"/>
                                      <w:kern w:val="24"/>
                                      <w:sz w:val="19"/>
                                      <w:szCs w:val="19"/>
                                    </w:rPr>
                                    <w:t>Yes</w:t>
                                  </w:r>
                                </w:p>
                              </w:txbxContent>
                            </wps:txbx>
                            <wps:bodyPr wrap="square" rtlCol="0">
                              <a:noAutofit/>
                            </wps:bodyPr>
                          </wps:wsp>
                          <wps:wsp>
                            <wps:cNvPr id="193" name="TextBox 61" descr="Information relating to table"/>
                            <wps:cNvSpPr txBox="1"/>
                            <wps:spPr>
                              <a:xfrm>
                                <a:off x="4184767" y="198092"/>
                                <a:ext cx="435421" cy="279977"/>
                              </a:xfrm>
                              <a:prstGeom prst="rect">
                                <a:avLst/>
                              </a:prstGeom>
                              <a:noFill/>
                              <a:ln>
                                <a:noFill/>
                              </a:ln>
                            </wps:spPr>
                            <wps:txbx>
                              <w:txbxContent>
                                <w:p w14:paraId="63750F1F" w14:textId="77777777" w:rsidR="00962ABB" w:rsidRPr="00651196" w:rsidRDefault="00962ABB" w:rsidP="00157038">
                                  <w:pPr>
                                    <w:jc w:val="center"/>
                                    <w:rPr>
                                      <w:sz w:val="19"/>
                                      <w:szCs w:val="19"/>
                                    </w:rPr>
                                  </w:pPr>
                                  <w:r w:rsidRPr="00651196">
                                    <w:rPr>
                                      <w:rFonts w:cs="Arial"/>
                                      <w:color w:val="000000"/>
                                      <w:kern w:val="24"/>
                                      <w:sz w:val="19"/>
                                      <w:szCs w:val="19"/>
                                    </w:rPr>
                                    <w:t>No</w:t>
                                  </w:r>
                                </w:p>
                              </w:txbxContent>
                            </wps:txbx>
                            <wps:bodyPr wrap="square" rtlCol="0">
                              <a:noAutofit/>
                            </wps:bodyPr>
                          </wps:wsp>
                          <wps:wsp>
                            <wps:cNvPr id="209" name="TextBox 61"/>
                            <wps:cNvSpPr txBox="1"/>
                            <wps:spPr>
                              <a:xfrm>
                                <a:off x="4983067" y="1878370"/>
                                <a:ext cx="394117" cy="223313"/>
                              </a:xfrm>
                              <a:prstGeom prst="rect">
                                <a:avLst/>
                              </a:prstGeom>
                              <a:noFill/>
                              <a:ln>
                                <a:noFill/>
                              </a:ln>
                            </wps:spPr>
                            <wps:txbx>
                              <w:txbxContent>
                                <w:p w14:paraId="1CD20463" w14:textId="77777777" w:rsidR="00962ABB" w:rsidRPr="00651196" w:rsidRDefault="00962ABB" w:rsidP="00157038">
                                  <w:pPr>
                                    <w:jc w:val="center"/>
                                    <w:rPr>
                                      <w:sz w:val="19"/>
                                      <w:szCs w:val="19"/>
                                    </w:rPr>
                                  </w:pPr>
                                  <w:r w:rsidRPr="00651196">
                                    <w:rPr>
                                      <w:rFonts w:cs="Arial"/>
                                      <w:color w:val="000000"/>
                                      <w:kern w:val="24"/>
                                      <w:sz w:val="19"/>
                                      <w:szCs w:val="19"/>
                                    </w:rPr>
                                    <w:t>No</w:t>
                                  </w:r>
                                </w:p>
                              </w:txbxContent>
                            </wps:txbx>
                            <wps:bodyPr wrap="square" rtlCol="0">
                              <a:noAutofit/>
                            </wps:bodyPr>
                          </wps:wsp>
                          <wps:wsp>
                            <wps:cNvPr id="210" name="TextBox 61"/>
                            <wps:cNvSpPr txBox="1"/>
                            <wps:spPr>
                              <a:xfrm>
                                <a:off x="780989" y="3075383"/>
                                <a:ext cx="1098816" cy="279977"/>
                              </a:xfrm>
                              <a:prstGeom prst="rect">
                                <a:avLst/>
                              </a:prstGeom>
                              <a:noFill/>
                              <a:ln>
                                <a:noFill/>
                              </a:ln>
                            </wps:spPr>
                            <wps:txbx>
                              <w:txbxContent>
                                <w:p w14:paraId="3FFF0190" w14:textId="77777777" w:rsidR="00962ABB" w:rsidRPr="00651196" w:rsidRDefault="00962ABB" w:rsidP="00157038">
                                  <w:pPr>
                                    <w:jc w:val="center"/>
                                    <w:rPr>
                                      <w:sz w:val="19"/>
                                      <w:szCs w:val="19"/>
                                    </w:rPr>
                                  </w:pPr>
                                  <w:r w:rsidRPr="00651196">
                                    <w:rPr>
                                      <w:rFonts w:cs="Arial"/>
                                      <w:color w:val="000000"/>
                                      <w:kern w:val="24"/>
                                      <w:sz w:val="19"/>
                                      <w:szCs w:val="19"/>
                                    </w:rPr>
                                    <w:t>No</w:t>
                                  </w:r>
                                </w:p>
                              </w:txbxContent>
                            </wps:txbx>
                            <wps:bodyPr wrap="square" rtlCol="0">
                              <a:noAutofit/>
                            </wps:bodyPr>
                          </wps:wsp>
                          <wps:wsp>
                            <wps:cNvPr id="211" name="Connector: Elbow 211" descr="Connector"/>
                            <wps:cNvCnPr>
                              <a:cxnSpLocks/>
                              <a:stCxn id="34" idx="1"/>
                              <a:endCxn id="41" idx="1"/>
                            </wps:cNvCnPr>
                            <wps:spPr>
                              <a:xfrm rot="10800000" flipH="1" flipV="1">
                                <a:off x="-1" y="1460246"/>
                                <a:ext cx="1334888" cy="3128004"/>
                              </a:xfrm>
                              <a:prstGeom prst="bentConnector3">
                                <a:avLst>
                                  <a:gd name="adj1" fmla="val -1737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extBox 36">
                              <a:extLst>
                                <a:ext uri="{C183D7F6-B498-43B3-948B-1728B52AA6E4}">
                                  <adec:decorative xmlns:adec="http://schemas.microsoft.com/office/drawing/2017/decorative" val="1"/>
                                </a:ext>
                              </a:extLst>
                            </wps:cNvPr>
                            <wps:cNvSpPr txBox="1"/>
                            <wps:spPr>
                              <a:xfrm>
                                <a:off x="4029075" y="1127038"/>
                                <a:ext cx="1967865" cy="676275"/>
                              </a:xfrm>
                              <a:prstGeom prst="rect">
                                <a:avLst/>
                              </a:prstGeom>
                              <a:noFill/>
                              <a:ln>
                                <a:solidFill>
                                  <a:schemeClr val="tx1"/>
                                </a:solidFill>
                              </a:ln>
                            </wps:spPr>
                            <wps:txbx>
                              <w:txbxContent>
                                <w:p w14:paraId="34EBC29C" w14:textId="77777777" w:rsidR="00962ABB" w:rsidRPr="00651196" w:rsidRDefault="00962ABB" w:rsidP="00DE09F6">
                                  <w:pPr>
                                    <w:spacing w:before="60"/>
                                    <w:jc w:val="center"/>
                                    <w:rPr>
                                      <w:sz w:val="19"/>
                                      <w:szCs w:val="19"/>
                                    </w:rPr>
                                  </w:pPr>
                                  <w:r w:rsidRPr="00651196">
                                    <w:rPr>
                                      <w:rFonts w:cstheme="minorBidi"/>
                                      <w:color w:val="000000"/>
                                      <w:kern w:val="24"/>
                                      <w:sz w:val="19"/>
                                      <w:szCs w:val="19"/>
                                    </w:rPr>
                                    <w:t>Has the entity assessed whether or not its interests in other entities give rise to interests in subsidiaries,</w:t>
                                  </w:r>
                                  <w:r w:rsidRPr="00651196">
                                    <w:rPr>
                                      <w:rFonts w:cstheme="minorBidi"/>
                                      <w:color w:val="000000" w:themeColor="text1"/>
                                      <w:kern w:val="24"/>
                                      <w:sz w:val="19"/>
                                      <w:szCs w:val="19"/>
                                      <w:u w:val="single"/>
                                    </w:rPr>
                                    <w:t xml:space="preserve"> </w:t>
                                  </w:r>
                                  <w:r w:rsidRPr="00651196">
                                    <w:rPr>
                                      <w:rFonts w:cstheme="minorBidi"/>
                                      <w:color w:val="000000"/>
                                      <w:kern w:val="24"/>
                                      <w:sz w:val="19"/>
                                      <w:szCs w:val="19"/>
                                    </w:rPr>
                                    <w:t>associates or joint ventures?</w:t>
                                  </w:r>
                                </w:p>
                              </w:txbxContent>
                            </wps:txbx>
                            <wps:bodyPr wrap="square" rtlCol="0">
                              <a:noAutofit/>
                            </wps:bodyPr>
                          </wps:wsp>
                        </wpg:grpSp>
                        <wpg:grpSp>
                          <wpg:cNvPr id="1" name="Group 23" descr="Chart part 2"/>
                          <wpg:cNvGrpSpPr/>
                          <wpg:grpSpPr>
                            <a:xfrm>
                              <a:off x="0" y="5051846"/>
                              <a:ext cx="6867587" cy="3460239"/>
                              <a:chOff x="-195697" y="-40311"/>
                              <a:chExt cx="6869650" cy="2756345"/>
                            </a:xfrm>
                          </wpg:grpSpPr>
                          <wps:wsp>
                            <wps:cNvPr id="223" name="Straight Arrow Connector 223"/>
                            <wps:cNvCnPr>
                              <a:cxnSpLocks/>
                            </wps:cNvCnPr>
                            <wps:spPr>
                              <a:xfrm flipH="1">
                                <a:off x="3301028" y="1031725"/>
                                <a:ext cx="820" cy="243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12" name="Group 212"/>
                            <wpg:cNvGrpSpPr/>
                            <wpg:grpSpPr>
                              <a:xfrm>
                                <a:off x="-195697" y="151457"/>
                                <a:ext cx="6869650" cy="2564577"/>
                                <a:chOff x="-195697" y="151457"/>
                                <a:chExt cx="6869650" cy="2564577"/>
                              </a:xfrm>
                            </wpg:grpSpPr>
                            <wps:wsp>
                              <wps:cNvPr id="213" name="TextBox 126">
                                <a:extLst>
                                  <a:ext uri="{C183D7F6-B498-43B3-948B-1728B52AA6E4}">
                                    <adec:decorative xmlns:adec="http://schemas.microsoft.com/office/drawing/2017/decorative" val="1"/>
                                  </a:ext>
                                </a:extLst>
                              </wps:cNvPr>
                              <wps:cNvSpPr txBox="1"/>
                              <wps:spPr>
                                <a:xfrm>
                                  <a:off x="-195697" y="384079"/>
                                  <a:ext cx="2051521" cy="781272"/>
                                </a:xfrm>
                                <a:prstGeom prst="flowChartTerminator">
                                  <a:avLst/>
                                </a:prstGeom>
                                <a:noFill/>
                                <a:ln>
                                  <a:solidFill>
                                    <a:schemeClr val="tx1"/>
                                  </a:solidFill>
                                </a:ln>
                              </wps:spPr>
                              <wps:txbx>
                                <w:txbxContent>
                                  <w:p w14:paraId="5395B795" w14:textId="4EAC1029" w:rsidR="00962ABB" w:rsidRPr="00651196" w:rsidRDefault="00962ABB" w:rsidP="00157038">
                                    <w:pPr>
                                      <w:jc w:val="center"/>
                                      <w:rPr>
                                        <w:sz w:val="19"/>
                                        <w:szCs w:val="19"/>
                                      </w:rPr>
                                    </w:pPr>
                                    <w:r w:rsidRPr="00651196">
                                      <w:rPr>
                                        <w:rFonts w:cs="Arial"/>
                                        <w:color w:val="000000"/>
                                        <w:kern w:val="24"/>
                                        <w:sz w:val="19"/>
                                        <w:szCs w:val="19"/>
                                      </w:rPr>
                                      <w:t xml:space="preserve">For each material accounting policy, no disclosure of compliance is required (paragraph 9A(c) – </w:t>
                                    </w:r>
                                    <w:r>
                                      <w:rPr>
                                        <w:rFonts w:cs="Arial"/>
                                        <w:color w:val="000000"/>
                                        <w:kern w:val="24"/>
                                        <w:sz w:val="19"/>
                                        <w:szCs w:val="19"/>
                                      </w:rPr>
                                      <w:br/>
                                    </w:r>
                                    <w:r w:rsidRPr="00651196">
                                      <w:rPr>
                                        <w:rFonts w:cs="Arial"/>
                                        <w:color w:val="000000"/>
                                        <w:kern w:val="24"/>
                                        <w:sz w:val="19"/>
                                        <w:szCs w:val="19"/>
                                      </w:rPr>
                                      <w:t>see examples 1, 2 &amp; 3)</w:t>
                                    </w:r>
                                  </w:p>
                                </w:txbxContent>
                              </wps:txbx>
                              <wps:bodyPr wrap="square" lIns="0" tIns="0" rIns="0" bIns="0" rtlCol="0" anchor="ctr" anchorCtr="0">
                                <a:noAutofit/>
                              </wps:bodyPr>
                            </wps:wsp>
                            <wps:wsp>
                              <wps:cNvPr id="216" name="TextBox 126">
                                <a:extLst>
                                  <a:ext uri="{C183D7F6-B498-43B3-948B-1728B52AA6E4}">
                                    <adec:decorative xmlns:adec="http://schemas.microsoft.com/office/drawing/2017/decorative" val="1"/>
                                  </a:ext>
                                </a:extLst>
                              </wps:cNvPr>
                              <wps:cNvSpPr txBox="1"/>
                              <wps:spPr>
                                <a:xfrm>
                                  <a:off x="4690244" y="383622"/>
                                  <a:ext cx="1983709" cy="790262"/>
                                </a:xfrm>
                                <a:prstGeom prst="flowChartTerminator">
                                  <a:avLst/>
                                </a:prstGeom>
                                <a:noFill/>
                                <a:ln>
                                  <a:solidFill>
                                    <a:schemeClr val="tx1"/>
                                  </a:solidFill>
                                </a:ln>
                              </wps:spPr>
                              <wps:txbx>
                                <w:txbxContent>
                                  <w:p w14:paraId="31B0B1F6" w14:textId="64641142" w:rsidR="00962ABB" w:rsidRPr="00651196" w:rsidRDefault="00962ABB" w:rsidP="00157038">
                                    <w:pPr>
                                      <w:jc w:val="center"/>
                                      <w:rPr>
                                        <w:sz w:val="19"/>
                                        <w:szCs w:val="19"/>
                                      </w:rPr>
                                    </w:pPr>
                                    <w:r w:rsidRPr="00651196">
                                      <w:rPr>
                                        <w:rFonts w:cs="Arial"/>
                                        <w:color w:val="000000"/>
                                        <w:kern w:val="24"/>
                                        <w:sz w:val="19"/>
                                        <w:szCs w:val="19"/>
                                      </w:rPr>
                                      <w:t xml:space="preserve">For each material accounting policy, disclose the non-assessment (paragraph 9A(c) – see </w:t>
                                    </w:r>
                                    <w:r w:rsidR="0030228A">
                                      <w:rPr>
                                        <w:rFonts w:cs="Arial"/>
                                        <w:color w:val="000000"/>
                                        <w:kern w:val="24"/>
                                        <w:sz w:val="19"/>
                                        <w:szCs w:val="19"/>
                                      </w:rPr>
                                      <w:br/>
                                    </w:r>
                                    <w:r w:rsidRPr="00651196">
                                      <w:rPr>
                                        <w:rFonts w:cs="Arial"/>
                                        <w:color w:val="000000"/>
                                        <w:kern w:val="24"/>
                                        <w:sz w:val="19"/>
                                        <w:szCs w:val="19"/>
                                      </w:rPr>
                                      <w:t>examples 6 &amp; 7)</w:t>
                                    </w:r>
                                  </w:p>
                                </w:txbxContent>
                              </wps:txbx>
                              <wps:bodyPr wrap="square" lIns="0" tIns="0" rIns="0" bIns="0" rtlCol="0" anchor="ctr" anchorCtr="0">
                                <a:noAutofit/>
                              </wps:bodyPr>
                            </wps:wsp>
                            <wps:wsp>
                              <wps:cNvPr id="217" name="TextBox 130">
                                <a:extLst>
                                  <a:ext uri="{C183D7F6-B498-43B3-948B-1728B52AA6E4}">
                                    <adec:decorative xmlns:adec="http://schemas.microsoft.com/office/drawing/2017/decorative" val="1"/>
                                  </a:ext>
                                </a:extLst>
                              </wps:cNvPr>
                              <wps:cNvSpPr txBox="1"/>
                              <wps:spPr>
                                <a:xfrm>
                                  <a:off x="1077422" y="1275520"/>
                                  <a:ext cx="4326596" cy="1440514"/>
                                </a:xfrm>
                                <a:prstGeom prst="rect">
                                  <a:avLst/>
                                </a:prstGeom>
                                <a:noFill/>
                                <a:ln>
                                  <a:solidFill>
                                    <a:schemeClr val="tx1"/>
                                  </a:solidFill>
                                </a:ln>
                              </wps:spPr>
                              <wps:txbx>
                                <w:txbxContent>
                                  <w:p w14:paraId="62A7F43F" w14:textId="77777777" w:rsidR="00962ABB" w:rsidRPr="00651196" w:rsidRDefault="00962ABB" w:rsidP="00157038">
                                    <w:pPr>
                                      <w:spacing w:before="100" w:after="100"/>
                                      <w:ind w:left="142" w:right="80"/>
                                      <w:jc w:val="center"/>
                                      <w:rPr>
                                        <w:rFonts w:cs="Arial"/>
                                        <w:b/>
                                        <w:bCs/>
                                        <w:color w:val="000000"/>
                                        <w:kern w:val="24"/>
                                        <w:sz w:val="19"/>
                                        <w:szCs w:val="19"/>
                                        <w:u w:val="single"/>
                                      </w:rPr>
                                    </w:pPr>
                                    <w:r w:rsidRPr="00651196">
                                      <w:rPr>
                                        <w:rFonts w:cs="Arial"/>
                                        <w:b/>
                                        <w:bCs/>
                                        <w:color w:val="000000"/>
                                        <w:kern w:val="24"/>
                                        <w:sz w:val="19"/>
                                        <w:szCs w:val="19"/>
                                        <w:u w:val="single"/>
                                      </w:rPr>
                                      <w:t>Accounting policy assessment step 2</w:t>
                                    </w:r>
                                  </w:p>
                                  <w:p w14:paraId="6051F278" w14:textId="77777777" w:rsidR="00962ABB" w:rsidRPr="00651196" w:rsidRDefault="00962ABB" w:rsidP="00157038">
                                    <w:pPr>
                                      <w:spacing w:before="100" w:after="100"/>
                                      <w:ind w:left="142" w:right="80"/>
                                      <w:rPr>
                                        <w:sz w:val="19"/>
                                        <w:szCs w:val="19"/>
                                      </w:rPr>
                                    </w:pPr>
                                    <w:r w:rsidRPr="00651196">
                                      <w:rPr>
                                        <w:rFonts w:cs="Arial"/>
                                        <w:color w:val="000000"/>
                                        <w:kern w:val="24"/>
                                        <w:sz w:val="19"/>
                                        <w:szCs w:val="19"/>
                                      </w:rPr>
                                      <w:t xml:space="preserve">Based on the accounting policy assessment in step 1, </w:t>
                                    </w:r>
                                    <w:r w:rsidRPr="00651196">
                                      <w:rPr>
                                        <w:rFonts w:ascii="Times" w:hAnsi="Times" w:cstheme="minorBidi"/>
                                        <w:color w:val="000000" w:themeColor="text1"/>
                                        <w:kern w:val="24"/>
                                        <w:sz w:val="19"/>
                                        <w:szCs w:val="19"/>
                                      </w:rPr>
                                      <w:t xml:space="preserve">with regard to the recognition and measurement requirements in Australian Accounting Standards </w:t>
                                    </w:r>
                                    <w:r w:rsidRPr="00651196">
                                      <w:rPr>
                                        <w:sz w:val="19"/>
                                        <w:szCs w:val="19"/>
                                      </w:rPr>
                                      <w:t>(except for requirements set out in AASB 10 or AASB 128)</w:t>
                                    </w:r>
                                    <w:r w:rsidRPr="00651196">
                                      <w:rPr>
                                        <w:rFonts w:ascii="Times" w:hAnsi="Times" w:cstheme="minorBidi"/>
                                        <w:color w:val="000000" w:themeColor="text1"/>
                                        <w:kern w:val="24"/>
                                        <w:sz w:val="19"/>
                                        <w:szCs w:val="19"/>
                                      </w:rPr>
                                      <w:t>, disclose whether or not the financial statements overall (paragraph 9A(d)):</w:t>
                                    </w:r>
                                  </w:p>
                                  <w:p w14:paraId="42CFE0C7" w14:textId="77777777" w:rsidR="00962ABB" w:rsidRPr="00651196" w:rsidRDefault="00962ABB" w:rsidP="00331C77">
                                    <w:pPr>
                                      <w:pStyle w:val="ListParagraph"/>
                                      <w:numPr>
                                        <w:ilvl w:val="0"/>
                                        <w:numId w:val="18"/>
                                      </w:numPr>
                                      <w:pBdr>
                                        <w:left w:val="none" w:sz="0" w:space="0" w:color="auto"/>
                                        <w:right w:val="none" w:sz="0" w:space="0" w:color="auto"/>
                                      </w:pBdr>
                                      <w:tabs>
                                        <w:tab w:val="clear" w:pos="720"/>
                                      </w:tabs>
                                      <w:spacing w:after="0"/>
                                      <w:ind w:left="652" w:right="79" w:hanging="510"/>
                                      <w:rPr>
                                        <w:szCs w:val="19"/>
                                      </w:rPr>
                                    </w:pPr>
                                    <w:r w:rsidRPr="00651196">
                                      <w:rPr>
                                        <w:rFonts w:ascii="Times" w:hAnsi="Times" w:cstheme="minorBidi"/>
                                        <w:color w:val="000000" w:themeColor="text1"/>
                                        <w:kern w:val="24"/>
                                        <w:szCs w:val="19"/>
                                      </w:rPr>
                                      <w:t xml:space="preserve">comply (there are </w:t>
                                    </w:r>
                                    <w:r w:rsidRPr="00651196">
                                      <w:rPr>
                                        <w:rFonts w:ascii="Times" w:hAnsi="Times" w:cstheme="minorBidi"/>
                                        <w:bCs/>
                                        <w:color w:val="000000" w:themeColor="text1"/>
                                        <w:kern w:val="24"/>
                                        <w:szCs w:val="19"/>
                                      </w:rPr>
                                      <w:t>no</w:t>
                                    </w:r>
                                    <w:r w:rsidRPr="00651196">
                                      <w:rPr>
                                        <w:rFonts w:ascii="Times" w:hAnsi="Times" w:cstheme="minorBidi"/>
                                        <w:color w:val="000000" w:themeColor="text1"/>
                                        <w:kern w:val="24"/>
                                        <w:szCs w:val="19"/>
                                      </w:rPr>
                                      <w:t xml:space="preserve"> instances of non-compliance or non-assessment) – see examples 1, 2 &amp; 3;</w:t>
                                    </w:r>
                                  </w:p>
                                  <w:p w14:paraId="3BEEFD72" w14:textId="77777777" w:rsidR="00962ABB" w:rsidRPr="00651196" w:rsidRDefault="00962ABB" w:rsidP="00331C77">
                                    <w:pPr>
                                      <w:pStyle w:val="ListParagraph"/>
                                      <w:numPr>
                                        <w:ilvl w:val="0"/>
                                        <w:numId w:val="18"/>
                                      </w:numPr>
                                      <w:pBdr>
                                        <w:left w:val="none" w:sz="0" w:space="0" w:color="auto"/>
                                        <w:right w:val="none" w:sz="0" w:space="0" w:color="auto"/>
                                      </w:pBdr>
                                      <w:tabs>
                                        <w:tab w:val="clear" w:pos="720"/>
                                      </w:tabs>
                                      <w:spacing w:after="0"/>
                                      <w:ind w:left="652" w:right="79" w:hanging="510"/>
                                      <w:rPr>
                                        <w:szCs w:val="19"/>
                                      </w:rPr>
                                    </w:pPr>
                                    <w:r w:rsidRPr="00651196">
                                      <w:rPr>
                                        <w:rFonts w:ascii="Times" w:hAnsi="Times" w:cstheme="minorBidi"/>
                                        <w:color w:val="000000" w:themeColor="text1"/>
                                        <w:kern w:val="24"/>
                                        <w:szCs w:val="19"/>
                                      </w:rPr>
                                      <w:t>do not comply (there are one or more instances of non-compliance) – see examples 4, 5 &amp; 6; or</w:t>
                                    </w:r>
                                  </w:p>
                                  <w:p w14:paraId="5A7DDF5F" w14:textId="77777777" w:rsidR="00962ABB" w:rsidRPr="00651196" w:rsidRDefault="00962ABB" w:rsidP="00331C77">
                                    <w:pPr>
                                      <w:pStyle w:val="ListParagraph"/>
                                      <w:numPr>
                                        <w:ilvl w:val="0"/>
                                        <w:numId w:val="18"/>
                                      </w:numPr>
                                      <w:pBdr>
                                        <w:left w:val="none" w:sz="0" w:space="0" w:color="auto"/>
                                        <w:right w:val="none" w:sz="0" w:space="0" w:color="auto"/>
                                      </w:pBdr>
                                      <w:tabs>
                                        <w:tab w:val="clear" w:pos="720"/>
                                      </w:tabs>
                                      <w:spacing w:after="0"/>
                                      <w:ind w:left="652" w:right="79" w:hanging="510"/>
                                      <w:rPr>
                                        <w:szCs w:val="19"/>
                                      </w:rPr>
                                    </w:pPr>
                                    <w:r w:rsidRPr="00651196">
                                      <w:rPr>
                                        <w:rFonts w:ascii="Times" w:hAnsi="Times" w:cstheme="minorBidi"/>
                                        <w:color w:val="000000" w:themeColor="text1"/>
                                        <w:kern w:val="24"/>
                                        <w:szCs w:val="19"/>
                                      </w:rPr>
                                      <w:t>compliance has not been assessed (there are one or more instances where compliance / non-compliance have not been assessed) – see examples 6 &amp; 7.</w:t>
                                    </w:r>
                                  </w:p>
                                </w:txbxContent>
                              </wps:txbx>
                              <wps:bodyPr wrap="square" lIns="0" tIns="0" rIns="0" bIns="0" rtlCol="0">
                                <a:noAutofit/>
                              </wps:bodyPr>
                            </wps:wsp>
                            <wps:wsp>
                              <wps:cNvPr id="218" name="Connector: Elbow 218"/>
                              <wps:cNvCnPr>
                                <a:cxnSpLocks/>
                                <a:stCxn id="213" idx="2"/>
                                <a:endCxn id="217" idx="1"/>
                              </wps:cNvCnPr>
                              <wps:spPr>
                                <a:xfrm rot="16200000" flipH="1">
                                  <a:off x="538530" y="1456884"/>
                                  <a:ext cx="830427" cy="24735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9" name="Connector: Elbow 219"/>
                              <wps:cNvCnPr>
                                <a:cxnSpLocks/>
                                <a:stCxn id="216" idx="2"/>
                                <a:endCxn id="217" idx="3"/>
                              </wps:cNvCnPr>
                              <wps:spPr>
                                <a:xfrm rot="5400000">
                                  <a:off x="5132095" y="1445774"/>
                                  <a:ext cx="821927" cy="278080"/>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5" name="TextBox 130">
                                <a:extLst>
                                  <a:ext uri="{C183D7F6-B498-43B3-948B-1728B52AA6E4}">
                                    <adec:decorative xmlns:adec="http://schemas.microsoft.com/office/drawing/2017/decorative" val="1"/>
                                  </a:ext>
                                </a:extLst>
                              </wps:cNvPr>
                              <wps:cNvSpPr txBox="1"/>
                              <wps:spPr>
                                <a:xfrm>
                                  <a:off x="2175041" y="383812"/>
                                  <a:ext cx="2253615" cy="791216"/>
                                </a:xfrm>
                                <a:prstGeom prst="flowChartTerminator">
                                  <a:avLst/>
                                </a:prstGeom>
                                <a:solidFill>
                                  <a:schemeClr val="bg1"/>
                                </a:solidFill>
                                <a:ln>
                                  <a:solidFill>
                                    <a:schemeClr val="tx1"/>
                                  </a:solidFill>
                                </a:ln>
                              </wps:spPr>
                              <wps:txbx>
                                <w:txbxContent>
                                  <w:p w14:paraId="54EBA085" w14:textId="39F4C392" w:rsidR="00962ABB" w:rsidRPr="00651196" w:rsidRDefault="00962ABB" w:rsidP="001E3D99">
                                    <w:pPr>
                                      <w:spacing w:before="120"/>
                                      <w:jc w:val="center"/>
                                      <w:rPr>
                                        <w:sz w:val="19"/>
                                        <w:szCs w:val="19"/>
                                      </w:rPr>
                                    </w:pPr>
                                    <w:r w:rsidRPr="00651196">
                                      <w:rPr>
                                        <w:rFonts w:cs="Arial"/>
                                        <w:color w:val="000000"/>
                                        <w:kern w:val="24"/>
                                        <w:sz w:val="19"/>
                                        <w:szCs w:val="19"/>
                                      </w:rPr>
                                      <w:t xml:space="preserve">For each material accounting policy, disclose an indication of how the policy does not comply (paragraph 9A(c) – </w:t>
                                    </w:r>
                                    <w:r>
                                      <w:rPr>
                                        <w:rFonts w:cs="Arial"/>
                                        <w:color w:val="000000"/>
                                        <w:kern w:val="24"/>
                                        <w:sz w:val="19"/>
                                        <w:szCs w:val="19"/>
                                      </w:rPr>
                                      <w:br/>
                                    </w:r>
                                    <w:r w:rsidRPr="00651196">
                                      <w:rPr>
                                        <w:rFonts w:cs="Arial"/>
                                        <w:color w:val="000000"/>
                                        <w:kern w:val="24"/>
                                        <w:sz w:val="19"/>
                                        <w:szCs w:val="19"/>
                                      </w:rPr>
                                      <w:t>see examples 4, 5 &amp; 6)</w:t>
                                    </w:r>
                                  </w:p>
                                </w:txbxContent>
                              </wps:txbx>
                              <wps:bodyPr wrap="square" lIns="0" tIns="0" rIns="0" bIns="0" rtlCol="0">
                                <a:noAutofit/>
                              </wps:bodyPr>
                            </wps:wsp>
                            <wps:wsp>
                              <wps:cNvPr id="220" name="TextBox 127"/>
                              <wps:cNvSpPr txBox="1"/>
                              <wps:spPr>
                                <a:xfrm>
                                  <a:off x="746241" y="158248"/>
                                  <a:ext cx="793603" cy="172953"/>
                                </a:xfrm>
                                <a:prstGeom prst="rect">
                                  <a:avLst/>
                                </a:prstGeom>
                                <a:noFill/>
                                <a:ln>
                                  <a:noFill/>
                                </a:ln>
                              </wps:spPr>
                              <wps:txbx>
                                <w:txbxContent>
                                  <w:p w14:paraId="6E7A0021" w14:textId="77777777" w:rsidR="00962ABB" w:rsidRPr="00651196" w:rsidRDefault="00962ABB" w:rsidP="00157038">
                                    <w:pPr>
                                      <w:jc w:val="center"/>
                                      <w:rPr>
                                        <w:sz w:val="19"/>
                                        <w:szCs w:val="19"/>
                                      </w:rPr>
                                    </w:pPr>
                                    <w:r w:rsidRPr="00651196">
                                      <w:rPr>
                                        <w:rFonts w:cs="Arial"/>
                                        <w:color w:val="000000"/>
                                        <w:kern w:val="24"/>
                                        <w:sz w:val="19"/>
                                        <w:szCs w:val="19"/>
                                      </w:rPr>
                                      <w:t>Complies</w:t>
                                    </w:r>
                                  </w:p>
                                </w:txbxContent>
                              </wps:txbx>
                              <wps:bodyPr wrap="square" rtlCol="0">
                                <a:noAutofit/>
                              </wps:bodyPr>
                            </wps:wsp>
                            <wps:wsp>
                              <wps:cNvPr id="221" name="TextBox 132"/>
                              <wps:cNvSpPr txBox="1"/>
                              <wps:spPr>
                                <a:xfrm>
                                  <a:off x="3277145" y="158248"/>
                                  <a:ext cx="1053192" cy="179744"/>
                                </a:xfrm>
                                <a:prstGeom prst="rect">
                                  <a:avLst/>
                                </a:prstGeom>
                                <a:noFill/>
                                <a:ln>
                                  <a:noFill/>
                                </a:ln>
                              </wps:spPr>
                              <wps:txbx>
                                <w:txbxContent>
                                  <w:p w14:paraId="5963EED1" w14:textId="77777777" w:rsidR="00962ABB" w:rsidRPr="00651196" w:rsidRDefault="00962ABB" w:rsidP="00157038">
                                    <w:pPr>
                                      <w:jc w:val="center"/>
                                      <w:rPr>
                                        <w:sz w:val="19"/>
                                        <w:szCs w:val="19"/>
                                      </w:rPr>
                                    </w:pPr>
                                    <w:r w:rsidRPr="00651196">
                                      <w:rPr>
                                        <w:rFonts w:cs="Arial"/>
                                        <w:color w:val="000000"/>
                                        <w:kern w:val="24"/>
                                        <w:sz w:val="19"/>
                                        <w:szCs w:val="19"/>
                                      </w:rPr>
                                      <w:t>Does not comply</w:t>
                                    </w:r>
                                  </w:p>
                                </w:txbxContent>
                              </wps:txbx>
                              <wps:bodyPr wrap="square" rtlCol="0">
                                <a:noAutofit/>
                              </wps:bodyPr>
                            </wps:wsp>
                            <wps:wsp>
                              <wps:cNvPr id="222" name="TextBox 132"/>
                              <wps:cNvSpPr txBox="1"/>
                              <wps:spPr>
                                <a:xfrm>
                                  <a:off x="4826352" y="151457"/>
                                  <a:ext cx="909112" cy="179744"/>
                                </a:xfrm>
                                <a:prstGeom prst="rect">
                                  <a:avLst/>
                                </a:prstGeom>
                                <a:noFill/>
                                <a:ln>
                                  <a:noFill/>
                                </a:ln>
                              </wps:spPr>
                              <wps:txbx>
                                <w:txbxContent>
                                  <w:p w14:paraId="69CDB971" w14:textId="77777777" w:rsidR="00962ABB" w:rsidRPr="00651196" w:rsidRDefault="00962ABB" w:rsidP="00157038">
                                    <w:pPr>
                                      <w:jc w:val="center"/>
                                      <w:rPr>
                                        <w:sz w:val="19"/>
                                        <w:szCs w:val="19"/>
                                      </w:rPr>
                                    </w:pPr>
                                    <w:r w:rsidRPr="00651196">
                                      <w:rPr>
                                        <w:rFonts w:cs="Arial"/>
                                        <w:color w:val="000000"/>
                                        <w:kern w:val="24"/>
                                        <w:sz w:val="19"/>
                                        <w:szCs w:val="19"/>
                                      </w:rPr>
                                      <w:t>Not assessed</w:t>
                                    </w:r>
                                  </w:p>
                                </w:txbxContent>
                              </wps:txbx>
                              <wps:bodyPr wrap="square" rtlCol="0">
                                <a:noAutofit/>
                              </wps:bodyPr>
                            </wps:wsp>
                          </wpg:grpSp>
                          <wps:wsp>
                            <wps:cNvPr id="224" name="Connector: Elbow 224"/>
                            <wps:cNvCnPr>
                              <a:cxnSpLocks/>
                            </wps:cNvCnPr>
                            <wps:spPr>
                              <a:xfrm rot="10800000" flipV="1">
                                <a:off x="830380" y="99518"/>
                                <a:ext cx="2471469" cy="28979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25" name="Straight Arrow Connector 225"/>
                            <wps:cNvCnPr>
                              <a:cxnSpLocks/>
                              <a:endCxn id="215" idx="0"/>
                            </wps:cNvCnPr>
                            <wps:spPr>
                              <a:xfrm>
                                <a:off x="3301848" y="-40311"/>
                                <a:ext cx="0" cy="4241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6" name="Connector: Elbow 226"/>
                            <wps:cNvCnPr>
                              <a:cxnSpLocks/>
                            </wps:cNvCnPr>
                            <wps:spPr>
                              <a:xfrm>
                                <a:off x="3301849" y="101282"/>
                                <a:ext cx="2386401" cy="280765"/>
                              </a:xfrm>
                              <a:prstGeom prst="bentConnector3">
                                <a:avLst>
                                  <a:gd name="adj1" fmla="val 99937"/>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235EAC84" id="Group 8" o:spid="_x0000_s1026" alt="&quot;&quot;" style="position:absolute;margin-left:-46.35pt;margin-top:31.3pt;width:533.45pt;height:674.05pt;z-index:251658241;mso-position-horizontal-relative:margin;mso-position-vertical-relative:margin;mso-width-relative:margin;mso-height-relative:margin" coordsize="68675,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">
                <v:shapetype id="_x0000_t202" coordsize="21600,21600" o:spt="202" path="m,l,21600r21600,l21600,xe">
                  <v:stroke joinstyle="miter"/>
                  <v:path gradientshapeok="t" o:connecttype="rect"/>
                </v:shapetype>
                <v:shape id="TextBox 61" o:spid="_x0000_s1027" type="#_x0000_t202" style="position:absolute;left:571;top:12286;width:10988;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6FEAF926" w14:textId="77777777" w:rsidR="00962ABB" w:rsidRPr="00651196" w:rsidRDefault="00962ABB" w:rsidP="00157038">
                        <w:pPr>
                          <w:jc w:val="center"/>
                          <w:rPr>
                            <w:sz w:val="19"/>
                            <w:szCs w:val="19"/>
                          </w:rPr>
                        </w:pPr>
                        <w:r w:rsidRPr="00651196">
                          <w:rPr>
                            <w:rFonts w:cs="Arial"/>
                            <w:color w:val="000000"/>
                            <w:kern w:val="24"/>
                            <w:sz w:val="19"/>
                            <w:szCs w:val="19"/>
                          </w:rPr>
                          <w:t>No</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8" type="#_x0000_t34" alt="Elbow connector" style="position:absolute;left:27762;top:36822;width:7202;height:43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" adj="21688" strokecolor="black [3040]">
                  <v:stroke endarrow="block"/>
                </v:shape>
                <v:group id="Group 4" o:spid="_x0000_s1029" style="position:absolute;width:68675;height:85120" coordsize="68675,8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4" o:spid="_x0000_s1030" alt="Chart part 1" style="position:absolute;left:7715;width:59925;height:50518" coordorigin="" coordsize="59969,5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58" o:spid="_x0000_s1031" type="#_x0000_t32" style="position:absolute;left:50130;top:18033;width:0;height:30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" strokecolor="black [3040]">
                      <v:stroke endarrow="block"/>
                    </v:shape>
                    <v:shape id="TextBox 36" o:spid="_x0000_s1032" type="#_x0000_t202" alt="&quot;&quot;" style="position:absolute;left:15327;width:27194;height:9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" filled="f" strokecolor="black [3213]">
                      <v:textbox>
                        <w:txbxContent>
                          <w:p w14:paraId="24650750" w14:textId="77777777" w:rsidR="00962ABB" w:rsidRPr="00651196" w:rsidRDefault="00962ABB" w:rsidP="006A3B30">
                            <w:pPr>
                              <w:spacing w:before="60"/>
                              <w:jc w:val="center"/>
                              <w:rPr>
                                <w:sz w:val="19"/>
                                <w:szCs w:val="19"/>
                              </w:rPr>
                            </w:pPr>
                            <w:r w:rsidRPr="00651196">
                              <w:rPr>
                                <w:rFonts w:cs="Arial"/>
                                <w:color w:val="000000"/>
                                <w:kern w:val="24"/>
                                <w:sz w:val="19"/>
                                <w:szCs w:val="19"/>
                              </w:rPr>
                              <w:t xml:space="preserve">Is the entity required by legislation </w:t>
                            </w:r>
                            <w:r w:rsidRPr="00651196">
                              <w:rPr>
                                <w:sz w:val="19"/>
                                <w:szCs w:val="19"/>
                              </w:rPr>
                              <w:t>for the purposes of assessing its financial reporting requirements</w:t>
                            </w:r>
                            <w:r w:rsidRPr="00651196">
                              <w:rPr>
                                <w:rFonts w:cs="Arial"/>
                                <w:color w:val="000000"/>
                                <w:kern w:val="24"/>
                                <w:sz w:val="19"/>
                                <w:szCs w:val="19"/>
                              </w:rPr>
                              <w:t xml:space="preserve"> to determine whether or not its interests in other entities give rise to interests in subsidiaries, associates or joint ventures as defined in </w:t>
                            </w:r>
                            <w:r w:rsidRPr="00651196">
                              <w:rPr>
                                <w:rFonts w:cstheme="minorBidi"/>
                                <w:color w:val="000000"/>
                                <w:kern w:val="24"/>
                                <w:sz w:val="19"/>
                                <w:szCs w:val="19"/>
                              </w:rPr>
                              <w:t>AASB 10 or AASB 128</w:t>
                            </w:r>
                            <w:r w:rsidRPr="00651196">
                              <w:rPr>
                                <w:rFonts w:cs="Arial"/>
                                <w:color w:val="000000"/>
                                <w:kern w:val="24"/>
                                <w:sz w:val="19"/>
                                <w:szCs w:val="19"/>
                              </w:rPr>
                              <w:t>?</w:t>
                            </w:r>
                          </w:p>
                        </w:txbxContent>
                      </v:textbox>
                    </v:shape>
                    <v:shape id="TextBox 36" o:spid="_x0000_s1033" type="#_x0000_t202" alt="&quot;&quot;" style="position:absolute;top:11421;width:23399;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" filled="f" strokecolor="black [3213]">
                      <v:textbox>
                        <w:txbxContent>
                          <w:p w14:paraId="52D6601A" w14:textId="77777777" w:rsidR="00962ABB" w:rsidRPr="00651196" w:rsidRDefault="00962ABB" w:rsidP="00DE09F6">
                            <w:pPr>
                              <w:spacing w:before="60"/>
                              <w:jc w:val="center"/>
                              <w:rPr>
                                <w:sz w:val="19"/>
                                <w:szCs w:val="19"/>
                              </w:rPr>
                            </w:pPr>
                            <w:r w:rsidRPr="00651196">
                              <w:rPr>
                                <w:rFonts w:cstheme="minorBidi"/>
                                <w:color w:val="000000"/>
                                <w:kern w:val="24"/>
                                <w:sz w:val="19"/>
                                <w:szCs w:val="19"/>
                              </w:rPr>
                              <w:t>Does the entity have any subsidiaries as defined in AASB 10 or investments in associates or joint ventures as defined in AASB 128?</w:t>
                            </w:r>
                          </w:p>
                        </w:txbxContent>
                      </v:textbox>
                    </v:shape>
                    <v:shape id="TextBox 19" o:spid="_x0000_s1034" type="#_x0000_t202" alt="&quot;&quot;" style="position:absolute;left:50;top:22079;width:23343;height:8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" filled="f" strokecolor="black [3213]">
                      <v:textbox inset="0,0,0,0">
                        <w:txbxContent>
                          <w:p w14:paraId="0531AFB3" w14:textId="680A0B65" w:rsidR="00962ABB" w:rsidRPr="00651196" w:rsidRDefault="00962ABB" w:rsidP="00157038">
                            <w:pPr>
                              <w:jc w:val="center"/>
                              <w:rPr>
                                <w:sz w:val="19"/>
                                <w:szCs w:val="19"/>
                              </w:rPr>
                            </w:pPr>
                            <w:r w:rsidRPr="00651196">
                              <w:rPr>
                                <w:rFonts w:cs="Arial"/>
                                <w:color w:val="000000"/>
                                <w:kern w:val="24"/>
                                <w:sz w:val="19"/>
                                <w:szCs w:val="19"/>
                              </w:rPr>
                              <w:t>Has the entity consolidated its subsidiaries or equity accounted its investments in associates or joint ventures in a manner consistent with the requirements set out in AASB 10 or AASB</w:t>
                            </w:r>
                            <w:r w:rsidR="00D6444B">
                              <w:rPr>
                                <w:rFonts w:cs="Arial"/>
                                <w:color w:val="000000"/>
                                <w:kern w:val="24"/>
                                <w:sz w:val="19"/>
                                <w:szCs w:val="19"/>
                              </w:rPr>
                              <w:t> </w:t>
                            </w:r>
                            <w:r w:rsidRPr="00651196">
                              <w:rPr>
                                <w:rFonts w:cs="Arial"/>
                                <w:color w:val="000000"/>
                                <w:kern w:val="24"/>
                                <w:sz w:val="19"/>
                                <w:szCs w:val="19"/>
                              </w:rPr>
                              <w:t>128 as appropriate?</w:t>
                            </w:r>
                          </w:p>
                        </w:txbxContent>
                      </v:textbox>
                    </v:shape>
                    <v:shapetype id="_x0000_t116" coordsize="21600,21600" o:spt="116" path="m3475,qx,10800,3475,21600l18125,21600qx21600,10800,18125,xe">
                      <v:stroke joinstyle="miter"/>
                      <v:path gradientshapeok="t" o:connecttype="rect" textboxrect="1018,3163,20582,18437"/>
                    </v:shapetype>
                    <v:shape id="TextBox 77" o:spid="_x0000_s1035" type="#_x0000_t116" alt="&quot;&quot;" style="position:absolute;left:3473;top:33275;width:16588;height:7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" filled="f" strokecolor="black [3213]">
                      <v:textbox inset="0,0,0,0">
                        <w:txbxContent>
                          <w:p w14:paraId="5E2E08DE" w14:textId="77777777" w:rsidR="00962ABB" w:rsidRPr="00651196" w:rsidRDefault="00962ABB" w:rsidP="00157038">
                            <w:pPr>
                              <w:jc w:val="center"/>
                              <w:rPr>
                                <w:sz w:val="19"/>
                                <w:szCs w:val="19"/>
                              </w:rPr>
                            </w:pPr>
                            <w:r w:rsidRPr="00651196">
                              <w:rPr>
                                <w:rFonts w:cs="Arial"/>
                                <w:color w:val="000000"/>
                                <w:kern w:val="24"/>
                                <w:sz w:val="19"/>
                                <w:szCs w:val="19"/>
                              </w:rPr>
                              <w:t>Disclose that fact and the reasons why (paragraph 9A(b) – see example 3)</w:t>
                            </w:r>
                          </w:p>
                        </w:txbxContent>
                      </v:textbox>
                    </v:shape>
                    <v:shape id="TextBox 78" o:spid="_x0000_s1036" type="#_x0000_t116" alt="&quot;&quot;" style="position:absolute;left:27022;top:28998;width:16713;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" filled="f" strokecolor="black [3213]">
                      <v:textbox inset="0,0,0,0">
                        <w:txbxContent>
                          <w:p w14:paraId="2717183F" w14:textId="77777777" w:rsidR="00962ABB" w:rsidRPr="00651196" w:rsidRDefault="00962ABB" w:rsidP="00157038">
                            <w:pPr>
                              <w:jc w:val="center"/>
                              <w:rPr>
                                <w:sz w:val="19"/>
                                <w:szCs w:val="19"/>
                              </w:rPr>
                            </w:pPr>
                            <w:r w:rsidRPr="00651196">
                              <w:rPr>
                                <w:rFonts w:cs="Arial"/>
                                <w:color w:val="000000"/>
                                <w:kern w:val="24"/>
                                <w:sz w:val="19"/>
                                <w:szCs w:val="19"/>
                              </w:rPr>
                              <w:t>Disclose that fact (paragraph 9A(b) – see example 1)</w:t>
                            </w:r>
                          </w:p>
                        </w:txbxContent>
                      </v:textbox>
                    </v:shape>
                    <v:shape id="TextBox 122" o:spid="_x0000_s1037" type="#_x0000_t202" alt="&quot;&quot;" style="position:absolute;left:13348;top:41199;width:31527;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" fillcolor="white [3212]" strokecolor="black [3213]">
                      <v:textbox>
                        <w:txbxContent>
                          <w:p w14:paraId="3C09FC6F" w14:textId="2EC82123" w:rsidR="00962ABB" w:rsidRPr="00651196" w:rsidRDefault="00962ABB" w:rsidP="006A3B30">
                            <w:pPr>
                              <w:spacing w:after="100"/>
                              <w:jc w:val="center"/>
                              <w:rPr>
                                <w:rFonts w:cs="Arial"/>
                                <w:b/>
                                <w:bCs/>
                                <w:color w:val="000000"/>
                                <w:kern w:val="24"/>
                                <w:sz w:val="19"/>
                                <w:szCs w:val="19"/>
                                <w:u w:val="single"/>
                              </w:rPr>
                            </w:pPr>
                            <w:r w:rsidRPr="00651196">
                              <w:rPr>
                                <w:rFonts w:cs="Arial"/>
                                <w:b/>
                                <w:bCs/>
                                <w:color w:val="000000"/>
                                <w:kern w:val="24"/>
                                <w:sz w:val="19"/>
                                <w:szCs w:val="19"/>
                                <w:u w:val="single"/>
                              </w:rPr>
                              <w:t>Acco</w:t>
                            </w:r>
                            <w:r>
                              <w:rPr>
                                <w:rFonts w:cs="Arial"/>
                                <w:b/>
                                <w:bCs/>
                                <w:color w:val="000000"/>
                                <w:kern w:val="24"/>
                                <w:sz w:val="19"/>
                                <w:szCs w:val="19"/>
                                <w:u w:val="single"/>
                              </w:rPr>
                              <w:t>unting policy assessment step 1</w:t>
                            </w:r>
                          </w:p>
                          <w:p w14:paraId="6625F61B" w14:textId="77777777" w:rsidR="00962ABB" w:rsidRPr="00651196" w:rsidRDefault="00962ABB" w:rsidP="00157038">
                            <w:pPr>
                              <w:jc w:val="center"/>
                              <w:rPr>
                                <w:sz w:val="19"/>
                                <w:szCs w:val="19"/>
                              </w:rPr>
                            </w:pPr>
                            <w:r w:rsidRPr="00651196">
                              <w:rPr>
                                <w:rFonts w:cs="Arial"/>
                                <w:color w:val="000000"/>
                                <w:kern w:val="24"/>
                                <w:sz w:val="19"/>
                                <w:szCs w:val="19"/>
                              </w:rPr>
                              <w:t xml:space="preserve">Assess whether each material accounting policy applied and disclosed in the financial statements complies with </w:t>
                            </w:r>
                            <w:r w:rsidRPr="00651196">
                              <w:rPr>
                                <w:sz w:val="19"/>
                                <w:szCs w:val="19"/>
                              </w:rPr>
                              <w:t xml:space="preserve">all the recognition and measurement requirements in </w:t>
                            </w:r>
                            <w:r w:rsidRPr="00651196">
                              <w:rPr>
                                <w:rFonts w:cs="Arial"/>
                                <w:color w:val="000000"/>
                                <w:kern w:val="24"/>
                                <w:sz w:val="19"/>
                                <w:szCs w:val="19"/>
                              </w:rPr>
                              <w:t xml:space="preserve">Australian Accounting Standards </w:t>
                            </w:r>
                            <w:r w:rsidRPr="00651196">
                              <w:rPr>
                                <w:sz w:val="19"/>
                                <w:szCs w:val="19"/>
                              </w:rPr>
                              <w:t>(except for requirements set out in AASB 10 or AASB 128)</w:t>
                            </w:r>
                            <w:r w:rsidRPr="00651196">
                              <w:rPr>
                                <w:rFonts w:cs="Arial"/>
                                <w:color w:val="000000"/>
                                <w:kern w:val="24"/>
                                <w:sz w:val="19"/>
                                <w:szCs w:val="19"/>
                              </w:rPr>
                              <w:t>.</w:t>
                            </w:r>
                          </w:p>
                        </w:txbxContent>
                      </v:textbox>
                    </v:shape>
                    <v:shapetype id="_x0000_t33" coordsize="21600,21600" o:spt="33" o:oned="t" path="m,l21600,r,21600e" filled="f">
                      <v:stroke joinstyle="miter"/>
                      <v:path arrowok="t" fillok="f" o:connecttype="none"/>
                      <o:lock v:ext="edit" shapetype="t"/>
                    </v:shapetype>
                    <v:shape id="Connector: Elbow 42" o:spid="_x0000_s1038" type="#_x0000_t33" style="position:absolute;left:11696;top:4580;width:3631;height:684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" strokecolor="black [3040]">
                      <v:stroke endarrow="block"/>
                    </v:shape>
                    <v:shape id="Connector: Elbow 45" o:spid="_x0000_s1039" type="#_x0000_t34" style="position:absolute;left:42521;top:4580;width:7609;height:66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" adj="21538" strokecolor="black [3040]">
                      <v:stroke endarrow="block"/>
                    </v:shape>
                    <v:shape id="Straight Arrow Connector 49" o:spid="_x0000_s1040" type="#_x0000_t32" style="position:absolute;left:23393;top:14651;width:168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7LxAAAANsAAAAPAAAAZHJzL2Rvd25yZXYueG1sRI9Ba8JA&#10;FITvBf/D8oTemk1KkZ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CKcDsvEAAAA2wAAAA8A&#10;AAAAAAAAAAAAAAAABwIAAGRycy9kb3ducmV2LnhtbFBLBQYAAAAAAwADALcAAAD4AgAAAAA=&#10;" strokecolor="black [3040]">
                      <v:stroke endarrow="block"/>
                    </v:shape>
                    <v:shape id="Straight Arrow Connector 50" o:spid="_x0000_s1041" type="#_x0000_t32" style="position:absolute;left:11699;top:17783;width:23;height:4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" strokecolor="black [3040]">
                      <v:stroke endarrow="block"/>
                    </v:shape>
                    <v:shape id="Straight Arrow Connector 53" o:spid="_x0000_s1042" type="#_x0000_t32" style="position:absolute;left:11722;top:30398;width:45;height:2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" strokecolor="black [3040]">
                      <v:stroke endarrow="block"/>
                    </v:shape>
                    <v:shape id="Connector: Elbow 55" o:spid="_x0000_s1043" type="#_x0000_t33" style="position:absolute;left:23393;top:26238;width:11986;height:27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" strokecolor="black [3040]">
                      <v:stroke endarrow="block"/>
                    </v:shape>
                    <v:shape id="Straight Arrow Connector 56" o:spid="_x0000_s1044" type="#_x0000_t32" style="position:absolute;left:35379;top:35272;width:19;height:5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" strokecolor="black [3040]">
                      <v:stroke endarrow="block"/>
                      <o:lock v:ext="edit" shapetype="f"/>
                    </v:shape>
                    <v:shape id="TextBox 78" o:spid="_x0000_s1045" type="#_x0000_t116" alt="&quot;&quot;" style="position:absolute;left:41773;top:21089;width:16713;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" filled="f" strokecolor="black [3213]">
                      <v:textbox inset="0,0,0,0">
                        <w:txbxContent>
                          <w:p w14:paraId="595F4419" w14:textId="77777777" w:rsidR="00962ABB" w:rsidRPr="00651196" w:rsidRDefault="00962ABB" w:rsidP="00157038">
                            <w:pPr>
                              <w:jc w:val="center"/>
                              <w:rPr>
                                <w:sz w:val="19"/>
                                <w:szCs w:val="19"/>
                              </w:rPr>
                            </w:pPr>
                            <w:r w:rsidRPr="00651196">
                              <w:rPr>
                                <w:rFonts w:cs="Arial"/>
                                <w:color w:val="000000"/>
                                <w:kern w:val="24"/>
                                <w:sz w:val="19"/>
                                <w:szCs w:val="19"/>
                              </w:rPr>
                              <w:t>Disclose that fact (paragraph 9A(b) – see example 2)</w:t>
                            </w:r>
                          </w:p>
                        </w:txbxContent>
                      </v:textbox>
                    </v:shape>
                    <v:shape id="Connector: Elbow 59" o:spid="_x0000_s1046" type="#_x0000_t33" style="position:absolute;left:38243;top:33995;width:18519;height:52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" strokecolor="black [3040]">
                      <v:stroke endarrow="block"/>
                    </v:shape>
                    <v:shape id="TextBox 35" o:spid="_x0000_s1047" type="#_x0000_t202" style="position:absolute;left:5609;top:1981;width:1574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36C44834" w14:textId="77777777" w:rsidR="00962ABB" w:rsidRPr="00651196" w:rsidRDefault="00962ABB" w:rsidP="00157038">
                            <w:pPr>
                              <w:jc w:val="center"/>
                              <w:rPr>
                                <w:sz w:val="19"/>
                                <w:szCs w:val="19"/>
                              </w:rPr>
                            </w:pPr>
                            <w:r w:rsidRPr="00651196">
                              <w:rPr>
                                <w:rFonts w:cs="Arial"/>
                                <w:color w:val="000000"/>
                                <w:kern w:val="24"/>
                                <w:sz w:val="19"/>
                                <w:szCs w:val="19"/>
                              </w:rPr>
                              <w:t>Yes</w:t>
                            </w:r>
                          </w:p>
                        </w:txbxContent>
                      </v:textbox>
                    </v:shape>
                    <v:shape id="TextBox 35" o:spid="_x0000_s1048" type="#_x0000_t202" alt="&quot;&quot;" style="position:absolute;left:35992;top:12343;width:4743;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2312B38E" w14:textId="77777777" w:rsidR="00962ABB" w:rsidRPr="00651196" w:rsidRDefault="00962ABB" w:rsidP="00157038">
                            <w:pPr>
                              <w:jc w:val="center"/>
                              <w:rPr>
                                <w:sz w:val="19"/>
                                <w:szCs w:val="19"/>
                              </w:rPr>
                            </w:pPr>
                            <w:r w:rsidRPr="00651196">
                              <w:rPr>
                                <w:rFonts w:cs="Arial"/>
                                <w:color w:val="000000"/>
                                <w:kern w:val="24"/>
                                <w:sz w:val="19"/>
                                <w:szCs w:val="19"/>
                              </w:rPr>
                              <w:t>Yes</w:t>
                            </w:r>
                          </w:p>
                        </w:txbxContent>
                      </v:textbox>
                    </v:shape>
                    <v:shape id="TextBox 35" o:spid="_x0000_s1049" type="#_x0000_t202" style="position:absolute;left:5426;top:18915;width:15748;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F7F1F10" w14:textId="77777777" w:rsidR="00962ABB" w:rsidRPr="00651196" w:rsidRDefault="00962ABB" w:rsidP="00157038">
                            <w:pPr>
                              <w:jc w:val="center"/>
                              <w:rPr>
                                <w:sz w:val="19"/>
                                <w:szCs w:val="19"/>
                              </w:rPr>
                            </w:pPr>
                            <w:r w:rsidRPr="00651196">
                              <w:rPr>
                                <w:rFonts w:cs="Arial"/>
                                <w:color w:val="000000"/>
                                <w:kern w:val="24"/>
                                <w:sz w:val="19"/>
                                <w:szCs w:val="19"/>
                              </w:rPr>
                              <w:t>Yes</w:t>
                            </w:r>
                          </w:p>
                        </w:txbxContent>
                      </v:textbox>
                    </v:shape>
                    <v:shape id="TextBox 35" o:spid="_x0000_s1050" type="#_x0000_t202" alt="Information relating to table" style="position:absolute;left:17178;top:24180;width:15748;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6AD75F6F" w14:textId="77777777" w:rsidR="00962ABB" w:rsidRPr="00651196" w:rsidRDefault="00962ABB" w:rsidP="00157038">
                            <w:pPr>
                              <w:jc w:val="center"/>
                              <w:rPr>
                                <w:sz w:val="19"/>
                                <w:szCs w:val="19"/>
                              </w:rPr>
                            </w:pPr>
                            <w:r w:rsidRPr="00651196">
                              <w:rPr>
                                <w:rFonts w:cs="Arial"/>
                                <w:color w:val="000000"/>
                                <w:kern w:val="24"/>
                                <w:sz w:val="19"/>
                                <w:szCs w:val="19"/>
                              </w:rPr>
                              <w:t>Yes</w:t>
                            </w:r>
                          </w:p>
                        </w:txbxContent>
                      </v:textbox>
                    </v:shape>
                    <v:shape id="TextBox 61" o:spid="_x0000_s1051" type="#_x0000_t202" alt="Information relating to table" style="position:absolute;left:41847;top:1980;width:4354;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63750F1F" w14:textId="77777777" w:rsidR="00962ABB" w:rsidRPr="00651196" w:rsidRDefault="00962ABB" w:rsidP="00157038">
                            <w:pPr>
                              <w:jc w:val="center"/>
                              <w:rPr>
                                <w:sz w:val="19"/>
                                <w:szCs w:val="19"/>
                              </w:rPr>
                            </w:pPr>
                            <w:r w:rsidRPr="00651196">
                              <w:rPr>
                                <w:rFonts w:cs="Arial"/>
                                <w:color w:val="000000"/>
                                <w:kern w:val="24"/>
                                <w:sz w:val="19"/>
                                <w:szCs w:val="19"/>
                              </w:rPr>
                              <w:t>No</w:t>
                            </w:r>
                          </w:p>
                        </w:txbxContent>
                      </v:textbox>
                    </v:shape>
                    <v:shape id="TextBox 61" o:spid="_x0000_s1052" type="#_x0000_t202" style="position:absolute;left:49830;top:18783;width:3941;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1CD20463" w14:textId="77777777" w:rsidR="00962ABB" w:rsidRPr="00651196" w:rsidRDefault="00962ABB" w:rsidP="00157038">
                            <w:pPr>
                              <w:jc w:val="center"/>
                              <w:rPr>
                                <w:sz w:val="19"/>
                                <w:szCs w:val="19"/>
                              </w:rPr>
                            </w:pPr>
                            <w:r w:rsidRPr="00651196">
                              <w:rPr>
                                <w:rFonts w:cs="Arial"/>
                                <w:color w:val="000000"/>
                                <w:kern w:val="24"/>
                                <w:sz w:val="19"/>
                                <w:szCs w:val="19"/>
                              </w:rPr>
                              <w:t>No</w:t>
                            </w:r>
                          </w:p>
                        </w:txbxContent>
                      </v:textbox>
                    </v:shape>
                    <v:shape id="TextBox 61" o:spid="_x0000_s1053" type="#_x0000_t202" style="position:absolute;left:7809;top:30753;width:10989;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3FFF0190" w14:textId="77777777" w:rsidR="00962ABB" w:rsidRPr="00651196" w:rsidRDefault="00962ABB" w:rsidP="00157038">
                            <w:pPr>
                              <w:jc w:val="center"/>
                              <w:rPr>
                                <w:sz w:val="19"/>
                                <w:szCs w:val="19"/>
                              </w:rPr>
                            </w:pPr>
                            <w:r w:rsidRPr="00651196">
                              <w:rPr>
                                <w:rFonts w:cs="Arial"/>
                                <w:color w:val="000000"/>
                                <w:kern w:val="24"/>
                                <w:sz w:val="19"/>
                                <w:szCs w:val="19"/>
                              </w:rPr>
                              <w:t>No</w:t>
                            </w:r>
                          </w:p>
                        </w:txbxContent>
                      </v:textbox>
                    </v:shape>
                    <v:shape id="Connector: Elbow 211" o:spid="_x0000_s1054" type="#_x0000_t34" alt="Connector" style="position:absolute;top:14602;width:13348;height:3128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" adj="-3752" strokecolor="black [3040]">
                      <v:stroke endarrow="block"/>
                      <o:lock v:ext="edit" shapetype="f"/>
                    </v:shape>
                    <v:shape id="TextBox 36" o:spid="_x0000_s1055" type="#_x0000_t202" alt="&quot;&quot;" style="position:absolute;left:40290;top:11270;width:1967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" filled="f" strokecolor="black [3213]">
                      <v:textbox>
                        <w:txbxContent>
                          <w:p w14:paraId="34EBC29C" w14:textId="77777777" w:rsidR="00962ABB" w:rsidRPr="00651196" w:rsidRDefault="00962ABB" w:rsidP="00DE09F6">
                            <w:pPr>
                              <w:spacing w:before="60"/>
                              <w:jc w:val="center"/>
                              <w:rPr>
                                <w:sz w:val="19"/>
                                <w:szCs w:val="19"/>
                              </w:rPr>
                            </w:pPr>
                            <w:r w:rsidRPr="00651196">
                              <w:rPr>
                                <w:rFonts w:cstheme="minorBidi"/>
                                <w:color w:val="000000"/>
                                <w:kern w:val="24"/>
                                <w:sz w:val="19"/>
                                <w:szCs w:val="19"/>
                              </w:rPr>
                              <w:t>Has the entity assessed whether or not its interests in other entities give rise to interests in subsidiaries,</w:t>
                            </w:r>
                            <w:r w:rsidRPr="00651196">
                              <w:rPr>
                                <w:rFonts w:cstheme="minorBidi"/>
                                <w:color w:val="000000" w:themeColor="text1"/>
                                <w:kern w:val="24"/>
                                <w:sz w:val="19"/>
                                <w:szCs w:val="19"/>
                                <w:u w:val="single"/>
                              </w:rPr>
                              <w:t xml:space="preserve"> </w:t>
                            </w:r>
                            <w:r w:rsidRPr="00651196">
                              <w:rPr>
                                <w:rFonts w:cstheme="minorBidi"/>
                                <w:color w:val="000000"/>
                                <w:kern w:val="24"/>
                                <w:sz w:val="19"/>
                                <w:szCs w:val="19"/>
                              </w:rPr>
                              <w:t>associates or joint ventures?</w:t>
                            </w:r>
                          </w:p>
                        </w:txbxContent>
                      </v:textbox>
                    </v:shape>
                  </v:group>
                  <v:group id="Group 23" o:spid="_x0000_s1056" alt="Chart part 2" style="position:absolute;top:50518;width:68675;height:34602" coordorigin="-1956,-403" coordsize="68696,27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Straight Arrow Connector 223" o:spid="_x0000_s1057" type="#_x0000_t32" style="position:absolute;left:33010;top:10317;width:8;height:24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" strokecolor="black [3040]">
                      <v:stroke endarrow="block"/>
                      <o:lock v:ext="edit" shapetype="f"/>
                    </v:shape>
                    <v:group id="Group 212" o:spid="_x0000_s1058" style="position:absolute;left:-1956;top:1514;width:68695;height:25646" coordorigin="-1956,1514" coordsize="68696,2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TextBox 126" o:spid="_x0000_s1059" type="#_x0000_t116" alt="&quot;&quot;" style="position:absolute;left:-1956;top:3840;width:20514;height:7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" filled="f" strokecolor="black [3213]">
                        <v:textbox inset="0,0,0,0">
                          <w:txbxContent>
                            <w:p w14:paraId="5395B795" w14:textId="4EAC1029" w:rsidR="00962ABB" w:rsidRPr="00651196" w:rsidRDefault="00962ABB" w:rsidP="00157038">
                              <w:pPr>
                                <w:jc w:val="center"/>
                                <w:rPr>
                                  <w:sz w:val="19"/>
                                  <w:szCs w:val="19"/>
                                </w:rPr>
                              </w:pPr>
                              <w:r w:rsidRPr="00651196">
                                <w:rPr>
                                  <w:rFonts w:cs="Arial"/>
                                  <w:color w:val="000000"/>
                                  <w:kern w:val="24"/>
                                  <w:sz w:val="19"/>
                                  <w:szCs w:val="19"/>
                                </w:rPr>
                                <w:t xml:space="preserve">For each material accounting policy, no disclosure of compliance is required (paragraph 9A(c) – </w:t>
                              </w:r>
                              <w:r>
                                <w:rPr>
                                  <w:rFonts w:cs="Arial"/>
                                  <w:color w:val="000000"/>
                                  <w:kern w:val="24"/>
                                  <w:sz w:val="19"/>
                                  <w:szCs w:val="19"/>
                                </w:rPr>
                                <w:br/>
                              </w:r>
                              <w:r w:rsidRPr="00651196">
                                <w:rPr>
                                  <w:rFonts w:cs="Arial"/>
                                  <w:color w:val="000000"/>
                                  <w:kern w:val="24"/>
                                  <w:sz w:val="19"/>
                                  <w:szCs w:val="19"/>
                                </w:rPr>
                                <w:t>see examples 1, 2 &amp; 3)</w:t>
                              </w:r>
                            </w:p>
                          </w:txbxContent>
                        </v:textbox>
                      </v:shape>
                      <v:shape id="TextBox 126" o:spid="_x0000_s1060" type="#_x0000_t116" alt="&quot;&quot;" style="position:absolute;left:46902;top:3836;width:19837;height:7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" filled="f" strokecolor="black [3213]">
                        <v:textbox inset="0,0,0,0">
                          <w:txbxContent>
                            <w:p w14:paraId="31B0B1F6" w14:textId="64641142" w:rsidR="00962ABB" w:rsidRPr="00651196" w:rsidRDefault="00962ABB" w:rsidP="00157038">
                              <w:pPr>
                                <w:jc w:val="center"/>
                                <w:rPr>
                                  <w:sz w:val="19"/>
                                  <w:szCs w:val="19"/>
                                </w:rPr>
                              </w:pPr>
                              <w:r w:rsidRPr="00651196">
                                <w:rPr>
                                  <w:rFonts w:cs="Arial"/>
                                  <w:color w:val="000000"/>
                                  <w:kern w:val="24"/>
                                  <w:sz w:val="19"/>
                                  <w:szCs w:val="19"/>
                                </w:rPr>
                                <w:t xml:space="preserve">For each material accounting policy, disclose the non-assessment (paragraph 9A(c) – see </w:t>
                              </w:r>
                              <w:r w:rsidR="0030228A">
                                <w:rPr>
                                  <w:rFonts w:cs="Arial"/>
                                  <w:color w:val="000000"/>
                                  <w:kern w:val="24"/>
                                  <w:sz w:val="19"/>
                                  <w:szCs w:val="19"/>
                                </w:rPr>
                                <w:br/>
                              </w:r>
                              <w:r w:rsidRPr="00651196">
                                <w:rPr>
                                  <w:rFonts w:cs="Arial"/>
                                  <w:color w:val="000000"/>
                                  <w:kern w:val="24"/>
                                  <w:sz w:val="19"/>
                                  <w:szCs w:val="19"/>
                                </w:rPr>
                                <w:t>examples 6 &amp; 7)</w:t>
                              </w:r>
                            </w:p>
                          </w:txbxContent>
                        </v:textbox>
                      </v:shape>
                      <v:shape id="TextBox 130" o:spid="_x0000_s1061" type="#_x0000_t202" alt="&quot;&quot;" style="position:absolute;left:10774;top:12755;width:43266;height:14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" filled="f" strokecolor="black [3213]">
                        <v:textbox inset="0,0,0,0">
                          <w:txbxContent>
                            <w:p w14:paraId="62A7F43F" w14:textId="77777777" w:rsidR="00962ABB" w:rsidRPr="00651196" w:rsidRDefault="00962ABB" w:rsidP="00157038">
                              <w:pPr>
                                <w:spacing w:before="100" w:after="100"/>
                                <w:ind w:left="142" w:right="80"/>
                                <w:jc w:val="center"/>
                                <w:rPr>
                                  <w:rFonts w:cs="Arial"/>
                                  <w:b/>
                                  <w:bCs/>
                                  <w:color w:val="000000"/>
                                  <w:kern w:val="24"/>
                                  <w:sz w:val="19"/>
                                  <w:szCs w:val="19"/>
                                  <w:u w:val="single"/>
                                </w:rPr>
                              </w:pPr>
                              <w:r w:rsidRPr="00651196">
                                <w:rPr>
                                  <w:rFonts w:cs="Arial"/>
                                  <w:b/>
                                  <w:bCs/>
                                  <w:color w:val="000000"/>
                                  <w:kern w:val="24"/>
                                  <w:sz w:val="19"/>
                                  <w:szCs w:val="19"/>
                                  <w:u w:val="single"/>
                                </w:rPr>
                                <w:t>Accounting policy assessment step 2</w:t>
                              </w:r>
                            </w:p>
                            <w:p w14:paraId="6051F278" w14:textId="77777777" w:rsidR="00962ABB" w:rsidRPr="00651196" w:rsidRDefault="00962ABB" w:rsidP="00157038">
                              <w:pPr>
                                <w:spacing w:before="100" w:after="100"/>
                                <w:ind w:left="142" w:right="80"/>
                                <w:rPr>
                                  <w:sz w:val="19"/>
                                  <w:szCs w:val="19"/>
                                </w:rPr>
                              </w:pPr>
                              <w:r w:rsidRPr="00651196">
                                <w:rPr>
                                  <w:rFonts w:cs="Arial"/>
                                  <w:color w:val="000000"/>
                                  <w:kern w:val="24"/>
                                  <w:sz w:val="19"/>
                                  <w:szCs w:val="19"/>
                                </w:rPr>
                                <w:t xml:space="preserve">Based on the accounting policy assessment in step 1, </w:t>
                              </w:r>
                              <w:r w:rsidRPr="00651196">
                                <w:rPr>
                                  <w:rFonts w:ascii="Times" w:hAnsi="Times" w:cstheme="minorBidi"/>
                                  <w:color w:val="000000" w:themeColor="text1"/>
                                  <w:kern w:val="24"/>
                                  <w:sz w:val="19"/>
                                  <w:szCs w:val="19"/>
                                </w:rPr>
                                <w:t xml:space="preserve">with regard to the recognition and measurement requirements in Australian Accounting Standards </w:t>
                              </w:r>
                              <w:r w:rsidRPr="00651196">
                                <w:rPr>
                                  <w:sz w:val="19"/>
                                  <w:szCs w:val="19"/>
                                </w:rPr>
                                <w:t>(except for requirements set out in AASB 10 or AASB 128)</w:t>
                              </w:r>
                              <w:r w:rsidRPr="00651196">
                                <w:rPr>
                                  <w:rFonts w:ascii="Times" w:hAnsi="Times" w:cstheme="minorBidi"/>
                                  <w:color w:val="000000" w:themeColor="text1"/>
                                  <w:kern w:val="24"/>
                                  <w:sz w:val="19"/>
                                  <w:szCs w:val="19"/>
                                </w:rPr>
                                <w:t>, disclose whether or not the financial statements overall (paragraph 9A(d)):</w:t>
                              </w:r>
                            </w:p>
                            <w:p w14:paraId="42CFE0C7" w14:textId="77777777" w:rsidR="00962ABB" w:rsidRPr="00651196" w:rsidRDefault="00962ABB" w:rsidP="00331C77">
                              <w:pPr>
                                <w:pStyle w:val="ListParagraph"/>
                                <w:numPr>
                                  <w:ilvl w:val="0"/>
                                  <w:numId w:val="18"/>
                                </w:numPr>
                                <w:pBdr>
                                  <w:left w:val="none" w:sz="0" w:space="0" w:color="auto"/>
                                  <w:right w:val="none" w:sz="0" w:space="0" w:color="auto"/>
                                </w:pBdr>
                                <w:tabs>
                                  <w:tab w:val="clear" w:pos="720"/>
                                </w:tabs>
                                <w:spacing w:after="0"/>
                                <w:ind w:left="652" w:right="79" w:hanging="510"/>
                                <w:rPr>
                                  <w:szCs w:val="19"/>
                                </w:rPr>
                              </w:pPr>
                              <w:r w:rsidRPr="00651196">
                                <w:rPr>
                                  <w:rFonts w:ascii="Times" w:hAnsi="Times" w:cstheme="minorBidi"/>
                                  <w:color w:val="000000" w:themeColor="text1"/>
                                  <w:kern w:val="24"/>
                                  <w:szCs w:val="19"/>
                                </w:rPr>
                                <w:t xml:space="preserve">comply (there are </w:t>
                              </w:r>
                              <w:r w:rsidRPr="00651196">
                                <w:rPr>
                                  <w:rFonts w:ascii="Times" w:hAnsi="Times" w:cstheme="minorBidi"/>
                                  <w:bCs/>
                                  <w:color w:val="000000" w:themeColor="text1"/>
                                  <w:kern w:val="24"/>
                                  <w:szCs w:val="19"/>
                                </w:rPr>
                                <w:t>no</w:t>
                              </w:r>
                              <w:r w:rsidRPr="00651196">
                                <w:rPr>
                                  <w:rFonts w:ascii="Times" w:hAnsi="Times" w:cstheme="minorBidi"/>
                                  <w:color w:val="000000" w:themeColor="text1"/>
                                  <w:kern w:val="24"/>
                                  <w:szCs w:val="19"/>
                                </w:rPr>
                                <w:t xml:space="preserve"> instances of non-compliance or non-assessment) – see examples 1, 2 &amp; 3;</w:t>
                              </w:r>
                            </w:p>
                            <w:p w14:paraId="3BEEFD72" w14:textId="77777777" w:rsidR="00962ABB" w:rsidRPr="00651196" w:rsidRDefault="00962ABB" w:rsidP="00331C77">
                              <w:pPr>
                                <w:pStyle w:val="ListParagraph"/>
                                <w:numPr>
                                  <w:ilvl w:val="0"/>
                                  <w:numId w:val="18"/>
                                </w:numPr>
                                <w:pBdr>
                                  <w:left w:val="none" w:sz="0" w:space="0" w:color="auto"/>
                                  <w:right w:val="none" w:sz="0" w:space="0" w:color="auto"/>
                                </w:pBdr>
                                <w:tabs>
                                  <w:tab w:val="clear" w:pos="720"/>
                                </w:tabs>
                                <w:spacing w:after="0"/>
                                <w:ind w:left="652" w:right="79" w:hanging="510"/>
                                <w:rPr>
                                  <w:szCs w:val="19"/>
                                </w:rPr>
                              </w:pPr>
                              <w:r w:rsidRPr="00651196">
                                <w:rPr>
                                  <w:rFonts w:ascii="Times" w:hAnsi="Times" w:cstheme="minorBidi"/>
                                  <w:color w:val="000000" w:themeColor="text1"/>
                                  <w:kern w:val="24"/>
                                  <w:szCs w:val="19"/>
                                </w:rPr>
                                <w:t>do not comply (there are one or more instances of non-compliance) – see examples 4, 5 &amp; 6; or</w:t>
                              </w:r>
                            </w:p>
                            <w:p w14:paraId="5A7DDF5F" w14:textId="77777777" w:rsidR="00962ABB" w:rsidRPr="00651196" w:rsidRDefault="00962ABB" w:rsidP="00331C77">
                              <w:pPr>
                                <w:pStyle w:val="ListParagraph"/>
                                <w:numPr>
                                  <w:ilvl w:val="0"/>
                                  <w:numId w:val="18"/>
                                </w:numPr>
                                <w:pBdr>
                                  <w:left w:val="none" w:sz="0" w:space="0" w:color="auto"/>
                                  <w:right w:val="none" w:sz="0" w:space="0" w:color="auto"/>
                                </w:pBdr>
                                <w:tabs>
                                  <w:tab w:val="clear" w:pos="720"/>
                                </w:tabs>
                                <w:spacing w:after="0"/>
                                <w:ind w:left="652" w:right="79" w:hanging="510"/>
                                <w:rPr>
                                  <w:szCs w:val="19"/>
                                </w:rPr>
                              </w:pPr>
                              <w:r w:rsidRPr="00651196">
                                <w:rPr>
                                  <w:rFonts w:ascii="Times" w:hAnsi="Times" w:cstheme="minorBidi"/>
                                  <w:color w:val="000000" w:themeColor="text1"/>
                                  <w:kern w:val="24"/>
                                  <w:szCs w:val="19"/>
                                </w:rPr>
                                <w:t>compliance has not been assessed (there are one or more instances where compliance / non-compliance have not been assessed) – see examples 6 &amp; 7.</w:t>
                              </w:r>
                            </w:p>
                          </w:txbxContent>
                        </v:textbox>
                      </v:shape>
                      <v:shape id="Connector: Elbow 218" o:spid="_x0000_s1062" type="#_x0000_t33" style="position:absolute;left:5385;top:14568;width:8304;height:24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" strokecolor="black [3040]">
                        <v:stroke endarrow="block"/>
                        <o:lock v:ext="edit" shapetype="f"/>
                      </v:shape>
                      <v:shape id="Connector: Elbow 219" o:spid="_x0000_s1063" type="#_x0000_t33" style="position:absolute;left:51320;top:14458;width:8219;height:27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" strokecolor="black [3040]">
                        <v:stroke endarrow="block"/>
                        <o:lock v:ext="edit" shapetype="f"/>
                      </v:shape>
                      <v:shape id="TextBox 130" o:spid="_x0000_s1064" type="#_x0000_t116" alt="&quot;&quot;" style="position:absolute;left:21750;top:3838;width:22536;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" fillcolor="white [3212]" strokecolor="black [3213]">
                        <v:textbox inset="0,0,0,0">
                          <w:txbxContent>
                            <w:p w14:paraId="54EBA085" w14:textId="39F4C392" w:rsidR="00962ABB" w:rsidRPr="00651196" w:rsidRDefault="00962ABB" w:rsidP="001E3D99">
                              <w:pPr>
                                <w:spacing w:before="120"/>
                                <w:jc w:val="center"/>
                                <w:rPr>
                                  <w:sz w:val="19"/>
                                  <w:szCs w:val="19"/>
                                </w:rPr>
                              </w:pPr>
                              <w:r w:rsidRPr="00651196">
                                <w:rPr>
                                  <w:rFonts w:cs="Arial"/>
                                  <w:color w:val="000000"/>
                                  <w:kern w:val="24"/>
                                  <w:sz w:val="19"/>
                                  <w:szCs w:val="19"/>
                                </w:rPr>
                                <w:t xml:space="preserve">For each material accounting policy, disclose an indication of how the policy does not comply (paragraph 9A(c) – </w:t>
                              </w:r>
                              <w:r>
                                <w:rPr>
                                  <w:rFonts w:cs="Arial"/>
                                  <w:color w:val="000000"/>
                                  <w:kern w:val="24"/>
                                  <w:sz w:val="19"/>
                                  <w:szCs w:val="19"/>
                                </w:rPr>
                                <w:br/>
                              </w:r>
                              <w:r w:rsidRPr="00651196">
                                <w:rPr>
                                  <w:rFonts w:cs="Arial"/>
                                  <w:color w:val="000000"/>
                                  <w:kern w:val="24"/>
                                  <w:sz w:val="19"/>
                                  <w:szCs w:val="19"/>
                                </w:rPr>
                                <w:t>see examples 4, 5 &amp; 6)</w:t>
                              </w:r>
                            </w:p>
                          </w:txbxContent>
                        </v:textbox>
                      </v:shape>
                      <v:shape id="TextBox 127" o:spid="_x0000_s1065" type="#_x0000_t202" style="position:absolute;left:7462;top:1582;width:7936;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6E7A0021" w14:textId="77777777" w:rsidR="00962ABB" w:rsidRPr="00651196" w:rsidRDefault="00962ABB" w:rsidP="00157038">
                              <w:pPr>
                                <w:jc w:val="center"/>
                                <w:rPr>
                                  <w:sz w:val="19"/>
                                  <w:szCs w:val="19"/>
                                </w:rPr>
                              </w:pPr>
                              <w:r w:rsidRPr="00651196">
                                <w:rPr>
                                  <w:rFonts w:cs="Arial"/>
                                  <w:color w:val="000000"/>
                                  <w:kern w:val="24"/>
                                  <w:sz w:val="19"/>
                                  <w:szCs w:val="19"/>
                                </w:rPr>
                                <w:t>Complies</w:t>
                              </w:r>
                            </w:p>
                          </w:txbxContent>
                        </v:textbox>
                      </v:shape>
                      <v:shape id="TextBox 132" o:spid="_x0000_s1066" type="#_x0000_t202" style="position:absolute;left:32771;top:1582;width:1053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5963EED1" w14:textId="77777777" w:rsidR="00962ABB" w:rsidRPr="00651196" w:rsidRDefault="00962ABB" w:rsidP="00157038">
                              <w:pPr>
                                <w:jc w:val="center"/>
                                <w:rPr>
                                  <w:sz w:val="19"/>
                                  <w:szCs w:val="19"/>
                                </w:rPr>
                              </w:pPr>
                              <w:r w:rsidRPr="00651196">
                                <w:rPr>
                                  <w:rFonts w:cs="Arial"/>
                                  <w:color w:val="000000"/>
                                  <w:kern w:val="24"/>
                                  <w:sz w:val="19"/>
                                  <w:szCs w:val="19"/>
                                </w:rPr>
                                <w:t>Does not comply</w:t>
                              </w:r>
                            </w:p>
                          </w:txbxContent>
                        </v:textbox>
                      </v:shape>
                      <v:shape id="TextBox 132" o:spid="_x0000_s1067" type="#_x0000_t202" style="position:absolute;left:48263;top:1514;width:9091;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69CDB971" w14:textId="77777777" w:rsidR="00962ABB" w:rsidRPr="00651196" w:rsidRDefault="00962ABB" w:rsidP="00157038">
                              <w:pPr>
                                <w:jc w:val="center"/>
                                <w:rPr>
                                  <w:sz w:val="19"/>
                                  <w:szCs w:val="19"/>
                                </w:rPr>
                              </w:pPr>
                              <w:r w:rsidRPr="00651196">
                                <w:rPr>
                                  <w:rFonts w:cs="Arial"/>
                                  <w:color w:val="000000"/>
                                  <w:kern w:val="24"/>
                                  <w:sz w:val="19"/>
                                  <w:szCs w:val="19"/>
                                </w:rPr>
                                <w:t>Not assessed</w:t>
                              </w:r>
                            </w:p>
                          </w:txbxContent>
                        </v:textbox>
                      </v:shape>
                    </v:group>
                    <v:shape id="Connector: Elbow 224" o:spid="_x0000_s1068" type="#_x0000_t33" style="position:absolute;left:8303;top:995;width:24715;height:289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" strokecolor="black [3040]">
                      <v:stroke endarrow="block"/>
                      <o:lock v:ext="edit" shapetype="f"/>
                    </v:shape>
                    <v:shape id="Straight Arrow Connector 225" o:spid="_x0000_s1069" type="#_x0000_t32" style="position:absolute;left:33018;top:-403;width:0;height:4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" strokecolor="black [3040]">
                      <v:stroke endarrow="block"/>
                      <o:lock v:ext="edit" shapetype="f"/>
                    </v:shape>
                    <v:shape id="Connector: Elbow 226" o:spid="_x0000_s1070" type="#_x0000_t34" style="position:absolute;left:33018;top:1012;width:23864;height:28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" adj="21586" strokecolor="black [3040]">
                      <v:stroke endarrow="block"/>
                      <o:lock v:ext="edit" shapetype="f"/>
                    </v:shape>
                  </v:group>
                </v:group>
                <w10:wrap type="square" anchorx="margin" anchory="margin"/>
              </v:group>
            </w:pict>
          </mc:Fallback>
        </mc:AlternateContent>
      </w:r>
      <w:r w:rsidRPr="00E73C51">
        <w:rPr>
          <w:sz w:val="19"/>
          <w:szCs w:val="19"/>
        </w:rPr>
        <w:t>Chart 1 – Not-for-profit private sector entities preparing special purpose financial statements</w:t>
      </w:r>
    </w:p>
    <w:p w14:paraId="726511DB" w14:textId="77777777" w:rsidR="00157038" w:rsidRPr="00E515D1" w:rsidRDefault="00157038" w:rsidP="00157038">
      <w:pPr>
        <w:pStyle w:val="IASBSectionTitle1NonInd"/>
      </w:pPr>
      <w:bookmarkStart w:id="18" w:name="_Ref22720647"/>
      <w:r>
        <w:lastRenderedPageBreak/>
        <w:t>Disclosure of accounting policies</w:t>
      </w:r>
    </w:p>
    <w:p w14:paraId="2A6AE5E3" w14:textId="77777777" w:rsidR="00157038" w:rsidRPr="003766A0" w:rsidRDefault="00157038" w:rsidP="008F27E0">
      <w:pPr>
        <w:pStyle w:val="ListParagraph"/>
        <w:pBdr>
          <w:left w:val="none" w:sz="0" w:space="0" w:color="auto"/>
          <w:right w:val="none" w:sz="0" w:space="0" w:color="auto"/>
        </w:pBdr>
        <w:spacing w:before="100" w:after="0"/>
        <w:ind w:left="782" w:hanging="782"/>
        <w:contextualSpacing w:val="0"/>
        <w:jc w:val="both"/>
        <w:rPr>
          <w:szCs w:val="19"/>
        </w:rPr>
      </w:pPr>
      <w:bookmarkStart w:id="19" w:name="_Ref24381989"/>
      <w:r>
        <w:t>Not-for-profit private sector e</w:t>
      </w:r>
      <w:r w:rsidRPr="003766A0">
        <w:t>ntities</w:t>
      </w:r>
      <w:r w:rsidRPr="003766A0">
        <w:rPr>
          <w:szCs w:val="19"/>
        </w:rPr>
        <w:t xml:space="preserve"> required to apply AASB 1054 in their special purpose financial statements (including those lodged with ASIC or the ACNC), whether consolidated or unconsolidated, are also required to apply AASB 101 and AASB 108 </w:t>
      </w:r>
      <w:r w:rsidRPr="003766A0">
        <w:rPr>
          <w:i/>
          <w:iCs/>
          <w:szCs w:val="19"/>
        </w:rPr>
        <w:t>Accounting Policies, Changes in Accounting Estimates and Errors</w:t>
      </w:r>
      <w:r w:rsidRPr="003766A0">
        <w:rPr>
          <w:szCs w:val="19"/>
        </w:rPr>
        <w:t>, including:</w:t>
      </w:r>
      <w:bookmarkEnd w:id="16"/>
      <w:bookmarkEnd w:id="17"/>
      <w:bookmarkEnd w:id="18"/>
      <w:bookmarkEnd w:id="19"/>
    </w:p>
    <w:p w14:paraId="6201FB85" w14:textId="77777777" w:rsidR="00157038" w:rsidRPr="003766A0" w:rsidRDefault="00157038" w:rsidP="008F27E0">
      <w:pPr>
        <w:pStyle w:val="ListParagraph"/>
        <w:numPr>
          <w:ilvl w:val="0"/>
          <w:numId w:val="15"/>
        </w:numPr>
        <w:pBdr>
          <w:left w:val="none" w:sz="0" w:space="0" w:color="auto"/>
          <w:right w:val="none" w:sz="0" w:space="0" w:color="auto"/>
        </w:pBdr>
        <w:spacing w:before="100" w:after="0"/>
        <w:ind w:left="1564" w:hanging="782"/>
        <w:contextualSpacing w:val="0"/>
        <w:jc w:val="both"/>
        <w:rPr>
          <w:szCs w:val="19"/>
        </w:rPr>
      </w:pPr>
      <w:r w:rsidRPr="003766A0">
        <w:rPr>
          <w:szCs w:val="19"/>
        </w:rPr>
        <w:t>paragraph 15 of AASB 101, which requires the fair presentation of financial statements;</w:t>
      </w:r>
    </w:p>
    <w:p w14:paraId="011B1727" w14:textId="77777777" w:rsidR="00157038" w:rsidRPr="003766A0" w:rsidRDefault="00157038" w:rsidP="008F27E0">
      <w:pPr>
        <w:pStyle w:val="ListParagraph"/>
        <w:numPr>
          <w:ilvl w:val="0"/>
          <w:numId w:val="15"/>
        </w:numPr>
        <w:pBdr>
          <w:left w:val="none" w:sz="0" w:space="0" w:color="auto"/>
          <w:right w:val="none" w:sz="0" w:space="0" w:color="auto"/>
        </w:pBdr>
        <w:spacing w:before="100" w:after="0"/>
        <w:ind w:left="1564" w:hanging="782"/>
        <w:contextualSpacing w:val="0"/>
        <w:jc w:val="both"/>
        <w:rPr>
          <w:szCs w:val="19"/>
        </w:rPr>
      </w:pPr>
      <w:r w:rsidRPr="003766A0">
        <w:rPr>
          <w:szCs w:val="19"/>
        </w:rPr>
        <w:t>paragraphs 10-12 of AASB 108, which address the selection of accounting policies in the absence of an Australian Accounting Standard that specifically applies to a transaction, other event or condition; and</w:t>
      </w:r>
    </w:p>
    <w:p w14:paraId="0753F3FC" w14:textId="77777777" w:rsidR="00157038" w:rsidRPr="003766A0" w:rsidRDefault="00157038" w:rsidP="008F27E0">
      <w:pPr>
        <w:pStyle w:val="ListParagraph"/>
        <w:numPr>
          <w:ilvl w:val="0"/>
          <w:numId w:val="15"/>
        </w:numPr>
        <w:pBdr>
          <w:left w:val="none" w:sz="0" w:space="0" w:color="auto"/>
          <w:right w:val="none" w:sz="0" w:space="0" w:color="auto"/>
        </w:pBdr>
        <w:spacing w:before="100" w:after="0"/>
        <w:ind w:left="1564" w:hanging="782"/>
        <w:contextualSpacing w:val="0"/>
        <w:jc w:val="both"/>
        <w:rPr>
          <w:szCs w:val="19"/>
        </w:rPr>
      </w:pPr>
      <w:r w:rsidRPr="003766A0">
        <w:rPr>
          <w:szCs w:val="19"/>
        </w:rPr>
        <w:t xml:space="preserve">paragraph 117 of AASB 101, which requires disclosure of significant accounting policies comprising the measurement basis (or bases) and the other accounting policies used that are relevant to an understanding of the financial statements. </w:t>
      </w:r>
    </w:p>
    <w:p w14:paraId="3AC3C298" w14:textId="48F0269B" w:rsidR="00157038" w:rsidRPr="00027D2A" w:rsidRDefault="00157038" w:rsidP="008F27E0">
      <w:pPr>
        <w:pStyle w:val="IASBNormalnparaP"/>
        <w:spacing w:after="0"/>
      </w:pPr>
      <w:r w:rsidRPr="00027D2A">
        <w:t xml:space="preserve">As a result, sufficient information to enable users of special purpose financial statements to obtain an understanding of the accounting policies adopted is required to be disclosed. This includes where an entity has selected and applied accounting policies that differ from the recognition and measurement requirements in Australian Accounting Standards (except for requirements set out in AASB 10 </w:t>
      </w:r>
      <w:r w:rsidRPr="00027D2A">
        <w:rPr>
          <w:i/>
          <w:iCs/>
        </w:rPr>
        <w:t xml:space="preserve">Consolidated Financial </w:t>
      </w:r>
      <w:r w:rsidR="004B23E3" w:rsidRPr="00027D2A">
        <w:rPr>
          <w:i/>
          <w:iCs/>
        </w:rPr>
        <w:t>Statements</w:t>
      </w:r>
      <w:r w:rsidR="004B23E3" w:rsidRPr="00027D2A">
        <w:t xml:space="preserve"> </w:t>
      </w:r>
      <w:r w:rsidRPr="00027D2A">
        <w:t xml:space="preserve">or AASB 128 </w:t>
      </w:r>
      <w:r w:rsidRPr="00027D2A">
        <w:rPr>
          <w:i/>
          <w:iCs/>
        </w:rPr>
        <w:t>Investments in Associates and Joint Ventures</w:t>
      </w:r>
      <w:r w:rsidRPr="00027D2A">
        <w:t>).</w:t>
      </w:r>
    </w:p>
    <w:p w14:paraId="030D2178" w14:textId="77777777" w:rsidR="00157038" w:rsidRPr="00E515D1" w:rsidRDefault="00157038" w:rsidP="00157038">
      <w:pPr>
        <w:pStyle w:val="IASBSectionTitle1NonInd"/>
      </w:pPr>
      <w:bookmarkStart w:id="20" w:name="_Ref21439654"/>
      <w:bookmarkStart w:id="21" w:name="_Ref13033268"/>
      <w:r>
        <w:t xml:space="preserve">Accounting policy assessment step 1:  Assessing compliance with the recognition and measurement requirements in Australian Accounting Standards </w:t>
      </w:r>
      <w:r w:rsidRPr="00134548">
        <w:t>(except for requirements set out in AASB 10 or AASB</w:t>
      </w:r>
      <w:r>
        <w:t> </w:t>
      </w:r>
      <w:r w:rsidRPr="00134548">
        <w:t>128)</w:t>
      </w:r>
      <w:r>
        <w:t xml:space="preserve"> at the accounting policy level</w:t>
      </w:r>
    </w:p>
    <w:p w14:paraId="29C9A51A" w14:textId="77777777" w:rsidR="00157038" w:rsidRPr="006064B8" w:rsidRDefault="00157038" w:rsidP="000C4198">
      <w:pPr>
        <w:pStyle w:val="ListParagraph"/>
        <w:pBdr>
          <w:left w:val="none" w:sz="0" w:space="0" w:color="auto"/>
          <w:right w:val="none" w:sz="0" w:space="0" w:color="auto"/>
        </w:pBdr>
        <w:spacing w:before="100" w:after="0"/>
        <w:ind w:left="782" w:hanging="782"/>
        <w:contextualSpacing w:val="0"/>
        <w:jc w:val="both"/>
        <w:rPr>
          <w:szCs w:val="19"/>
        </w:rPr>
      </w:pPr>
      <w:bookmarkStart w:id="22" w:name="_Ref24382262"/>
      <w:r>
        <w:t>P</w:t>
      </w:r>
      <w:r w:rsidRPr="00C82894">
        <w:t xml:space="preserve">aragraph 9A(c) of </w:t>
      </w:r>
      <w:r>
        <w:t>this Standard</w:t>
      </w:r>
      <w:r w:rsidRPr="00C82894">
        <w:t xml:space="preserve"> requires an entity</w:t>
      </w:r>
      <w:r>
        <w:t>,</w:t>
      </w:r>
      <w:r w:rsidRPr="00C82894">
        <w:t xml:space="preserve"> for each material accounting policy </w:t>
      </w:r>
      <w:r>
        <w:t xml:space="preserve">applied and </w:t>
      </w:r>
      <w:r w:rsidRPr="00BF2A2B">
        <w:t>disclosed in the financial statements</w:t>
      </w:r>
      <w:r>
        <w:t xml:space="preserve"> to first assess, based on already known information, whether that policy complies with the recognition and measurement requirements in </w:t>
      </w:r>
      <w:r w:rsidRPr="00BF2A2B">
        <w:t>Australian Accounting Standards</w:t>
      </w:r>
      <w:r>
        <w:t xml:space="preserve"> (except for requirements set out in AASB 10 or AASB 128), does not comply, or compliance has not been assessed. An entity is not expected to perform a detailed assessment of recognition and measurement differences if that has not already been performed.</w:t>
      </w:r>
      <w:bookmarkEnd w:id="22"/>
    </w:p>
    <w:p w14:paraId="37CFAC3E" w14:textId="77777777" w:rsidR="00157038" w:rsidRPr="00347920" w:rsidRDefault="00157038" w:rsidP="000C4198">
      <w:pPr>
        <w:pStyle w:val="ListParagraph"/>
        <w:pBdr>
          <w:left w:val="none" w:sz="0" w:space="0" w:color="auto"/>
          <w:right w:val="none" w:sz="0" w:space="0" w:color="auto"/>
        </w:pBdr>
        <w:spacing w:before="100" w:after="0"/>
        <w:ind w:left="782" w:hanging="782"/>
        <w:contextualSpacing w:val="0"/>
        <w:jc w:val="both"/>
        <w:rPr>
          <w:szCs w:val="19"/>
        </w:rPr>
      </w:pPr>
      <w:bookmarkStart w:id="23" w:name="_Hlk24363401"/>
      <w:r>
        <w:t>Using those assessments:</w:t>
      </w:r>
    </w:p>
    <w:p w14:paraId="350F902E" w14:textId="77777777" w:rsidR="00157038" w:rsidRPr="00347920" w:rsidRDefault="00157038" w:rsidP="000C4198">
      <w:pPr>
        <w:pStyle w:val="ListParagraph"/>
        <w:numPr>
          <w:ilvl w:val="1"/>
          <w:numId w:val="12"/>
        </w:numPr>
        <w:pBdr>
          <w:left w:val="none" w:sz="0" w:space="0" w:color="auto"/>
          <w:right w:val="none" w:sz="0" w:space="0" w:color="auto"/>
        </w:pBdr>
        <w:spacing w:before="100" w:after="0"/>
        <w:ind w:left="1564" w:hanging="782"/>
        <w:contextualSpacing w:val="0"/>
        <w:jc w:val="both"/>
        <w:rPr>
          <w:szCs w:val="19"/>
        </w:rPr>
      </w:pPr>
      <w:r>
        <w:t xml:space="preserve">an entity </w:t>
      </w:r>
      <w:r w:rsidRPr="000825AE">
        <w:t>disclose</w:t>
      </w:r>
      <w:r>
        <w:t>s for those policies not complying</w:t>
      </w:r>
      <w:r w:rsidRPr="000825AE">
        <w:t xml:space="preserve"> </w:t>
      </w:r>
      <w:r>
        <w:t>with the recognition and measurement requirements in Australian Accounting Standards (except for requirements set out in AASB 10 or AASB 128)</w:t>
      </w:r>
      <w:r w:rsidRPr="00274FAF">
        <w:t xml:space="preserve"> </w:t>
      </w:r>
      <w:r>
        <w:t xml:space="preserve">or not assessed for compliance, </w:t>
      </w:r>
      <w:r w:rsidRPr="000825AE">
        <w:t xml:space="preserve">an indication of </w:t>
      </w:r>
      <w:r>
        <w:t xml:space="preserve">how </w:t>
      </w:r>
      <w:r w:rsidRPr="000825AE">
        <w:t xml:space="preserve">it does not comply or that </w:t>
      </w:r>
      <w:r>
        <w:t xml:space="preserve">such </w:t>
      </w:r>
      <w:r w:rsidRPr="000825AE">
        <w:t>an assessment has not been made</w:t>
      </w:r>
      <w:r>
        <w:t>; or</w:t>
      </w:r>
      <w:r w:rsidRPr="000825AE">
        <w:t xml:space="preserve"> </w:t>
      </w:r>
    </w:p>
    <w:p w14:paraId="311AFD65" w14:textId="77777777" w:rsidR="00157038" w:rsidRPr="00347920" w:rsidRDefault="00157038" w:rsidP="000C4198">
      <w:pPr>
        <w:pStyle w:val="ListParagraph"/>
        <w:numPr>
          <w:ilvl w:val="1"/>
          <w:numId w:val="12"/>
        </w:numPr>
        <w:pBdr>
          <w:left w:val="none" w:sz="0" w:space="0" w:color="auto"/>
          <w:right w:val="none" w:sz="0" w:space="0" w:color="auto"/>
        </w:pBdr>
        <w:spacing w:before="100" w:after="0"/>
        <w:ind w:left="1564" w:hanging="782"/>
        <w:contextualSpacing w:val="0"/>
        <w:jc w:val="both"/>
        <w:rPr>
          <w:szCs w:val="19"/>
        </w:rPr>
      </w:pPr>
      <w:r>
        <w:t>if the material accounting policies applied and disclosed in the financial statements comply with the recognition and measurement requirements in Australian Accounting Standards (except for requirements set out in AASB 10 or AASB 128)</w:t>
      </w:r>
      <w:r w:rsidRPr="00274FAF">
        <w:t xml:space="preserve"> </w:t>
      </w:r>
      <w:r>
        <w:t>no additional disclosures are required.</w:t>
      </w:r>
    </w:p>
    <w:p w14:paraId="7377C682" w14:textId="77777777" w:rsidR="00157038" w:rsidRPr="00F0707C" w:rsidRDefault="00157038" w:rsidP="000C4198">
      <w:pPr>
        <w:pStyle w:val="ListParagraph"/>
        <w:pBdr>
          <w:left w:val="none" w:sz="0" w:space="0" w:color="auto"/>
          <w:right w:val="none" w:sz="0" w:space="0" w:color="auto"/>
        </w:pBdr>
        <w:spacing w:before="100" w:after="0"/>
        <w:ind w:left="782" w:hanging="782"/>
        <w:contextualSpacing w:val="0"/>
        <w:jc w:val="both"/>
      </w:pPr>
      <w:bookmarkStart w:id="24" w:name="_Ref24573934"/>
      <w:r>
        <w:t>Where an entity’s accounting policies do not comply</w:t>
      </w:r>
      <w:r w:rsidRPr="000825AE">
        <w:t xml:space="preserve"> </w:t>
      </w:r>
      <w:r>
        <w:t>with the recognition and measurement requirements in Australian Accounting Standards (except for requirements set out in AASB 10 or AASB 128), t</w:t>
      </w:r>
      <w:r w:rsidRPr="002A5BFB">
        <w:t xml:space="preserve">he </w:t>
      </w:r>
      <w:r>
        <w:t xml:space="preserve">presentation </w:t>
      </w:r>
      <w:r w:rsidRPr="002A5BFB">
        <w:t xml:space="preserve">of the disclosure providing an indication </w:t>
      </w:r>
      <w:r>
        <w:t xml:space="preserve">of that non-compliance may differ </w:t>
      </w:r>
      <w:r w:rsidRPr="002A5BFB">
        <w:t>depending on the extent of non-compliance.</w:t>
      </w:r>
      <w:r>
        <w:t xml:space="preserve">  </w:t>
      </w:r>
      <w:r w:rsidRPr="00E24B02">
        <w:t xml:space="preserve">Entities may choose to provide disclosures for non-compliance and non-assessed policies in one </w:t>
      </w:r>
      <w:r w:rsidRPr="00F0707C">
        <w:t>place or</w:t>
      </w:r>
      <w:r w:rsidRPr="00E24B02">
        <w:t xml:space="preserve"> placed with each accounting policy disclosed in the financial statements as appropriate.</w:t>
      </w:r>
      <w:r w:rsidRPr="00F0707C">
        <w:t xml:space="preserve">  For example:</w:t>
      </w:r>
      <w:bookmarkEnd w:id="24"/>
    </w:p>
    <w:p w14:paraId="5507599E" w14:textId="77777777" w:rsidR="00157038" w:rsidRPr="00F0707C" w:rsidRDefault="00157038" w:rsidP="000C4198">
      <w:pPr>
        <w:pStyle w:val="ListParagraph"/>
        <w:numPr>
          <w:ilvl w:val="1"/>
          <w:numId w:val="12"/>
        </w:numPr>
        <w:pBdr>
          <w:left w:val="none" w:sz="0" w:space="0" w:color="auto"/>
          <w:right w:val="none" w:sz="0" w:space="0" w:color="auto"/>
        </w:pBdr>
        <w:spacing w:before="100" w:after="0"/>
        <w:ind w:left="1564" w:hanging="782"/>
        <w:contextualSpacing w:val="0"/>
        <w:jc w:val="both"/>
      </w:pPr>
      <w:r w:rsidRPr="00F0707C">
        <w:t xml:space="preserve">an entity may choose to disclose which Australian Accounting Standards they have not complied with and provide details of the non-compliance </w:t>
      </w:r>
      <w:r>
        <w:t xml:space="preserve">in one place for example </w:t>
      </w:r>
      <w:r w:rsidRPr="00E24B02">
        <w:t>within the basis of preparation note</w:t>
      </w:r>
      <w:r>
        <w:t>,</w:t>
      </w:r>
      <w:r w:rsidRPr="00E24B02">
        <w:t xml:space="preserve"> </w:t>
      </w:r>
      <w:r w:rsidRPr="00F0707C">
        <w:t>where the instance of non-compliance are not extensive (see Example 4 below); or alternatively</w:t>
      </w:r>
    </w:p>
    <w:p w14:paraId="1605EDEC" w14:textId="77777777" w:rsidR="00157038" w:rsidRDefault="00157038" w:rsidP="000C4198">
      <w:pPr>
        <w:pStyle w:val="ListParagraph"/>
        <w:numPr>
          <w:ilvl w:val="1"/>
          <w:numId w:val="12"/>
        </w:numPr>
        <w:pBdr>
          <w:left w:val="none" w:sz="0" w:space="0" w:color="auto"/>
          <w:right w:val="none" w:sz="0" w:space="0" w:color="auto"/>
        </w:pBdr>
        <w:spacing w:before="100" w:after="0"/>
        <w:ind w:left="1564" w:hanging="782"/>
        <w:contextualSpacing w:val="0"/>
        <w:jc w:val="both"/>
      </w:pPr>
      <w:r w:rsidRPr="002A5BFB">
        <w:t xml:space="preserve">where the instances of non-compliance are extensive, </w:t>
      </w:r>
      <w:r>
        <w:t xml:space="preserve">details of the non-compliance may be provided within the relevant accounting policy note </w:t>
      </w:r>
      <w:r w:rsidRPr="002A5BFB">
        <w:t xml:space="preserve">(see Example </w:t>
      </w:r>
      <w:r>
        <w:t>5</w:t>
      </w:r>
      <w:r w:rsidRPr="002A5BFB">
        <w:t xml:space="preserve"> below</w:t>
      </w:r>
      <w:r w:rsidRPr="00347920">
        <w:t>).</w:t>
      </w:r>
      <w:bookmarkEnd w:id="20"/>
      <w:r w:rsidRPr="00347920">
        <w:t xml:space="preserve"> </w:t>
      </w:r>
    </w:p>
    <w:p w14:paraId="7C85434F" w14:textId="77777777" w:rsidR="00157038" w:rsidRPr="00E515D1" w:rsidRDefault="00157038" w:rsidP="00157038">
      <w:pPr>
        <w:pStyle w:val="IASBSectionTitle1NonInd"/>
      </w:pPr>
      <w:r>
        <w:lastRenderedPageBreak/>
        <w:t>Accounting policy assessment step 2</w:t>
      </w:r>
      <w:bookmarkEnd w:id="23"/>
      <w:r>
        <w:t xml:space="preserve">:  Disclosing whether or not the financial statements comply overall with all the recognition and measurement requirements in Australian Accounting Standards </w:t>
      </w:r>
      <w:r w:rsidRPr="00134548">
        <w:t>(except for requirements set out in AASB 10 or AASB 128)</w:t>
      </w:r>
      <w:r>
        <w:t xml:space="preserve"> or that compliance has not been assessed</w:t>
      </w:r>
    </w:p>
    <w:p w14:paraId="1F741FF8" w14:textId="6D944575" w:rsidR="00157038" w:rsidRPr="00894D09" w:rsidRDefault="00157038" w:rsidP="000C4198">
      <w:pPr>
        <w:pStyle w:val="ListParagraph"/>
        <w:pBdr>
          <w:left w:val="none" w:sz="0" w:space="0" w:color="auto"/>
          <w:right w:val="none" w:sz="0" w:space="0" w:color="auto"/>
        </w:pBdr>
        <w:spacing w:before="100" w:after="0"/>
        <w:ind w:left="782" w:hanging="782"/>
        <w:contextualSpacing w:val="0"/>
        <w:jc w:val="both"/>
        <w:rPr>
          <w:szCs w:val="19"/>
        </w:rPr>
      </w:pPr>
      <w:r>
        <w:t>Based on the assessment in paragraph 9A(c), p</w:t>
      </w:r>
      <w:r w:rsidRPr="000825AE">
        <w:t xml:space="preserve">aragraph 9A(d) then requires an entity to </w:t>
      </w:r>
      <w:r>
        <w:t xml:space="preserve">disclose </w:t>
      </w:r>
      <w:r w:rsidRPr="000825AE">
        <w:t>whether or not</w:t>
      </w:r>
      <w:r>
        <w:t xml:space="preserve"> overall</w:t>
      </w:r>
      <w:r w:rsidRPr="000825AE">
        <w:t xml:space="preserve"> the material accounting policies applied and disclosed in the financial statements comply (</w:t>
      </w:r>
      <w:r w:rsidRPr="002A5BFB">
        <w:rPr>
          <w:rStyle w:val="normaltextrun1"/>
          <w:rFonts w:ascii="Times" w:hAnsi="Times" w:cs="Times"/>
          <w:szCs w:val="19"/>
        </w:rPr>
        <w:t xml:space="preserve">that is there are </w:t>
      </w:r>
      <w:r w:rsidRPr="000825AE">
        <w:rPr>
          <w:rStyle w:val="normaltextrun1"/>
          <w:rFonts w:ascii="Times" w:hAnsi="Times" w:cs="Times"/>
          <w:szCs w:val="19"/>
        </w:rPr>
        <w:t>no</w:t>
      </w:r>
      <w:r w:rsidRPr="002A5BFB">
        <w:rPr>
          <w:rStyle w:val="normaltextrun1"/>
          <w:rFonts w:ascii="Times" w:hAnsi="Times" w:cs="Times"/>
          <w:szCs w:val="19"/>
        </w:rPr>
        <w:t xml:space="preserve"> instances of non-compliance or non-assessment</w:t>
      </w:r>
      <w:r w:rsidRPr="000825AE">
        <w:t xml:space="preserve">) </w:t>
      </w:r>
      <w:r>
        <w:t xml:space="preserve">(see Examples 1, 2 and 3 below) or do not </w:t>
      </w:r>
      <w:r w:rsidRPr="002A5BFB">
        <w:t>comply (</w:t>
      </w:r>
      <w:r w:rsidRPr="002A5BFB">
        <w:rPr>
          <w:rStyle w:val="normaltextrun1"/>
          <w:rFonts w:ascii="Times" w:hAnsi="Times" w:cs="Times"/>
          <w:szCs w:val="19"/>
        </w:rPr>
        <w:t>there are one or more instances of non-compliance</w:t>
      </w:r>
      <w:r w:rsidRPr="002A5BFB">
        <w:t>)</w:t>
      </w:r>
      <w:r w:rsidRPr="000825AE">
        <w:t xml:space="preserve"> </w:t>
      </w:r>
      <w:r>
        <w:t xml:space="preserve">with </w:t>
      </w:r>
      <w:r w:rsidRPr="000825AE">
        <w:t>all the recognition and measurement requirements in Australian Accounting Standards</w:t>
      </w:r>
      <w:r>
        <w:t xml:space="preserve"> (</w:t>
      </w:r>
      <w:r w:rsidRPr="000825AE">
        <w:t xml:space="preserve">except for </w:t>
      </w:r>
      <w:r>
        <w:t>requirements set out in AASB 10 or AASB 128</w:t>
      </w:r>
      <w:r w:rsidRPr="000825AE">
        <w:t xml:space="preserve">) </w:t>
      </w:r>
      <w:r>
        <w:t xml:space="preserve">(see Examples 4, 5 and 6 below), </w:t>
      </w:r>
      <w:r w:rsidRPr="000825AE">
        <w:t xml:space="preserve">or that an assessment has not been made </w:t>
      </w:r>
      <w:r w:rsidRPr="002A5BFB">
        <w:rPr>
          <w:rStyle w:val="normaltextrun1"/>
          <w:rFonts w:ascii="Times" w:hAnsi="Times" w:cs="Times"/>
          <w:szCs w:val="19"/>
        </w:rPr>
        <w:t>(there are one or more instances of compliance / non-compliance not having been assessed</w:t>
      </w:r>
      <w:r w:rsidRPr="000825AE">
        <w:t>)</w:t>
      </w:r>
      <w:r>
        <w:t xml:space="preserve"> (see Examples 6 and 7 below)</w:t>
      </w:r>
      <w:r w:rsidRPr="000825AE">
        <w:t>.</w:t>
      </w:r>
      <w:bookmarkEnd w:id="21"/>
    </w:p>
    <w:p w14:paraId="44FB20B8" w14:textId="77777777" w:rsidR="00157038" w:rsidRDefault="00157038" w:rsidP="000C4198">
      <w:pPr>
        <w:pStyle w:val="ListParagraph"/>
        <w:pBdr>
          <w:left w:val="none" w:sz="0" w:space="0" w:color="auto"/>
          <w:right w:val="none" w:sz="0" w:space="0" w:color="auto"/>
        </w:pBdr>
        <w:spacing w:before="100" w:after="0"/>
        <w:ind w:left="782" w:hanging="782"/>
        <w:contextualSpacing w:val="0"/>
        <w:jc w:val="both"/>
        <w:rPr>
          <w:szCs w:val="19"/>
        </w:rPr>
      </w:pPr>
      <w:r>
        <w:rPr>
          <w:szCs w:val="19"/>
        </w:rPr>
        <w:t>Based on the AASB’s research, some of the most frequent e</w:t>
      </w:r>
      <w:r w:rsidRPr="00B03D58">
        <w:rPr>
          <w:szCs w:val="19"/>
        </w:rPr>
        <w:t xml:space="preserve">xamples of non-compliance </w:t>
      </w:r>
      <w:r>
        <w:rPr>
          <w:szCs w:val="19"/>
        </w:rPr>
        <w:t>with recognition and measurement requirements</w:t>
      </w:r>
      <w:r w:rsidRPr="00B03D58">
        <w:rPr>
          <w:szCs w:val="19"/>
        </w:rPr>
        <w:t xml:space="preserve"> in </w:t>
      </w:r>
      <w:r>
        <w:rPr>
          <w:szCs w:val="19"/>
        </w:rPr>
        <w:t xml:space="preserve">Australian Accounting Standards include: </w:t>
      </w:r>
    </w:p>
    <w:p w14:paraId="71231273" w14:textId="77777777" w:rsidR="00157038" w:rsidRDefault="00157038" w:rsidP="000C4198">
      <w:pPr>
        <w:pStyle w:val="ListParagraph"/>
        <w:numPr>
          <w:ilvl w:val="1"/>
          <w:numId w:val="12"/>
        </w:numPr>
        <w:pBdr>
          <w:left w:val="none" w:sz="0" w:space="0" w:color="auto"/>
          <w:right w:val="none" w:sz="0" w:space="0" w:color="auto"/>
        </w:pBdr>
        <w:spacing w:before="100" w:after="0"/>
        <w:ind w:left="1564" w:hanging="782"/>
        <w:contextualSpacing w:val="0"/>
        <w:jc w:val="both"/>
        <w:rPr>
          <w:szCs w:val="19"/>
        </w:rPr>
      </w:pPr>
      <w:r>
        <w:rPr>
          <w:szCs w:val="19"/>
        </w:rPr>
        <w:t xml:space="preserve">in </w:t>
      </w:r>
      <w:r w:rsidRPr="00B03D58">
        <w:rPr>
          <w:szCs w:val="19"/>
        </w:rPr>
        <w:t>accounting for income, recognition of grant income</w:t>
      </w:r>
      <w:r>
        <w:rPr>
          <w:szCs w:val="19"/>
        </w:rPr>
        <w:t xml:space="preserve"> for a specified time period, or which has no conditions that need to be met,</w:t>
      </w:r>
      <w:r w:rsidRPr="00B03D58">
        <w:rPr>
          <w:szCs w:val="19"/>
        </w:rPr>
        <w:t xml:space="preserve"> </w:t>
      </w:r>
      <w:r>
        <w:rPr>
          <w:szCs w:val="19"/>
        </w:rPr>
        <w:t>is</w:t>
      </w:r>
      <w:r w:rsidRPr="00B03D58">
        <w:rPr>
          <w:szCs w:val="19"/>
        </w:rPr>
        <w:t xml:space="preserve"> deferred until the related expenses are incurred,</w:t>
      </w:r>
      <w:r>
        <w:rPr>
          <w:szCs w:val="19"/>
        </w:rPr>
        <w:t xml:space="preserve"> or all grant income is deferred, without assessing whether a performance obligation exists,</w:t>
      </w:r>
      <w:r w:rsidRPr="00B03D58">
        <w:rPr>
          <w:szCs w:val="19"/>
        </w:rPr>
        <w:t xml:space="preserve"> which does not comply with AASB </w:t>
      </w:r>
      <w:r>
        <w:rPr>
          <w:szCs w:val="19"/>
        </w:rPr>
        <w:t xml:space="preserve">15 </w:t>
      </w:r>
      <w:r w:rsidRPr="00AD0FDF">
        <w:rPr>
          <w:i/>
          <w:iCs/>
          <w:szCs w:val="19"/>
        </w:rPr>
        <w:t>Revenue from Contracts with Customers</w:t>
      </w:r>
      <w:r>
        <w:rPr>
          <w:szCs w:val="19"/>
        </w:rPr>
        <w:t xml:space="preserve"> or AASB </w:t>
      </w:r>
      <w:r w:rsidRPr="00B03D58">
        <w:rPr>
          <w:szCs w:val="19"/>
        </w:rPr>
        <w:t xml:space="preserve">1058 </w:t>
      </w:r>
      <w:r w:rsidRPr="00B03D58">
        <w:rPr>
          <w:i/>
          <w:szCs w:val="19"/>
        </w:rPr>
        <w:t>Income of Not-for-Profit Entities</w:t>
      </w:r>
      <w:r w:rsidRPr="00B03D58">
        <w:rPr>
          <w:szCs w:val="19"/>
        </w:rPr>
        <w:t>;</w:t>
      </w:r>
    </w:p>
    <w:p w14:paraId="6987BD49" w14:textId="77777777" w:rsidR="00157038" w:rsidRDefault="00157038" w:rsidP="000C4198">
      <w:pPr>
        <w:pStyle w:val="ListParagraph"/>
        <w:numPr>
          <w:ilvl w:val="1"/>
          <w:numId w:val="12"/>
        </w:numPr>
        <w:pBdr>
          <w:left w:val="none" w:sz="0" w:space="0" w:color="auto"/>
          <w:right w:val="none" w:sz="0" w:space="0" w:color="auto"/>
        </w:pBdr>
        <w:spacing w:before="100" w:after="0"/>
        <w:ind w:left="1564" w:hanging="782"/>
        <w:contextualSpacing w:val="0"/>
        <w:jc w:val="both"/>
        <w:rPr>
          <w:szCs w:val="19"/>
        </w:rPr>
      </w:pPr>
      <w:r>
        <w:rPr>
          <w:szCs w:val="19"/>
        </w:rPr>
        <w:t xml:space="preserve">in accounting for property, plant and equipment, assets were not depreciated based on their useful lives, which does not comply with AASB 116 </w:t>
      </w:r>
      <w:r w:rsidRPr="00AD0FDF">
        <w:rPr>
          <w:i/>
          <w:iCs/>
          <w:szCs w:val="19"/>
        </w:rPr>
        <w:t>Property, Plant and Equipment</w:t>
      </w:r>
      <w:r>
        <w:rPr>
          <w:szCs w:val="19"/>
        </w:rPr>
        <w:t>;</w:t>
      </w:r>
    </w:p>
    <w:p w14:paraId="17758EEF" w14:textId="77777777" w:rsidR="00157038" w:rsidRDefault="00157038" w:rsidP="000C4198">
      <w:pPr>
        <w:pStyle w:val="ListParagraph"/>
        <w:numPr>
          <w:ilvl w:val="1"/>
          <w:numId w:val="12"/>
        </w:numPr>
        <w:pBdr>
          <w:left w:val="none" w:sz="0" w:space="0" w:color="auto"/>
          <w:right w:val="none" w:sz="0" w:space="0" w:color="auto"/>
        </w:pBdr>
        <w:spacing w:before="100" w:after="0"/>
        <w:ind w:left="1564" w:hanging="782"/>
        <w:contextualSpacing w:val="0"/>
        <w:jc w:val="both"/>
        <w:rPr>
          <w:szCs w:val="19"/>
        </w:rPr>
      </w:pPr>
      <w:r>
        <w:rPr>
          <w:szCs w:val="19"/>
        </w:rPr>
        <w:t xml:space="preserve">in accounting for impairments, the recoverable amount for impairment testing was calculated on an undiscounted basis, which does not comply with AASB 136 </w:t>
      </w:r>
      <w:r w:rsidRPr="00AD0FDF">
        <w:rPr>
          <w:i/>
          <w:iCs/>
          <w:szCs w:val="19"/>
        </w:rPr>
        <w:t>Impairment of Assets</w:t>
      </w:r>
      <w:r>
        <w:rPr>
          <w:szCs w:val="19"/>
        </w:rPr>
        <w:t>; and</w:t>
      </w:r>
    </w:p>
    <w:p w14:paraId="13F93281" w14:textId="77777777" w:rsidR="00157038" w:rsidRPr="00AD0FDF" w:rsidRDefault="00157038" w:rsidP="000C4198">
      <w:pPr>
        <w:pStyle w:val="ListParagraph"/>
        <w:numPr>
          <w:ilvl w:val="1"/>
          <w:numId w:val="12"/>
        </w:numPr>
        <w:pBdr>
          <w:left w:val="none" w:sz="0" w:space="0" w:color="auto"/>
          <w:right w:val="none" w:sz="0" w:space="0" w:color="auto"/>
        </w:pBdr>
        <w:spacing w:before="100" w:after="0"/>
        <w:ind w:left="1564" w:hanging="782"/>
        <w:contextualSpacing w:val="0"/>
        <w:jc w:val="both"/>
        <w:rPr>
          <w:szCs w:val="19"/>
        </w:rPr>
      </w:pPr>
      <w:r w:rsidRPr="00B03D58">
        <w:rPr>
          <w:szCs w:val="19"/>
        </w:rPr>
        <w:t>in accounting for employee benefits, the long</w:t>
      </w:r>
      <w:r>
        <w:rPr>
          <w:szCs w:val="19"/>
        </w:rPr>
        <w:t>-</w:t>
      </w:r>
      <w:r w:rsidRPr="00B03D58">
        <w:rPr>
          <w:szCs w:val="19"/>
        </w:rPr>
        <w:t xml:space="preserve">term provision for long service leave </w:t>
      </w:r>
      <w:r>
        <w:rPr>
          <w:szCs w:val="19"/>
        </w:rPr>
        <w:t xml:space="preserve">is </w:t>
      </w:r>
      <w:r w:rsidRPr="00B03D58">
        <w:rPr>
          <w:szCs w:val="19"/>
        </w:rPr>
        <w:t>not</w:t>
      </w:r>
      <w:r>
        <w:rPr>
          <w:szCs w:val="19"/>
        </w:rPr>
        <w:t xml:space="preserve"> recognised, or not</w:t>
      </w:r>
      <w:r w:rsidRPr="00B03D58">
        <w:rPr>
          <w:szCs w:val="19"/>
        </w:rPr>
        <w:t xml:space="preserve"> discounted, which does not comply with AASB 119 </w:t>
      </w:r>
      <w:r w:rsidRPr="00B03D58">
        <w:rPr>
          <w:i/>
          <w:szCs w:val="19"/>
        </w:rPr>
        <w:t>Employee Benefits</w:t>
      </w:r>
      <w:r w:rsidRPr="00B03D58">
        <w:rPr>
          <w:szCs w:val="19"/>
        </w:rPr>
        <w:t>.</w:t>
      </w:r>
    </w:p>
    <w:p w14:paraId="5A1343DF" w14:textId="77777777" w:rsidR="00157038" w:rsidRPr="00E515D1" w:rsidRDefault="00157038" w:rsidP="00157038">
      <w:pPr>
        <w:pStyle w:val="IASBSectionTitle1NonInd"/>
      </w:pPr>
      <w:r>
        <w:t>Application of the consolidation and equity accounting requirements</w:t>
      </w:r>
    </w:p>
    <w:p w14:paraId="301FA704" w14:textId="77777777" w:rsidR="00157038" w:rsidRPr="00BC6288" w:rsidRDefault="00157038" w:rsidP="000C4198">
      <w:pPr>
        <w:pStyle w:val="ListParagraph"/>
        <w:pBdr>
          <w:left w:val="none" w:sz="0" w:space="0" w:color="auto"/>
          <w:right w:val="none" w:sz="0" w:space="0" w:color="auto"/>
        </w:pBdr>
        <w:spacing w:before="100" w:after="0"/>
        <w:ind w:left="782" w:hanging="782"/>
        <w:contextualSpacing w:val="0"/>
        <w:jc w:val="both"/>
        <w:rPr>
          <w:szCs w:val="19"/>
        </w:rPr>
      </w:pPr>
      <w:r w:rsidRPr="003766A0">
        <w:rPr>
          <w:szCs w:val="19"/>
        </w:rPr>
        <w:t xml:space="preserve">In relation to </w:t>
      </w:r>
      <w:r w:rsidRPr="00AD0FDF">
        <w:rPr>
          <w:szCs w:val="19"/>
        </w:rPr>
        <w:t>paragraph 9A(b)</w:t>
      </w:r>
      <w:r w:rsidRPr="003766A0">
        <w:rPr>
          <w:szCs w:val="19"/>
        </w:rPr>
        <w:t xml:space="preserve"> of </w:t>
      </w:r>
      <w:r>
        <w:rPr>
          <w:szCs w:val="19"/>
        </w:rPr>
        <w:t>this Standard</w:t>
      </w:r>
      <w:r w:rsidRPr="003766A0">
        <w:rPr>
          <w:szCs w:val="19"/>
        </w:rPr>
        <w:t xml:space="preserve">, information about the accounting for subsidiaries and investments in associates and joint ventures is fundamental for a user’s understanding of the scope of the financial statements. </w:t>
      </w:r>
      <w:r>
        <w:rPr>
          <w:szCs w:val="19"/>
        </w:rPr>
        <w:t xml:space="preserve">Some entities are required to determine their financial reporting requirements based on the application of recognition and measurement requirements in Australian Accounting Standards, including consolidation, for example a proprietary company </w:t>
      </w:r>
      <w:r w:rsidRPr="00C74930">
        <w:rPr>
          <w:szCs w:val="19"/>
        </w:rPr>
        <w:t xml:space="preserve">subject to section 45A of the </w:t>
      </w:r>
      <w:r w:rsidRPr="00E24B02">
        <w:rPr>
          <w:i/>
          <w:iCs/>
          <w:szCs w:val="19"/>
        </w:rPr>
        <w:t>Corporations Act 2001</w:t>
      </w:r>
      <w:r>
        <w:rPr>
          <w:szCs w:val="19"/>
        </w:rPr>
        <w:t xml:space="preserve"> is required to determine whether it is a small or large </w:t>
      </w:r>
      <w:r w:rsidRPr="00C74930">
        <w:rPr>
          <w:szCs w:val="19"/>
        </w:rPr>
        <w:t>proprietary compan</w:t>
      </w:r>
      <w:r>
        <w:rPr>
          <w:szCs w:val="19"/>
        </w:rPr>
        <w:t>y</w:t>
      </w:r>
      <w:r w:rsidRPr="00C74930">
        <w:rPr>
          <w:szCs w:val="19"/>
        </w:rPr>
        <w:t xml:space="preserve"> on a consolidated basis (ie the parent and the entities it controls (subsidiaries)) in accordance with the accounting standards even if the standards do not otherwise apply to some or all of the companies concerned</w:t>
      </w:r>
      <w:r>
        <w:rPr>
          <w:szCs w:val="19"/>
        </w:rPr>
        <w:t>.  Other entities, typically lodging financial reports with the ACNC, make their assessments based on individual entity circumstances only. In instances where legislation does not require assessment on a consolidated basis, and an entity has not made an assessment of whether its interests in other entities are subsidiaries, associates or joint ventures, an entity shall make a statement that they have not been assessed (see Example 2 below)</w:t>
      </w:r>
      <w:r w:rsidRPr="003766A0">
        <w:rPr>
          <w:szCs w:val="19"/>
        </w:rPr>
        <w:t>.</w:t>
      </w:r>
      <w:r>
        <w:rPr>
          <w:szCs w:val="19"/>
        </w:rPr>
        <w:t xml:space="preserve"> </w:t>
      </w:r>
    </w:p>
    <w:p w14:paraId="49571899" w14:textId="77777777" w:rsidR="00157038" w:rsidRDefault="00157038" w:rsidP="008C745C">
      <w:pPr>
        <w:pStyle w:val="ListParagraph"/>
        <w:pBdr>
          <w:left w:val="none" w:sz="0" w:space="0" w:color="auto"/>
          <w:right w:val="none" w:sz="0" w:space="0" w:color="auto"/>
        </w:pBdr>
        <w:spacing w:before="100" w:after="0"/>
        <w:ind w:left="782" w:hanging="782"/>
        <w:contextualSpacing w:val="0"/>
        <w:jc w:val="both"/>
        <w:rPr>
          <w:szCs w:val="19"/>
        </w:rPr>
      </w:pPr>
      <w:r w:rsidRPr="003766A0">
        <w:rPr>
          <w:szCs w:val="19"/>
        </w:rPr>
        <w:t>Exemptions from consolidation of subsidiaries are provided in AASB 10, paragraphs 4(a) and Aus4.1 (as modified by paragraph Aus4.2), including when the entity is a wholly-owned subsidiary and its ultimate parent produces consolidated financial statements that are available for public use and comply with accounting standards. Directors preparing special purpose financial statements might have other reasons for non-consolidation of some or all of an entity’s subsidiaries, and paragraph 9A(</w:t>
      </w:r>
      <w:r>
        <w:rPr>
          <w:szCs w:val="19"/>
        </w:rPr>
        <w:t>b</w:t>
      </w:r>
      <w:r w:rsidRPr="003766A0">
        <w:rPr>
          <w:szCs w:val="19"/>
        </w:rPr>
        <w:t>) requires th</w:t>
      </w:r>
      <w:r>
        <w:rPr>
          <w:szCs w:val="19"/>
        </w:rPr>
        <w:t>ese</w:t>
      </w:r>
      <w:r w:rsidRPr="003766A0">
        <w:rPr>
          <w:szCs w:val="19"/>
        </w:rPr>
        <w:t xml:space="preserve"> reasons to be disclosed</w:t>
      </w:r>
      <w:r>
        <w:rPr>
          <w:szCs w:val="19"/>
        </w:rPr>
        <w:t xml:space="preserve"> (see Example 3 below)</w:t>
      </w:r>
      <w:r w:rsidRPr="003766A0">
        <w:rPr>
          <w:szCs w:val="19"/>
        </w:rPr>
        <w:t>.</w:t>
      </w:r>
    </w:p>
    <w:p w14:paraId="2D577EC0" w14:textId="77777777" w:rsidR="00157038" w:rsidRPr="00633ECF" w:rsidRDefault="00157038" w:rsidP="008C745C">
      <w:pPr>
        <w:pStyle w:val="ListParagraph"/>
        <w:pBdr>
          <w:left w:val="none" w:sz="0" w:space="0" w:color="auto"/>
          <w:right w:val="none" w:sz="0" w:space="0" w:color="auto"/>
        </w:pBdr>
        <w:spacing w:before="100"/>
        <w:ind w:left="782" w:hanging="782"/>
        <w:contextualSpacing w:val="0"/>
        <w:jc w:val="both"/>
        <w:rPr>
          <w:szCs w:val="19"/>
        </w:rPr>
      </w:pPr>
      <w:r w:rsidRPr="00633ECF">
        <w:rPr>
          <w:szCs w:val="19"/>
        </w:rPr>
        <w:t xml:space="preserve">The following illustrative examples are provided: </w:t>
      </w:r>
    </w:p>
    <w:tbl>
      <w:tblPr>
        <w:tblW w:w="9062" w:type="dxa"/>
        <w:tblLayout w:type="fixed"/>
        <w:tblCellMar>
          <w:left w:w="0" w:type="dxa"/>
          <w:right w:w="0" w:type="dxa"/>
        </w:tblCellMar>
        <w:tblLook w:val="04A0" w:firstRow="1" w:lastRow="0" w:firstColumn="1" w:lastColumn="0" w:noHBand="0" w:noVBand="1"/>
        <w:tblCaption w:val="Summary table"/>
        <w:tblDescription w:val="Summary table of scenarios and examples"/>
      </w:tblPr>
      <w:tblGrid>
        <w:gridCol w:w="1691"/>
        <w:gridCol w:w="1209"/>
        <w:gridCol w:w="880"/>
        <w:gridCol w:w="880"/>
        <w:gridCol w:w="880"/>
        <w:gridCol w:w="881"/>
        <w:gridCol w:w="880"/>
        <w:gridCol w:w="880"/>
        <w:gridCol w:w="881"/>
      </w:tblGrid>
      <w:tr w:rsidR="00157038" w:rsidRPr="00234605" w14:paraId="19697C49" w14:textId="77777777" w:rsidTr="00DE09F6">
        <w:trPr>
          <w:trHeight w:val="300"/>
          <w:tblHeader/>
        </w:trPr>
        <w:tc>
          <w:tcPr>
            <w:tcW w:w="2900"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A64513" w14:textId="77777777" w:rsidR="00157038" w:rsidRPr="00234605" w:rsidRDefault="00157038" w:rsidP="00287863">
            <w:pPr>
              <w:jc w:val="center"/>
              <w:rPr>
                <w:b/>
                <w:bCs/>
                <w:color w:val="000000"/>
                <w:sz w:val="19"/>
                <w:szCs w:val="19"/>
                <w:lang w:eastAsia="en-AU"/>
              </w:rPr>
            </w:pPr>
            <w:r w:rsidRPr="00234605">
              <w:rPr>
                <w:b/>
                <w:bCs/>
                <w:color w:val="000000"/>
                <w:sz w:val="19"/>
                <w:szCs w:val="19"/>
              </w:rPr>
              <w:t>Scenario/Example</w:t>
            </w:r>
          </w:p>
        </w:tc>
        <w:tc>
          <w:tcPr>
            <w:tcW w:w="880" w:type="dxa"/>
            <w:tcBorders>
              <w:top w:val="single" w:sz="4" w:space="0" w:color="auto"/>
              <w:left w:val="nil"/>
              <w:bottom w:val="single" w:sz="8"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55B49BA7" w14:textId="77777777" w:rsidR="00157038" w:rsidRPr="00234605" w:rsidRDefault="00157038" w:rsidP="00287863">
            <w:pPr>
              <w:jc w:val="center"/>
              <w:rPr>
                <w:b/>
                <w:bCs/>
                <w:color w:val="000000"/>
                <w:sz w:val="19"/>
                <w:szCs w:val="19"/>
              </w:rPr>
            </w:pPr>
            <w:r w:rsidRPr="00234605">
              <w:rPr>
                <w:b/>
                <w:bCs/>
                <w:color w:val="000000"/>
                <w:sz w:val="19"/>
                <w:szCs w:val="19"/>
              </w:rPr>
              <w:t>1</w:t>
            </w:r>
          </w:p>
        </w:tc>
        <w:tc>
          <w:tcPr>
            <w:tcW w:w="880" w:type="dxa"/>
            <w:tcBorders>
              <w:top w:val="single" w:sz="4" w:space="0" w:color="auto"/>
              <w:left w:val="nil"/>
              <w:bottom w:val="single" w:sz="8" w:space="0" w:color="auto"/>
              <w:right w:val="single" w:sz="8" w:space="0" w:color="auto"/>
            </w:tcBorders>
            <w:shd w:val="clear" w:color="auto" w:fill="D9D9D9" w:themeFill="background1" w:themeFillShade="D9"/>
            <w:vAlign w:val="center"/>
          </w:tcPr>
          <w:p w14:paraId="0CC446E3" w14:textId="77777777" w:rsidR="00157038" w:rsidRPr="00234605" w:rsidRDefault="00157038" w:rsidP="00287863">
            <w:pPr>
              <w:jc w:val="center"/>
              <w:rPr>
                <w:b/>
                <w:bCs/>
                <w:color w:val="000000"/>
                <w:sz w:val="19"/>
                <w:szCs w:val="19"/>
              </w:rPr>
            </w:pPr>
            <w:r w:rsidRPr="00234605">
              <w:rPr>
                <w:b/>
                <w:bCs/>
                <w:color w:val="000000"/>
                <w:sz w:val="19"/>
                <w:szCs w:val="19"/>
              </w:rPr>
              <w:t>2</w:t>
            </w:r>
          </w:p>
        </w:tc>
        <w:tc>
          <w:tcPr>
            <w:tcW w:w="880"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60E0378C" w14:textId="77777777" w:rsidR="00157038" w:rsidRPr="00234605" w:rsidRDefault="00157038" w:rsidP="00287863">
            <w:pPr>
              <w:jc w:val="center"/>
              <w:rPr>
                <w:b/>
                <w:bCs/>
                <w:color w:val="000000"/>
                <w:sz w:val="19"/>
                <w:szCs w:val="19"/>
              </w:rPr>
            </w:pPr>
            <w:r w:rsidRPr="00234605">
              <w:rPr>
                <w:b/>
                <w:bCs/>
                <w:color w:val="000000"/>
                <w:sz w:val="19"/>
                <w:szCs w:val="19"/>
              </w:rPr>
              <w:t>3</w:t>
            </w:r>
          </w:p>
        </w:tc>
        <w:tc>
          <w:tcPr>
            <w:tcW w:w="881"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14BFE1D6" w14:textId="77777777" w:rsidR="00157038" w:rsidRPr="00234605" w:rsidRDefault="00157038" w:rsidP="00287863">
            <w:pPr>
              <w:jc w:val="center"/>
              <w:rPr>
                <w:b/>
                <w:bCs/>
                <w:color w:val="000000"/>
                <w:sz w:val="19"/>
                <w:szCs w:val="19"/>
              </w:rPr>
            </w:pPr>
            <w:r w:rsidRPr="00234605">
              <w:rPr>
                <w:b/>
                <w:bCs/>
                <w:color w:val="000000"/>
                <w:sz w:val="19"/>
                <w:szCs w:val="19"/>
              </w:rPr>
              <w:t>4</w:t>
            </w:r>
          </w:p>
        </w:tc>
        <w:tc>
          <w:tcPr>
            <w:tcW w:w="880" w:type="dxa"/>
            <w:tcBorders>
              <w:top w:val="single" w:sz="4" w:space="0" w:color="auto"/>
              <w:left w:val="nil"/>
              <w:bottom w:val="single" w:sz="8"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20477868" w14:textId="77777777" w:rsidR="00157038" w:rsidRPr="00234605" w:rsidRDefault="00157038" w:rsidP="00287863">
            <w:pPr>
              <w:jc w:val="center"/>
              <w:rPr>
                <w:b/>
                <w:bCs/>
                <w:color w:val="000000"/>
                <w:sz w:val="19"/>
                <w:szCs w:val="19"/>
              </w:rPr>
            </w:pPr>
            <w:r w:rsidRPr="00234605">
              <w:rPr>
                <w:b/>
                <w:bCs/>
                <w:color w:val="000000"/>
                <w:sz w:val="19"/>
                <w:szCs w:val="19"/>
              </w:rPr>
              <w:t>5</w:t>
            </w:r>
          </w:p>
        </w:tc>
        <w:tc>
          <w:tcPr>
            <w:tcW w:w="880" w:type="dxa"/>
            <w:tcBorders>
              <w:top w:val="single" w:sz="4" w:space="0" w:color="auto"/>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70E2E0F4" w14:textId="77777777" w:rsidR="00157038" w:rsidRPr="00234605" w:rsidRDefault="00157038" w:rsidP="00287863">
            <w:pPr>
              <w:jc w:val="center"/>
              <w:rPr>
                <w:b/>
                <w:bCs/>
                <w:color w:val="000000"/>
                <w:sz w:val="19"/>
                <w:szCs w:val="19"/>
              </w:rPr>
            </w:pPr>
            <w:r w:rsidRPr="00234605">
              <w:rPr>
                <w:b/>
                <w:bCs/>
                <w:color w:val="000000"/>
                <w:sz w:val="19"/>
                <w:szCs w:val="19"/>
              </w:rPr>
              <w:t>6</w:t>
            </w:r>
          </w:p>
        </w:tc>
        <w:tc>
          <w:tcPr>
            <w:tcW w:w="881" w:type="dxa"/>
            <w:tcBorders>
              <w:top w:val="single" w:sz="4" w:space="0" w:color="auto"/>
              <w:left w:val="nil"/>
              <w:bottom w:val="single" w:sz="8" w:space="0" w:color="auto"/>
              <w:right w:val="single" w:sz="4" w:space="0" w:color="auto"/>
            </w:tcBorders>
            <w:shd w:val="clear" w:color="auto" w:fill="D9D9D9" w:themeFill="background1" w:themeFillShade="D9"/>
            <w:vAlign w:val="center"/>
          </w:tcPr>
          <w:p w14:paraId="4ADCF32A" w14:textId="77777777" w:rsidR="00157038" w:rsidRPr="00234605" w:rsidRDefault="00157038" w:rsidP="00287863">
            <w:pPr>
              <w:jc w:val="center"/>
              <w:rPr>
                <w:b/>
                <w:bCs/>
                <w:color w:val="000000"/>
                <w:sz w:val="19"/>
                <w:szCs w:val="19"/>
              </w:rPr>
            </w:pPr>
            <w:r w:rsidRPr="00234605">
              <w:rPr>
                <w:b/>
                <w:bCs/>
                <w:color w:val="000000"/>
                <w:sz w:val="19"/>
                <w:szCs w:val="19"/>
              </w:rPr>
              <w:t>7</w:t>
            </w:r>
          </w:p>
        </w:tc>
      </w:tr>
      <w:tr w:rsidR="00157038" w:rsidRPr="00234605" w14:paraId="46B72257" w14:textId="77777777" w:rsidTr="00287863">
        <w:trPr>
          <w:trHeight w:val="300"/>
        </w:trPr>
        <w:tc>
          <w:tcPr>
            <w:tcW w:w="1691" w:type="dxa"/>
            <w:vMerge w:val="restart"/>
            <w:tcBorders>
              <w:top w:val="single" w:sz="8" w:space="0" w:color="auto"/>
              <w:left w:val="single" w:sz="4" w:space="0" w:color="auto"/>
              <w:right w:val="single" w:sz="4" w:space="0" w:color="auto"/>
            </w:tcBorders>
            <w:vAlign w:val="center"/>
            <w:hideMark/>
          </w:tcPr>
          <w:p w14:paraId="7ED1B0D1" w14:textId="77777777" w:rsidR="00157038" w:rsidRPr="00234605" w:rsidRDefault="00157038" w:rsidP="00287863">
            <w:pPr>
              <w:rPr>
                <w:b/>
                <w:bCs/>
                <w:color w:val="000000"/>
                <w:sz w:val="19"/>
                <w:szCs w:val="19"/>
              </w:rPr>
            </w:pPr>
            <w:r w:rsidRPr="00234605">
              <w:rPr>
                <w:b/>
                <w:bCs/>
                <w:color w:val="000000"/>
                <w:sz w:val="19"/>
                <w:szCs w:val="19"/>
              </w:rPr>
              <w:t>Reporting Framework</w:t>
            </w:r>
          </w:p>
        </w:tc>
        <w:tc>
          <w:tcPr>
            <w:tcW w:w="12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7939E3" w14:textId="77777777" w:rsidR="00157038" w:rsidRPr="00234605" w:rsidRDefault="00157038" w:rsidP="00287863">
            <w:pPr>
              <w:jc w:val="center"/>
              <w:rPr>
                <w:b/>
                <w:bCs/>
                <w:color w:val="000000"/>
                <w:sz w:val="19"/>
                <w:szCs w:val="19"/>
              </w:rPr>
            </w:pPr>
            <w:r w:rsidRPr="00234605">
              <w:rPr>
                <w:b/>
                <w:bCs/>
                <w:color w:val="000000"/>
                <w:sz w:val="19"/>
                <w:szCs w:val="19"/>
              </w:rPr>
              <w:t xml:space="preserve">ACNC </w:t>
            </w:r>
          </w:p>
        </w:tc>
        <w:tc>
          <w:tcPr>
            <w:tcW w:w="8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AE8BF6"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single" w:sz="4" w:space="0" w:color="auto"/>
              <w:left w:val="nil"/>
              <w:bottom w:val="single" w:sz="4" w:space="0" w:color="auto"/>
              <w:right w:val="single" w:sz="4" w:space="0" w:color="auto"/>
            </w:tcBorders>
            <w:vAlign w:val="center"/>
          </w:tcPr>
          <w:p w14:paraId="493C35AE"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single" w:sz="8" w:space="0" w:color="auto"/>
              <w:left w:val="nil"/>
              <w:bottom w:val="single" w:sz="4" w:space="0" w:color="auto"/>
              <w:right w:val="single" w:sz="4" w:space="0" w:color="auto"/>
            </w:tcBorders>
            <w:vAlign w:val="center"/>
          </w:tcPr>
          <w:p w14:paraId="25E441D5"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E5841" w14:textId="77777777" w:rsidR="00157038" w:rsidRPr="00234605" w:rsidRDefault="00157038" w:rsidP="00287863">
            <w:pPr>
              <w:jc w:val="center"/>
              <w:rPr>
                <w:color w:val="000000"/>
                <w:sz w:val="19"/>
                <w:szCs w:val="19"/>
              </w:rPr>
            </w:pPr>
          </w:p>
        </w:tc>
        <w:tc>
          <w:tcPr>
            <w:tcW w:w="8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C8137"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05FF62" w14:textId="77777777" w:rsidR="00157038" w:rsidRPr="00234605" w:rsidRDefault="00157038" w:rsidP="00287863">
            <w:pPr>
              <w:jc w:val="center"/>
              <w:rPr>
                <w:color w:val="000000"/>
                <w:sz w:val="19"/>
                <w:szCs w:val="19"/>
              </w:rPr>
            </w:pPr>
          </w:p>
        </w:tc>
        <w:tc>
          <w:tcPr>
            <w:tcW w:w="881" w:type="dxa"/>
            <w:tcBorders>
              <w:top w:val="nil"/>
              <w:left w:val="single" w:sz="4" w:space="0" w:color="auto"/>
              <w:bottom w:val="single" w:sz="4" w:space="0" w:color="auto"/>
              <w:right w:val="single" w:sz="4" w:space="0" w:color="auto"/>
            </w:tcBorders>
            <w:vAlign w:val="center"/>
          </w:tcPr>
          <w:p w14:paraId="34233BBA" w14:textId="77777777" w:rsidR="00157038" w:rsidRPr="00234605" w:rsidRDefault="00157038" w:rsidP="00287863">
            <w:pPr>
              <w:jc w:val="center"/>
              <w:rPr>
                <w:color w:val="000000"/>
                <w:sz w:val="19"/>
                <w:szCs w:val="19"/>
              </w:rPr>
            </w:pPr>
            <w:r w:rsidRPr="00234605">
              <w:rPr>
                <w:sz w:val="19"/>
                <w:szCs w:val="19"/>
              </w:rPr>
              <w:sym w:font="Wingdings" w:char="F0FC"/>
            </w:r>
          </w:p>
        </w:tc>
      </w:tr>
      <w:tr w:rsidR="00157038" w:rsidRPr="00234605" w14:paraId="7003E537" w14:textId="77777777" w:rsidTr="00287863">
        <w:trPr>
          <w:trHeight w:val="300"/>
        </w:trPr>
        <w:tc>
          <w:tcPr>
            <w:tcW w:w="1691" w:type="dxa"/>
            <w:vMerge/>
            <w:tcBorders>
              <w:left w:val="single" w:sz="4" w:space="0" w:color="auto"/>
              <w:bottom w:val="single" w:sz="8" w:space="0" w:color="auto"/>
              <w:right w:val="single" w:sz="4" w:space="0" w:color="auto"/>
            </w:tcBorders>
            <w:vAlign w:val="center"/>
          </w:tcPr>
          <w:p w14:paraId="7AAD404A" w14:textId="77777777" w:rsidR="00157038" w:rsidRPr="00234605" w:rsidRDefault="00157038" w:rsidP="00287863">
            <w:pPr>
              <w:rPr>
                <w:b/>
                <w:bCs/>
                <w:color w:val="000000"/>
                <w:sz w:val="19"/>
                <w:szCs w:val="19"/>
              </w:rPr>
            </w:pPr>
          </w:p>
        </w:tc>
        <w:tc>
          <w:tcPr>
            <w:tcW w:w="1209"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63884B2B" w14:textId="77777777" w:rsidR="00157038" w:rsidRPr="00234605" w:rsidRDefault="00157038" w:rsidP="00331C77">
            <w:pPr>
              <w:spacing w:before="60" w:after="60"/>
              <w:jc w:val="center"/>
              <w:rPr>
                <w:b/>
                <w:bCs/>
                <w:color w:val="000000"/>
                <w:sz w:val="19"/>
                <w:szCs w:val="19"/>
              </w:rPr>
            </w:pPr>
            <w:r w:rsidRPr="00234605">
              <w:rPr>
                <w:b/>
                <w:bCs/>
                <w:color w:val="000000"/>
                <w:sz w:val="19"/>
                <w:szCs w:val="19"/>
              </w:rPr>
              <w:t>Corporations Act 2001</w:t>
            </w:r>
          </w:p>
        </w:tc>
        <w:tc>
          <w:tcPr>
            <w:tcW w:w="880"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7EB8AD39"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8" w:space="0" w:color="auto"/>
              <w:right w:val="single" w:sz="4" w:space="0" w:color="auto"/>
            </w:tcBorders>
            <w:vAlign w:val="center"/>
          </w:tcPr>
          <w:p w14:paraId="0DDA6689"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8" w:space="0" w:color="auto"/>
              <w:right w:val="single" w:sz="4" w:space="0" w:color="auto"/>
            </w:tcBorders>
            <w:vAlign w:val="center"/>
          </w:tcPr>
          <w:p w14:paraId="0E9C4EF1" w14:textId="77777777" w:rsidR="00157038" w:rsidRPr="00234605" w:rsidRDefault="00157038" w:rsidP="00287863">
            <w:pPr>
              <w:jc w:val="center"/>
              <w:rPr>
                <w:color w:val="000000"/>
                <w:sz w:val="19"/>
                <w:szCs w:val="19"/>
              </w:rPr>
            </w:pPr>
          </w:p>
        </w:tc>
        <w:tc>
          <w:tcPr>
            <w:tcW w:w="881" w:type="dxa"/>
            <w:tcBorders>
              <w:top w:val="single" w:sz="4"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1D8D3DBB"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4E860207"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0608B13F"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single" w:sz="4" w:space="0" w:color="auto"/>
              <w:left w:val="single" w:sz="4" w:space="0" w:color="auto"/>
              <w:bottom w:val="single" w:sz="8" w:space="0" w:color="auto"/>
              <w:right w:val="single" w:sz="4" w:space="0" w:color="auto"/>
            </w:tcBorders>
            <w:vAlign w:val="center"/>
          </w:tcPr>
          <w:p w14:paraId="1684642E" w14:textId="77777777" w:rsidR="00157038" w:rsidRPr="00234605" w:rsidRDefault="00157038" w:rsidP="00287863">
            <w:pPr>
              <w:jc w:val="center"/>
              <w:rPr>
                <w:color w:val="000000"/>
                <w:sz w:val="19"/>
                <w:szCs w:val="19"/>
              </w:rPr>
            </w:pPr>
          </w:p>
        </w:tc>
      </w:tr>
      <w:tr w:rsidR="00157038" w:rsidRPr="00234605" w14:paraId="7C8E8854" w14:textId="77777777" w:rsidTr="00287863">
        <w:trPr>
          <w:trHeight w:val="290"/>
        </w:trPr>
        <w:tc>
          <w:tcPr>
            <w:tcW w:w="1691"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607D6B23" w14:textId="77777777" w:rsidR="00157038" w:rsidRPr="00234605" w:rsidRDefault="00157038" w:rsidP="00287863">
            <w:pPr>
              <w:rPr>
                <w:b/>
                <w:bCs/>
                <w:color w:val="000000"/>
                <w:sz w:val="19"/>
                <w:szCs w:val="19"/>
              </w:rPr>
            </w:pPr>
            <w:r w:rsidRPr="00234605">
              <w:rPr>
                <w:b/>
                <w:bCs/>
                <w:color w:val="000000"/>
                <w:sz w:val="19"/>
                <w:szCs w:val="19"/>
              </w:rPr>
              <w:t>Subsidiaries</w:t>
            </w:r>
          </w:p>
        </w:tc>
        <w:tc>
          <w:tcPr>
            <w:tcW w:w="120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3F6CE" w14:textId="77777777" w:rsidR="00157038" w:rsidRPr="00234605" w:rsidRDefault="00157038" w:rsidP="00287863">
            <w:pPr>
              <w:jc w:val="center"/>
              <w:rPr>
                <w:b/>
                <w:bCs/>
                <w:color w:val="000000"/>
                <w:sz w:val="19"/>
                <w:szCs w:val="19"/>
              </w:rPr>
            </w:pPr>
            <w:r w:rsidRPr="00234605">
              <w:rPr>
                <w:b/>
                <w:bCs/>
                <w:color w:val="000000"/>
                <w:sz w:val="19"/>
                <w:szCs w:val="19"/>
              </w:rPr>
              <w:t>Yes</w:t>
            </w: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0158D"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vMerge w:val="restart"/>
            <w:tcBorders>
              <w:top w:val="single" w:sz="8" w:space="0" w:color="auto"/>
              <w:left w:val="nil"/>
              <w:right w:val="single" w:sz="4" w:space="0" w:color="auto"/>
            </w:tcBorders>
            <w:vAlign w:val="center"/>
          </w:tcPr>
          <w:p w14:paraId="4B679E76" w14:textId="77777777" w:rsidR="00157038" w:rsidRPr="00234605" w:rsidRDefault="00157038" w:rsidP="00287863">
            <w:pPr>
              <w:jc w:val="center"/>
              <w:rPr>
                <w:color w:val="000000"/>
                <w:sz w:val="19"/>
                <w:szCs w:val="19"/>
              </w:rPr>
            </w:pPr>
            <w:r w:rsidRPr="00234605">
              <w:rPr>
                <w:color w:val="000000"/>
                <w:sz w:val="19"/>
                <w:szCs w:val="19"/>
              </w:rPr>
              <w:t>Not</w:t>
            </w:r>
          </w:p>
          <w:p w14:paraId="6136DF58" w14:textId="77777777" w:rsidR="00157038" w:rsidRPr="00234605" w:rsidRDefault="00157038" w:rsidP="00287863">
            <w:pPr>
              <w:jc w:val="center"/>
              <w:rPr>
                <w:color w:val="000000"/>
                <w:sz w:val="19"/>
                <w:szCs w:val="19"/>
              </w:rPr>
            </w:pPr>
            <w:r w:rsidRPr="00234605">
              <w:rPr>
                <w:color w:val="000000"/>
                <w:sz w:val="19"/>
                <w:szCs w:val="19"/>
              </w:rPr>
              <w:t>assessed</w:t>
            </w:r>
          </w:p>
        </w:tc>
        <w:tc>
          <w:tcPr>
            <w:tcW w:w="880" w:type="dxa"/>
            <w:tcBorders>
              <w:top w:val="single" w:sz="8" w:space="0" w:color="auto"/>
              <w:left w:val="nil"/>
              <w:bottom w:val="single" w:sz="4" w:space="0" w:color="auto"/>
              <w:right w:val="single" w:sz="4" w:space="0" w:color="auto"/>
            </w:tcBorders>
            <w:shd w:val="clear" w:color="auto" w:fill="auto"/>
            <w:vAlign w:val="center"/>
          </w:tcPr>
          <w:p w14:paraId="112321F1"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9CE68" w14:textId="77777777" w:rsidR="00157038" w:rsidRPr="00234605" w:rsidRDefault="00157038" w:rsidP="00287863">
            <w:pPr>
              <w:jc w:val="center"/>
              <w:rPr>
                <w:color w:val="000000"/>
                <w:sz w:val="19"/>
                <w:szCs w:val="19"/>
              </w:rPr>
            </w:pP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01392" w14:textId="77777777" w:rsidR="00157038" w:rsidRPr="00234605" w:rsidRDefault="00157038" w:rsidP="00287863">
            <w:pPr>
              <w:jc w:val="center"/>
              <w:rPr>
                <w:color w:val="000000"/>
                <w:sz w:val="19"/>
                <w:szCs w:val="19"/>
              </w:rPr>
            </w:pPr>
          </w:p>
        </w:tc>
        <w:tc>
          <w:tcPr>
            <w:tcW w:w="8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28B8CD2" w14:textId="77777777" w:rsidR="00157038" w:rsidRPr="00234605" w:rsidRDefault="00157038" w:rsidP="00287863">
            <w:pPr>
              <w:jc w:val="center"/>
              <w:rPr>
                <w:color w:val="000000"/>
                <w:sz w:val="19"/>
                <w:szCs w:val="19"/>
              </w:rPr>
            </w:pPr>
          </w:p>
        </w:tc>
        <w:tc>
          <w:tcPr>
            <w:tcW w:w="881" w:type="dxa"/>
            <w:tcBorders>
              <w:top w:val="single" w:sz="8" w:space="0" w:color="auto"/>
              <w:left w:val="single" w:sz="4" w:space="0" w:color="auto"/>
              <w:bottom w:val="single" w:sz="4" w:space="0" w:color="auto"/>
              <w:right w:val="single" w:sz="4" w:space="0" w:color="auto"/>
            </w:tcBorders>
            <w:vAlign w:val="center"/>
          </w:tcPr>
          <w:p w14:paraId="6EA64AC0" w14:textId="77777777" w:rsidR="00157038" w:rsidRPr="00234605" w:rsidRDefault="00157038" w:rsidP="00287863">
            <w:pPr>
              <w:jc w:val="center"/>
              <w:rPr>
                <w:color w:val="000000"/>
                <w:sz w:val="19"/>
                <w:szCs w:val="19"/>
              </w:rPr>
            </w:pPr>
          </w:p>
        </w:tc>
      </w:tr>
      <w:tr w:rsidR="00157038" w:rsidRPr="00234605" w14:paraId="38E93304" w14:textId="77777777" w:rsidTr="00287863">
        <w:trPr>
          <w:trHeight w:val="300"/>
        </w:trPr>
        <w:tc>
          <w:tcPr>
            <w:tcW w:w="1691" w:type="dxa"/>
            <w:vMerge/>
            <w:tcBorders>
              <w:top w:val="nil"/>
              <w:left w:val="single" w:sz="4" w:space="0" w:color="auto"/>
              <w:bottom w:val="single" w:sz="8" w:space="0" w:color="000000"/>
              <w:right w:val="single" w:sz="4" w:space="0" w:color="auto"/>
            </w:tcBorders>
            <w:vAlign w:val="center"/>
            <w:hideMark/>
          </w:tcPr>
          <w:p w14:paraId="031103F8" w14:textId="77777777" w:rsidR="00157038" w:rsidRPr="00234605" w:rsidRDefault="00157038" w:rsidP="00287863">
            <w:pPr>
              <w:rPr>
                <w:b/>
                <w:bCs/>
                <w:color w:val="000000"/>
                <w:sz w:val="19"/>
                <w:szCs w:val="19"/>
              </w:rPr>
            </w:pPr>
          </w:p>
        </w:tc>
        <w:tc>
          <w:tcPr>
            <w:tcW w:w="120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ED1E18A" w14:textId="77777777" w:rsidR="00157038" w:rsidRPr="00234605" w:rsidRDefault="00157038" w:rsidP="00287863">
            <w:pPr>
              <w:jc w:val="center"/>
              <w:rPr>
                <w:b/>
                <w:bCs/>
                <w:color w:val="000000"/>
                <w:sz w:val="19"/>
                <w:szCs w:val="19"/>
              </w:rPr>
            </w:pPr>
            <w:r w:rsidRPr="00234605">
              <w:rPr>
                <w:b/>
                <w:bCs/>
                <w:color w:val="000000"/>
                <w:sz w:val="19"/>
                <w:szCs w:val="19"/>
              </w:rPr>
              <w:t>No</w:t>
            </w:r>
          </w:p>
        </w:tc>
        <w:tc>
          <w:tcPr>
            <w:tcW w:w="880"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4C63791" w14:textId="77777777" w:rsidR="00157038" w:rsidRPr="00234605" w:rsidRDefault="00157038" w:rsidP="00287863">
            <w:pPr>
              <w:jc w:val="center"/>
              <w:rPr>
                <w:color w:val="000000"/>
                <w:sz w:val="19"/>
                <w:szCs w:val="19"/>
              </w:rPr>
            </w:pPr>
          </w:p>
        </w:tc>
        <w:tc>
          <w:tcPr>
            <w:tcW w:w="880" w:type="dxa"/>
            <w:vMerge/>
            <w:tcBorders>
              <w:left w:val="nil"/>
              <w:bottom w:val="single" w:sz="8" w:space="0" w:color="auto"/>
              <w:right w:val="single" w:sz="4" w:space="0" w:color="auto"/>
            </w:tcBorders>
            <w:vAlign w:val="center"/>
          </w:tcPr>
          <w:p w14:paraId="134E6449"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8" w:space="0" w:color="auto"/>
              <w:right w:val="single" w:sz="4" w:space="0" w:color="auto"/>
            </w:tcBorders>
            <w:shd w:val="clear" w:color="auto" w:fill="auto"/>
            <w:vAlign w:val="center"/>
          </w:tcPr>
          <w:p w14:paraId="4169F73F" w14:textId="77777777" w:rsidR="00157038" w:rsidRPr="00234605" w:rsidRDefault="00157038" w:rsidP="00287863">
            <w:pPr>
              <w:jc w:val="center"/>
              <w:rPr>
                <w:color w:val="000000"/>
                <w:sz w:val="19"/>
                <w:szCs w:val="19"/>
              </w:rPr>
            </w:pPr>
          </w:p>
        </w:tc>
        <w:tc>
          <w:tcPr>
            <w:tcW w:w="881" w:type="dxa"/>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93F049B"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21A0642F"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130298E"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nil"/>
              <w:left w:val="single" w:sz="4" w:space="0" w:color="auto"/>
              <w:bottom w:val="single" w:sz="8" w:space="0" w:color="auto"/>
              <w:right w:val="single" w:sz="4" w:space="0" w:color="auto"/>
            </w:tcBorders>
            <w:vAlign w:val="center"/>
          </w:tcPr>
          <w:p w14:paraId="4FB6F531" w14:textId="77777777" w:rsidR="00157038" w:rsidRPr="00234605" w:rsidRDefault="00157038" w:rsidP="00287863">
            <w:pPr>
              <w:jc w:val="center"/>
              <w:rPr>
                <w:color w:val="000000"/>
                <w:sz w:val="19"/>
                <w:szCs w:val="19"/>
              </w:rPr>
            </w:pPr>
            <w:r w:rsidRPr="00234605">
              <w:rPr>
                <w:sz w:val="19"/>
                <w:szCs w:val="19"/>
              </w:rPr>
              <w:sym w:font="Wingdings" w:char="F0FC"/>
            </w:r>
          </w:p>
        </w:tc>
      </w:tr>
      <w:tr w:rsidR="00157038" w:rsidRPr="00234605" w14:paraId="20BB7936" w14:textId="77777777" w:rsidTr="00287863">
        <w:trPr>
          <w:trHeight w:val="290"/>
        </w:trPr>
        <w:tc>
          <w:tcPr>
            <w:tcW w:w="1691" w:type="dxa"/>
            <w:vMerge w:val="restart"/>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14:paraId="6556EE9A" w14:textId="77777777" w:rsidR="00157038" w:rsidRPr="00234605" w:rsidRDefault="00157038" w:rsidP="00E909A9">
            <w:pPr>
              <w:keepNext/>
              <w:rPr>
                <w:b/>
                <w:bCs/>
                <w:color w:val="000000"/>
                <w:sz w:val="19"/>
                <w:szCs w:val="19"/>
              </w:rPr>
            </w:pPr>
            <w:r w:rsidRPr="00234605">
              <w:rPr>
                <w:b/>
                <w:bCs/>
                <w:color w:val="000000"/>
                <w:sz w:val="19"/>
                <w:szCs w:val="19"/>
              </w:rPr>
              <w:lastRenderedPageBreak/>
              <w:t>Consolidated</w:t>
            </w:r>
          </w:p>
        </w:tc>
        <w:tc>
          <w:tcPr>
            <w:tcW w:w="12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0C7518" w14:textId="77777777" w:rsidR="00157038" w:rsidRPr="00234605" w:rsidRDefault="00157038" w:rsidP="00287863">
            <w:pPr>
              <w:jc w:val="center"/>
              <w:rPr>
                <w:b/>
                <w:bCs/>
                <w:color w:val="000000"/>
                <w:sz w:val="19"/>
                <w:szCs w:val="19"/>
              </w:rPr>
            </w:pPr>
            <w:r w:rsidRPr="00234605">
              <w:rPr>
                <w:b/>
                <w:bCs/>
                <w:color w:val="000000"/>
                <w:sz w:val="19"/>
                <w:szCs w:val="19"/>
              </w:rPr>
              <w:t>Yes</w:t>
            </w: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F4E9D2"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vMerge w:val="restart"/>
            <w:tcBorders>
              <w:top w:val="single" w:sz="8" w:space="0" w:color="auto"/>
              <w:left w:val="nil"/>
              <w:right w:val="single" w:sz="4" w:space="0" w:color="auto"/>
            </w:tcBorders>
            <w:vAlign w:val="center"/>
          </w:tcPr>
          <w:p w14:paraId="11BAD770" w14:textId="77777777" w:rsidR="00157038" w:rsidRPr="00234605" w:rsidRDefault="00157038" w:rsidP="00287863">
            <w:pPr>
              <w:jc w:val="center"/>
              <w:rPr>
                <w:color w:val="000000"/>
                <w:sz w:val="19"/>
                <w:szCs w:val="19"/>
              </w:rPr>
            </w:pPr>
            <w:r w:rsidRPr="00234605">
              <w:rPr>
                <w:sz w:val="19"/>
                <w:szCs w:val="19"/>
              </w:rPr>
              <w:t>n/a</w:t>
            </w:r>
          </w:p>
        </w:tc>
        <w:tc>
          <w:tcPr>
            <w:tcW w:w="880" w:type="dxa"/>
            <w:tcBorders>
              <w:top w:val="single" w:sz="8" w:space="0" w:color="auto"/>
              <w:left w:val="single" w:sz="4" w:space="0" w:color="auto"/>
              <w:bottom w:val="single" w:sz="4" w:space="0" w:color="auto"/>
              <w:right w:val="single" w:sz="4" w:space="0" w:color="auto"/>
            </w:tcBorders>
            <w:shd w:val="clear" w:color="auto" w:fill="auto"/>
            <w:vAlign w:val="center"/>
          </w:tcPr>
          <w:p w14:paraId="47E7955D" w14:textId="77777777" w:rsidR="00157038" w:rsidRPr="00234605" w:rsidRDefault="00157038" w:rsidP="00287863">
            <w:pPr>
              <w:jc w:val="center"/>
              <w:rPr>
                <w:color w:val="000000"/>
                <w:sz w:val="19"/>
                <w:szCs w:val="19"/>
              </w:rPr>
            </w:pPr>
          </w:p>
        </w:tc>
        <w:tc>
          <w:tcPr>
            <w:tcW w:w="881" w:type="dxa"/>
            <w:vMerge w:val="restart"/>
            <w:tcBorders>
              <w:top w:val="single" w:sz="8"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A59FB09" w14:textId="77777777" w:rsidR="00157038" w:rsidRPr="00234605" w:rsidRDefault="00157038" w:rsidP="00287863">
            <w:pPr>
              <w:jc w:val="center"/>
              <w:rPr>
                <w:color w:val="000000"/>
                <w:sz w:val="19"/>
                <w:szCs w:val="19"/>
              </w:rPr>
            </w:pPr>
            <w:r w:rsidRPr="00234605">
              <w:rPr>
                <w:color w:val="000000"/>
                <w:sz w:val="19"/>
                <w:szCs w:val="19"/>
              </w:rPr>
              <w:t>n/a</w:t>
            </w:r>
          </w:p>
        </w:tc>
        <w:tc>
          <w:tcPr>
            <w:tcW w:w="880" w:type="dxa"/>
            <w:vMerge w:val="restart"/>
            <w:tcBorders>
              <w:top w:val="single" w:sz="8"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0900517A" w14:textId="77777777" w:rsidR="00157038" w:rsidRPr="00234605" w:rsidRDefault="00157038" w:rsidP="00287863">
            <w:pPr>
              <w:jc w:val="center"/>
              <w:rPr>
                <w:color w:val="000000"/>
                <w:sz w:val="19"/>
                <w:szCs w:val="19"/>
              </w:rPr>
            </w:pPr>
            <w:r w:rsidRPr="00234605">
              <w:rPr>
                <w:color w:val="000000"/>
                <w:sz w:val="19"/>
                <w:szCs w:val="19"/>
              </w:rPr>
              <w:t>n/a</w:t>
            </w:r>
          </w:p>
        </w:tc>
        <w:tc>
          <w:tcPr>
            <w:tcW w:w="880" w:type="dxa"/>
            <w:vMerge w:val="restart"/>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6C427A8D" w14:textId="77777777" w:rsidR="00157038" w:rsidRPr="00234605" w:rsidRDefault="00157038" w:rsidP="00287863">
            <w:pPr>
              <w:jc w:val="center"/>
              <w:rPr>
                <w:color w:val="000000"/>
                <w:sz w:val="19"/>
                <w:szCs w:val="19"/>
              </w:rPr>
            </w:pPr>
            <w:r w:rsidRPr="00234605">
              <w:rPr>
                <w:color w:val="000000"/>
                <w:sz w:val="19"/>
                <w:szCs w:val="19"/>
              </w:rPr>
              <w:t>n/a</w:t>
            </w:r>
          </w:p>
        </w:tc>
        <w:tc>
          <w:tcPr>
            <w:tcW w:w="881" w:type="dxa"/>
            <w:vMerge w:val="restart"/>
            <w:tcBorders>
              <w:top w:val="single" w:sz="8" w:space="0" w:color="auto"/>
              <w:left w:val="single" w:sz="4" w:space="0" w:color="auto"/>
              <w:right w:val="single" w:sz="4" w:space="0" w:color="auto"/>
            </w:tcBorders>
            <w:vAlign w:val="center"/>
          </w:tcPr>
          <w:p w14:paraId="4D646D21" w14:textId="77777777" w:rsidR="00157038" w:rsidRPr="00234605" w:rsidRDefault="00157038" w:rsidP="00287863">
            <w:pPr>
              <w:jc w:val="center"/>
              <w:rPr>
                <w:color w:val="000000"/>
                <w:sz w:val="19"/>
                <w:szCs w:val="19"/>
              </w:rPr>
            </w:pPr>
            <w:r w:rsidRPr="00234605">
              <w:rPr>
                <w:color w:val="000000"/>
                <w:sz w:val="19"/>
                <w:szCs w:val="19"/>
              </w:rPr>
              <w:t>n/a</w:t>
            </w:r>
          </w:p>
        </w:tc>
      </w:tr>
      <w:tr w:rsidR="00157038" w:rsidRPr="00234605" w14:paraId="0309B65F" w14:textId="77777777" w:rsidTr="00287863">
        <w:trPr>
          <w:trHeight w:val="290"/>
        </w:trPr>
        <w:tc>
          <w:tcPr>
            <w:tcW w:w="1691" w:type="dxa"/>
            <w:vMerge/>
            <w:tcBorders>
              <w:top w:val="single" w:sz="8" w:space="0" w:color="auto"/>
              <w:left w:val="single" w:sz="4" w:space="0" w:color="auto"/>
              <w:bottom w:val="single" w:sz="8" w:space="0" w:color="000000"/>
              <w:right w:val="single" w:sz="4" w:space="0" w:color="auto"/>
            </w:tcBorders>
            <w:vAlign w:val="center"/>
            <w:hideMark/>
          </w:tcPr>
          <w:p w14:paraId="5325C783" w14:textId="77777777" w:rsidR="00157038" w:rsidRPr="00234605" w:rsidRDefault="00157038" w:rsidP="00287863">
            <w:pPr>
              <w:rPr>
                <w:b/>
                <w:bCs/>
                <w:color w:val="000000"/>
                <w:sz w:val="19"/>
                <w:szCs w:val="19"/>
              </w:rPr>
            </w:pPr>
          </w:p>
        </w:tc>
        <w:tc>
          <w:tcPr>
            <w:tcW w:w="12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63BD96" w14:textId="77777777" w:rsidR="00157038" w:rsidRPr="00234605" w:rsidRDefault="00157038" w:rsidP="00287863">
            <w:pPr>
              <w:jc w:val="center"/>
              <w:rPr>
                <w:b/>
                <w:bCs/>
                <w:color w:val="000000"/>
                <w:sz w:val="19"/>
                <w:szCs w:val="19"/>
              </w:rPr>
            </w:pPr>
            <w:r w:rsidRPr="00234605">
              <w:rPr>
                <w:b/>
                <w:bCs/>
                <w:color w:val="000000"/>
                <w:sz w:val="19"/>
                <w:szCs w:val="19"/>
              </w:rPr>
              <w:t>No</w:t>
            </w:r>
          </w:p>
        </w:tc>
        <w:tc>
          <w:tcPr>
            <w:tcW w:w="8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6D0AE4" w14:textId="77777777" w:rsidR="00157038" w:rsidRPr="00234605" w:rsidRDefault="00157038" w:rsidP="00287863">
            <w:pPr>
              <w:jc w:val="center"/>
              <w:rPr>
                <w:color w:val="000000"/>
                <w:sz w:val="19"/>
                <w:szCs w:val="19"/>
              </w:rPr>
            </w:pPr>
          </w:p>
        </w:tc>
        <w:tc>
          <w:tcPr>
            <w:tcW w:w="880" w:type="dxa"/>
            <w:vMerge/>
            <w:tcBorders>
              <w:left w:val="nil"/>
              <w:bottom w:val="single" w:sz="4" w:space="0" w:color="auto"/>
              <w:right w:val="single" w:sz="4" w:space="0" w:color="auto"/>
            </w:tcBorders>
            <w:vAlign w:val="center"/>
          </w:tcPr>
          <w:p w14:paraId="2E47C025" w14:textId="77777777" w:rsidR="00157038" w:rsidRPr="00234605" w:rsidRDefault="00157038" w:rsidP="00287863">
            <w:pPr>
              <w:jc w:val="center"/>
              <w:rPr>
                <w:color w:val="000000"/>
                <w:sz w:val="19"/>
                <w:szCs w:val="19"/>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1A313E6" w14:textId="77777777" w:rsidR="00157038" w:rsidRPr="00234605" w:rsidRDefault="00157038" w:rsidP="00287863">
            <w:pPr>
              <w:jc w:val="center"/>
              <w:rPr>
                <w:color w:val="000000"/>
                <w:sz w:val="19"/>
                <w:szCs w:val="19"/>
              </w:rPr>
            </w:pPr>
          </w:p>
        </w:tc>
        <w:tc>
          <w:tcPr>
            <w:tcW w:w="88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83F2AD5" w14:textId="77777777" w:rsidR="00157038" w:rsidRPr="00234605" w:rsidRDefault="00157038" w:rsidP="00287863">
            <w:pPr>
              <w:jc w:val="center"/>
              <w:rPr>
                <w:color w:val="000000"/>
                <w:sz w:val="19"/>
                <w:szCs w:val="19"/>
              </w:rPr>
            </w:pPr>
          </w:p>
        </w:tc>
        <w:tc>
          <w:tcPr>
            <w:tcW w:w="880"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A5B03C5" w14:textId="77777777" w:rsidR="00157038" w:rsidRPr="00234605" w:rsidRDefault="00157038" w:rsidP="00287863">
            <w:pPr>
              <w:jc w:val="center"/>
              <w:rPr>
                <w:color w:val="000000"/>
                <w:sz w:val="19"/>
                <w:szCs w:val="19"/>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40AC86F7" w14:textId="77777777" w:rsidR="00157038" w:rsidRPr="00234605" w:rsidRDefault="00157038" w:rsidP="00287863">
            <w:pPr>
              <w:jc w:val="center"/>
              <w:rPr>
                <w:color w:val="000000"/>
                <w:sz w:val="19"/>
                <w:szCs w:val="19"/>
              </w:rPr>
            </w:pPr>
          </w:p>
        </w:tc>
        <w:tc>
          <w:tcPr>
            <w:tcW w:w="881" w:type="dxa"/>
            <w:vMerge/>
            <w:tcBorders>
              <w:left w:val="single" w:sz="4" w:space="0" w:color="auto"/>
              <w:right w:val="single" w:sz="4" w:space="0" w:color="auto"/>
            </w:tcBorders>
            <w:vAlign w:val="center"/>
          </w:tcPr>
          <w:p w14:paraId="35C288DF" w14:textId="77777777" w:rsidR="00157038" w:rsidRPr="00234605" w:rsidRDefault="00157038" w:rsidP="00287863">
            <w:pPr>
              <w:jc w:val="center"/>
              <w:rPr>
                <w:color w:val="000000"/>
                <w:sz w:val="19"/>
                <w:szCs w:val="19"/>
              </w:rPr>
            </w:pPr>
          </w:p>
        </w:tc>
      </w:tr>
      <w:tr w:rsidR="00157038" w:rsidRPr="00234605" w14:paraId="3863A56D" w14:textId="77777777" w:rsidTr="00287863">
        <w:trPr>
          <w:trHeight w:val="300"/>
        </w:trPr>
        <w:tc>
          <w:tcPr>
            <w:tcW w:w="1691" w:type="dxa"/>
            <w:vMerge/>
            <w:tcBorders>
              <w:top w:val="nil"/>
              <w:left w:val="single" w:sz="4" w:space="0" w:color="auto"/>
              <w:bottom w:val="single" w:sz="8" w:space="0" w:color="auto"/>
              <w:right w:val="single" w:sz="4" w:space="0" w:color="auto"/>
            </w:tcBorders>
            <w:vAlign w:val="center"/>
            <w:hideMark/>
          </w:tcPr>
          <w:p w14:paraId="26A60872" w14:textId="77777777" w:rsidR="00157038" w:rsidRPr="00234605" w:rsidRDefault="00157038" w:rsidP="00287863">
            <w:pPr>
              <w:rPr>
                <w:b/>
                <w:bCs/>
                <w:color w:val="000000"/>
                <w:sz w:val="19"/>
                <w:szCs w:val="19"/>
              </w:rPr>
            </w:pPr>
          </w:p>
        </w:tc>
        <w:tc>
          <w:tcPr>
            <w:tcW w:w="1209"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4A9EBE27" w14:textId="77777777" w:rsidR="00157038" w:rsidRPr="00234605" w:rsidRDefault="00157038" w:rsidP="00287863">
            <w:pPr>
              <w:jc w:val="center"/>
              <w:rPr>
                <w:b/>
                <w:bCs/>
                <w:color w:val="000000"/>
                <w:sz w:val="19"/>
                <w:szCs w:val="19"/>
              </w:rPr>
            </w:pPr>
            <w:r w:rsidRPr="00234605">
              <w:rPr>
                <w:b/>
                <w:bCs/>
                <w:color w:val="000000"/>
                <w:sz w:val="19"/>
                <w:szCs w:val="19"/>
              </w:rPr>
              <w:t>Partially</w:t>
            </w:r>
          </w:p>
        </w:tc>
        <w:tc>
          <w:tcPr>
            <w:tcW w:w="880"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46F1CC9D"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8" w:space="0" w:color="auto"/>
              <w:right w:val="single" w:sz="4" w:space="0" w:color="auto"/>
            </w:tcBorders>
            <w:shd w:val="clear" w:color="auto" w:fill="auto"/>
            <w:vAlign w:val="center"/>
          </w:tcPr>
          <w:p w14:paraId="454372D5" w14:textId="77777777" w:rsidR="00157038" w:rsidRPr="00234605" w:rsidRDefault="00157038" w:rsidP="00287863">
            <w:pPr>
              <w:jc w:val="center"/>
              <w:rPr>
                <w:color w:val="000000"/>
                <w:sz w:val="19"/>
                <w:szCs w:val="19"/>
              </w:rPr>
            </w:pPr>
          </w:p>
        </w:tc>
        <w:tc>
          <w:tcPr>
            <w:tcW w:w="880" w:type="dxa"/>
            <w:tcBorders>
              <w:top w:val="single" w:sz="4" w:space="0" w:color="auto"/>
              <w:left w:val="single" w:sz="4" w:space="0" w:color="auto"/>
              <w:bottom w:val="single" w:sz="8" w:space="0" w:color="auto"/>
              <w:right w:val="single" w:sz="4" w:space="0" w:color="auto"/>
            </w:tcBorders>
            <w:shd w:val="clear" w:color="auto" w:fill="auto"/>
            <w:vAlign w:val="center"/>
          </w:tcPr>
          <w:p w14:paraId="47994060"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vMerge/>
            <w:tcBorders>
              <w:top w:val="nil"/>
              <w:left w:val="single" w:sz="4" w:space="0" w:color="auto"/>
              <w:bottom w:val="single" w:sz="8" w:space="0" w:color="auto"/>
              <w:right w:val="single" w:sz="4" w:space="0" w:color="auto"/>
            </w:tcBorders>
            <w:shd w:val="clear" w:color="auto" w:fill="auto"/>
            <w:vAlign w:val="center"/>
            <w:hideMark/>
          </w:tcPr>
          <w:p w14:paraId="5D478B66" w14:textId="77777777" w:rsidR="00157038" w:rsidRPr="00234605" w:rsidRDefault="00157038" w:rsidP="00287863">
            <w:pPr>
              <w:jc w:val="center"/>
              <w:rPr>
                <w:color w:val="000000"/>
                <w:sz w:val="19"/>
                <w:szCs w:val="19"/>
              </w:rPr>
            </w:pPr>
          </w:p>
        </w:tc>
        <w:tc>
          <w:tcPr>
            <w:tcW w:w="880" w:type="dxa"/>
            <w:vMerge/>
            <w:tcBorders>
              <w:top w:val="nil"/>
              <w:left w:val="single" w:sz="4" w:space="0" w:color="auto"/>
              <w:bottom w:val="single" w:sz="8" w:space="0" w:color="auto"/>
              <w:right w:val="single" w:sz="4" w:space="0" w:color="auto"/>
            </w:tcBorders>
            <w:shd w:val="clear" w:color="auto" w:fill="auto"/>
            <w:vAlign w:val="center"/>
            <w:hideMark/>
          </w:tcPr>
          <w:p w14:paraId="1CBBB0CF" w14:textId="77777777" w:rsidR="00157038" w:rsidRPr="00234605" w:rsidRDefault="00157038" w:rsidP="00287863">
            <w:pPr>
              <w:jc w:val="center"/>
              <w:rPr>
                <w:color w:val="000000"/>
                <w:sz w:val="19"/>
                <w:szCs w:val="19"/>
              </w:rPr>
            </w:pPr>
          </w:p>
        </w:tc>
        <w:tc>
          <w:tcPr>
            <w:tcW w:w="880" w:type="dxa"/>
            <w:vMerge/>
            <w:tcBorders>
              <w:top w:val="nil"/>
              <w:left w:val="single" w:sz="4" w:space="0" w:color="auto"/>
              <w:bottom w:val="single" w:sz="8" w:space="0" w:color="auto"/>
              <w:right w:val="single" w:sz="4" w:space="0" w:color="auto"/>
            </w:tcBorders>
            <w:vAlign w:val="center"/>
            <w:hideMark/>
          </w:tcPr>
          <w:p w14:paraId="677AA620" w14:textId="77777777" w:rsidR="00157038" w:rsidRPr="00234605" w:rsidRDefault="00157038" w:rsidP="00287863">
            <w:pPr>
              <w:jc w:val="center"/>
              <w:rPr>
                <w:color w:val="000000"/>
                <w:sz w:val="19"/>
                <w:szCs w:val="19"/>
              </w:rPr>
            </w:pPr>
          </w:p>
        </w:tc>
        <w:tc>
          <w:tcPr>
            <w:tcW w:w="881" w:type="dxa"/>
            <w:vMerge/>
            <w:tcBorders>
              <w:left w:val="single" w:sz="4" w:space="0" w:color="auto"/>
              <w:bottom w:val="single" w:sz="8" w:space="0" w:color="auto"/>
              <w:right w:val="single" w:sz="4" w:space="0" w:color="auto"/>
            </w:tcBorders>
            <w:vAlign w:val="center"/>
          </w:tcPr>
          <w:p w14:paraId="67440AEA" w14:textId="77777777" w:rsidR="00157038" w:rsidRPr="00234605" w:rsidRDefault="00157038" w:rsidP="00287863">
            <w:pPr>
              <w:jc w:val="center"/>
              <w:rPr>
                <w:color w:val="000000"/>
                <w:sz w:val="19"/>
                <w:szCs w:val="19"/>
              </w:rPr>
            </w:pPr>
          </w:p>
        </w:tc>
      </w:tr>
      <w:tr w:rsidR="00157038" w:rsidRPr="00234605" w14:paraId="75CC14DA" w14:textId="77777777" w:rsidTr="00287863">
        <w:trPr>
          <w:trHeight w:val="290"/>
        </w:trPr>
        <w:tc>
          <w:tcPr>
            <w:tcW w:w="1691" w:type="dxa"/>
            <w:vMerge w:val="restart"/>
            <w:tcBorders>
              <w:top w:val="single" w:sz="8"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61CE0815" w14:textId="77777777" w:rsidR="00157038" w:rsidRPr="00234605" w:rsidRDefault="00157038" w:rsidP="00287863">
            <w:pPr>
              <w:rPr>
                <w:b/>
                <w:bCs/>
                <w:color w:val="000000"/>
                <w:sz w:val="19"/>
                <w:szCs w:val="19"/>
              </w:rPr>
            </w:pPr>
            <w:r w:rsidRPr="00234605">
              <w:rPr>
                <w:b/>
                <w:bCs/>
                <w:color w:val="000000"/>
                <w:sz w:val="19"/>
                <w:szCs w:val="19"/>
              </w:rPr>
              <w:t>Associates / Joint Ventures</w:t>
            </w:r>
          </w:p>
        </w:tc>
        <w:tc>
          <w:tcPr>
            <w:tcW w:w="120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90464" w14:textId="77777777" w:rsidR="00157038" w:rsidRPr="00234605" w:rsidRDefault="00157038" w:rsidP="00287863">
            <w:pPr>
              <w:jc w:val="center"/>
              <w:rPr>
                <w:b/>
                <w:bCs/>
                <w:color w:val="000000"/>
                <w:sz w:val="19"/>
                <w:szCs w:val="19"/>
              </w:rPr>
            </w:pPr>
            <w:r w:rsidRPr="00234605">
              <w:rPr>
                <w:b/>
                <w:bCs/>
                <w:color w:val="000000"/>
                <w:sz w:val="19"/>
                <w:szCs w:val="19"/>
              </w:rPr>
              <w:t>Yes</w:t>
            </w: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CA4659"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vMerge w:val="restart"/>
            <w:tcBorders>
              <w:top w:val="single" w:sz="8" w:space="0" w:color="auto"/>
              <w:left w:val="single" w:sz="4" w:space="0" w:color="auto"/>
              <w:right w:val="single" w:sz="4" w:space="0" w:color="auto"/>
            </w:tcBorders>
            <w:vAlign w:val="center"/>
          </w:tcPr>
          <w:p w14:paraId="14F98BE4" w14:textId="77777777" w:rsidR="00157038" w:rsidRPr="00234605" w:rsidRDefault="00157038" w:rsidP="00287863">
            <w:pPr>
              <w:jc w:val="center"/>
              <w:rPr>
                <w:color w:val="000000"/>
                <w:sz w:val="19"/>
                <w:szCs w:val="19"/>
              </w:rPr>
            </w:pPr>
            <w:r w:rsidRPr="00234605">
              <w:rPr>
                <w:color w:val="000000"/>
                <w:sz w:val="19"/>
                <w:szCs w:val="19"/>
              </w:rPr>
              <w:t xml:space="preserve">Not </w:t>
            </w:r>
            <w:r w:rsidRPr="00234605" w:rsidDel="00D552C2">
              <w:rPr>
                <w:color w:val="000000"/>
                <w:sz w:val="19"/>
                <w:szCs w:val="19"/>
              </w:rPr>
              <w:t>assessed</w:t>
            </w:r>
          </w:p>
        </w:tc>
        <w:tc>
          <w:tcPr>
            <w:tcW w:w="880" w:type="dxa"/>
            <w:tcBorders>
              <w:top w:val="single" w:sz="8" w:space="0" w:color="auto"/>
              <w:left w:val="single" w:sz="4" w:space="0" w:color="auto"/>
              <w:bottom w:val="single" w:sz="4" w:space="0" w:color="auto"/>
              <w:right w:val="single" w:sz="4" w:space="0" w:color="auto"/>
            </w:tcBorders>
            <w:shd w:val="clear" w:color="auto" w:fill="auto"/>
            <w:vAlign w:val="center"/>
          </w:tcPr>
          <w:p w14:paraId="44786F36"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4F4C19" w14:textId="77777777" w:rsidR="00157038" w:rsidRPr="00234605" w:rsidRDefault="00157038" w:rsidP="00287863">
            <w:pPr>
              <w:jc w:val="center"/>
              <w:rPr>
                <w:color w:val="000000"/>
                <w:sz w:val="19"/>
                <w:szCs w:val="19"/>
              </w:rPr>
            </w:pPr>
          </w:p>
        </w:tc>
        <w:tc>
          <w:tcPr>
            <w:tcW w:w="880"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2740FD" w14:textId="77777777" w:rsidR="00157038" w:rsidRPr="00234605" w:rsidRDefault="00157038" w:rsidP="00287863">
            <w:pPr>
              <w:jc w:val="center"/>
              <w:rPr>
                <w:color w:val="000000"/>
                <w:sz w:val="19"/>
                <w:szCs w:val="19"/>
              </w:rPr>
            </w:pPr>
          </w:p>
        </w:tc>
        <w:tc>
          <w:tcPr>
            <w:tcW w:w="880" w:type="dxa"/>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F4DE95" w14:textId="77777777" w:rsidR="00157038" w:rsidRPr="00234605" w:rsidRDefault="00157038" w:rsidP="00287863">
            <w:pPr>
              <w:jc w:val="center"/>
              <w:rPr>
                <w:color w:val="000000"/>
                <w:sz w:val="19"/>
                <w:szCs w:val="19"/>
              </w:rPr>
            </w:pPr>
          </w:p>
        </w:tc>
        <w:tc>
          <w:tcPr>
            <w:tcW w:w="881" w:type="dxa"/>
            <w:tcBorders>
              <w:top w:val="single" w:sz="8" w:space="0" w:color="auto"/>
              <w:left w:val="single" w:sz="4" w:space="0" w:color="auto"/>
              <w:bottom w:val="single" w:sz="4" w:space="0" w:color="auto"/>
              <w:right w:val="single" w:sz="4" w:space="0" w:color="auto"/>
            </w:tcBorders>
            <w:vAlign w:val="center"/>
          </w:tcPr>
          <w:p w14:paraId="450BEE91" w14:textId="77777777" w:rsidR="00157038" w:rsidRPr="00234605" w:rsidRDefault="00157038" w:rsidP="00287863">
            <w:pPr>
              <w:jc w:val="center"/>
              <w:rPr>
                <w:color w:val="000000"/>
                <w:sz w:val="19"/>
                <w:szCs w:val="19"/>
              </w:rPr>
            </w:pPr>
          </w:p>
        </w:tc>
      </w:tr>
      <w:tr w:rsidR="00157038" w:rsidRPr="00234605" w14:paraId="08EF9C12" w14:textId="77777777" w:rsidTr="00287863">
        <w:trPr>
          <w:trHeight w:val="173"/>
        </w:trPr>
        <w:tc>
          <w:tcPr>
            <w:tcW w:w="1691" w:type="dxa"/>
            <w:vMerge/>
            <w:tcBorders>
              <w:left w:val="single" w:sz="4" w:space="0" w:color="auto"/>
              <w:right w:val="single" w:sz="4" w:space="0" w:color="auto"/>
            </w:tcBorders>
            <w:vAlign w:val="center"/>
            <w:hideMark/>
          </w:tcPr>
          <w:p w14:paraId="3148E9C7" w14:textId="77777777" w:rsidR="00157038" w:rsidRPr="00234605" w:rsidRDefault="00157038" w:rsidP="00287863">
            <w:pPr>
              <w:rPr>
                <w:b/>
                <w:bCs/>
                <w:color w:val="000000"/>
                <w:sz w:val="19"/>
                <w:szCs w:val="19"/>
              </w:rPr>
            </w:pPr>
          </w:p>
        </w:tc>
        <w:tc>
          <w:tcPr>
            <w:tcW w:w="120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553D576D" w14:textId="77777777" w:rsidR="00157038" w:rsidRPr="00234605" w:rsidRDefault="00157038" w:rsidP="00331C77">
            <w:pPr>
              <w:spacing w:before="60" w:after="60"/>
              <w:jc w:val="center"/>
              <w:rPr>
                <w:b/>
                <w:bCs/>
                <w:color w:val="000000"/>
                <w:sz w:val="19"/>
                <w:szCs w:val="19"/>
              </w:rPr>
            </w:pPr>
            <w:r w:rsidRPr="00234605">
              <w:rPr>
                <w:b/>
                <w:bCs/>
                <w:color w:val="000000"/>
                <w:sz w:val="19"/>
                <w:szCs w:val="19"/>
              </w:rPr>
              <w:t>No</w:t>
            </w:r>
          </w:p>
        </w:tc>
        <w:tc>
          <w:tcPr>
            <w:tcW w:w="8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FCC29" w14:textId="77777777" w:rsidR="00157038" w:rsidRPr="00234605" w:rsidRDefault="00157038" w:rsidP="00331C77">
            <w:pPr>
              <w:spacing w:before="60" w:after="60"/>
              <w:jc w:val="center"/>
              <w:rPr>
                <w:color w:val="000000"/>
                <w:sz w:val="19"/>
                <w:szCs w:val="19"/>
              </w:rPr>
            </w:pPr>
          </w:p>
        </w:tc>
        <w:tc>
          <w:tcPr>
            <w:tcW w:w="880" w:type="dxa"/>
            <w:vMerge/>
            <w:tcBorders>
              <w:left w:val="single" w:sz="4" w:space="0" w:color="auto"/>
              <w:bottom w:val="single" w:sz="4" w:space="0" w:color="auto"/>
              <w:right w:val="single" w:sz="4" w:space="0" w:color="auto"/>
            </w:tcBorders>
            <w:vAlign w:val="center"/>
          </w:tcPr>
          <w:p w14:paraId="69581962" w14:textId="77777777" w:rsidR="00157038" w:rsidRPr="00234605" w:rsidRDefault="00157038" w:rsidP="00331C77">
            <w:pPr>
              <w:spacing w:before="60" w:after="60"/>
              <w:jc w:val="center"/>
              <w:rPr>
                <w:color w:val="000000"/>
                <w:sz w:val="19"/>
                <w:szCs w:val="19"/>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3D2B24B" w14:textId="77777777" w:rsidR="00157038" w:rsidRPr="00234605" w:rsidRDefault="00157038" w:rsidP="00331C77">
            <w:pPr>
              <w:spacing w:before="60" w:after="60"/>
              <w:jc w:val="center"/>
              <w:rPr>
                <w:color w:val="000000"/>
                <w:sz w:val="19"/>
                <w:szCs w:val="19"/>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EE473" w14:textId="77777777" w:rsidR="00157038" w:rsidRPr="00234605" w:rsidRDefault="00157038" w:rsidP="00331C77">
            <w:pPr>
              <w:spacing w:before="60" w:after="60"/>
              <w:jc w:val="center"/>
              <w:rPr>
                <w:color w:val="000000"/>
                <w:sz w:val="19"/>
                <w:szCs w:val="19"/>
              </w:rPr>
            </w:pPr>
            <w:r w:rsidRPr="00234605">
              <w:rPr>
                <w:sz w:val="19"/>
                <w:szCs w:val="19"/>
              </w:rPr>
              <w:sym w:font="Wingdings" w:char="F0FC"/>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EFDB2" w14:textId="77777777" w:rsidR="00157038" w:rsidRPr="00234605" w:rsidRDefault="00157038" w:rsidP="00331C77">
            <w:pPr>
              <w:spacing w:before="60" w:after="60"/>
              <w:jc w:val="center"/>
              <w:rPr>
                <w:color w:val="000000"/>
                <w:sz w:val="19"/>
                <w:szCs w:val="19"/>
              </w:rPr>
            </w:pPr>
            <w:r w:rsidRPr="00234605">
              <w:rPr>
                <w:sz w:val="19"/>
                <w:szCs w:val="19"/>
              </w:rPr>
              <w:sym w:font="Wingdings" w:char="F0FC"/>
            </w:r>
          </w:p>
        </w:tc>
        <w:tc>
          <w:tcPr>
            <w:tcW w:w="880" w:type="dxa"/>
            <w:tcBorders>
              <w:top w:val="single" w:sz="4" w:space="0" w:color="auto"/>
              <w:left w:val="single" w:sz="4" w:space="0" w:color="auto"/>
              <w:bottom w:val="single" w:sz="4" w:space="0" w:color="auto"/>
              <w:right w:val="single" w:sz="4" w:space="0" w:color="auto"/>
            </w:tcBorders>
            <w:vAlign w:val="center"/>
            <w:hideMark/>
          </w:tcPr>
          <w:p w14:paraId="7237817C" w14:textId="77777777" w:rsidR="00157038" w:rsidRPr="00234605" w:rsidRDefault="00157038" w:rsidP="00331C77">
            <w:pPr>
              <w:spacing w:before="60" w:after="60"/>
              <w:jc w:val="center"/>
              <w:rPr>
                <w:color w:val="000000"/>
                <w:sz w:val="19"/>
                <w:szCs w:val="19"/>
              </w:rPr>
            </w:pPr>
            <w:r w:rsidRPr="00234605">
              <w:rPr>
                <w:sz w:val="19"/>
                <w:szCs w:val="19"/>
              </w:rPr>
              <w:sym w:font="Wingdings" w:char="F0FC"/>
            </w:r>
          </w:p>
        </w:tc>
        <w:tc>
          <w:tcPr>
            <w:tcW w:w="881" w:type="dxa"/>
            <w:tcBorders>
              <w:top w:val="single" w:sz="4" w:space="0" w:color="auto"/>
              <w:left w:val="single" w:sz="4" w:space="0" w:color="auto"/>
              <w:bottom w:val="single" w:sz="4" w:space="0" w:color="auto"/>
              <w:right w:val="single" w:sz="4" w:space="0" w:color="auto"/>
            </w:tcBorders>
            <w:vAlign w:val="center"/>
          </w:tcPr>
          <w:p w14:paraId="566F5A7F" w14:textId="77777777" w:rsidR="00157038" w:rsidRPr="00234605" w:rsidRDefault="00157038" w:rsidP="00331C77">
            <w:pPr>
              <w:spacing w:before="60" w:after="60"/>
              <w:jc w:val="center"/>
              <w:rPr>
                <w:color w:val="000000"/>
                <w:sz w:val="19"/>
                <w:szCs w:val="19"/>
              </w:rPr>
            </w:pPr>
            <w:r w:rsidRPr="00234605">
              <w:rPr>
                <w:sz w:val="19"/>
                <w:szCs w:val="19"/>
              </w:rPr>
              <w:sym w:font="Wingdings" w:char="F0FC"/>
            </w:r>
          </w:p>
        </w:tc>
      </w:tr>
      <w:tr w:rsidR="00157038" w:rsidRPr="00234605" w14:paraId="57868409" w14:textId="77777777" w:rsidTr="00287863">
        <w:trPr>
          <w:trHeight w:val="323"/>
        </w:trPr>
        <w:tc>
          <w:tcPr>
            <w:tcW w:w="1691" w:type="dxa"/>
            <w:vMerge w:val="restart"/>
            <w:tcBorders>
              <w:top w:val="single" w:sz="8" w:space="0" w:color="000000"/>
              <w:left w:val="single" w:sz="4" w:space="0" w:color="auto"/>
              <w:right w:val="single" w:sz="4" w:space="0" w:color="auto"/>
            </w:tcBorders>
            <w:shd w:val="clear" w:color="auto" w:fill="auto"/>
            <w:tcMar>
              <w:top w:w="15" w:type="dxa"/>
              <w:left w:w="15" w:type="dxa"/>
              <w:bottom w:w="0" w:type="dxa"/>
              <w:right w:w="15" w:type="dxa"/>
            </w:tcMar>
            <w:vAlign w:val="center"/>
          </w:tcPr>
          <w:p w14:paraId="6B432186" w14:textId="77777777" w:rsidR="00157038" w:rsidRPr="00234605" w:rsidRDefault="00157038" w:rsidP="00287863">
            <w:pPr>
              <w:rPr>
                <w:b/>
                <w:bCs/>
                <w:color w:val="000000"/>
                <w:sz w:val="19"/>
                <w:szCs w:val="19"/>
              </w:rPr>
            </w:pPr>
            <w:r w:rsidRPr="00234605">
              <w:rPr>
                <w:b/>
                <w:bCs/>
                <w:color w:val="000000"/>
                <w:sz w:val="19"/>
                <w:szCs w:val="19"/>
              </w:rPr>
              <w:t>Equity accounted</w:t>
            </w:r>
          </w:p>
        </w:tc>
        <w:tc>
          <w:tcPr>
            <w:tcW w:w="120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69FA5C" w14:textId="77777777" w:rsidR="00157038" w:rsidRPr="00234605" w:rsidRDefault="00157038" w:rsidP="00287863">
            <w:pPr>
              <w:jc w:val="center"/>
              <w:rPr>
                <w:b/>
                <w:bCs/>
                <w:color w:val="000000"/>
                <w:sz w:val="19"/>
                <w:szCs w:val="19"/>
              </w:rPr>
            </w:pPr>
            <w:r w:rsidRPr="00234605">
              <w:rPr>
                <w:b/>
                <w:bCs/>
                <w:color w:val="000000"/>
                <w:sz w:val="19"/>
                <w:szCs w:val="19"/>
              </w:rPr>
              <w:t>Yes</w:t>
            </w: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B64575" w14:textId="77777777" w:rsidR="00157038" w:rsidRPr="00234605" w:rsidRDefault="00157038" w:rsidP="00287863">
            <w:pPr>
              <w:jc w:val="center"/>
              <w:rPr>
                <w:sz w:val="19"/>
                <w:szCs w:val="19"/>
              </w:rPr>
            </w:pPr>
            <w:r w:rsidRPr="00234605">
              <w:rPr>
                <w:sz w:val="19"/>
                <w:szCs w:val="19"/>
              </w:rPr>
              <w:sym w:font="Wingdings" w:char="F0FC"/>
            </w:r>
          </w:p>
        </w:tc>
        <w:tc>
          <w:tcPr>
            <w:tcW w:w="880" w:type="dxa"/>
            <w:tcBorders>
              <w:top w:val="single" w:sz="8" w:space="0" w:color="auto"/>
              <w:left w:val="nil"/>
              <w:bottom w:val="single" w:sz="4" w:space="0" w:color="auto"/>
              <w:right w:val="single" w:sz="4" w:space="0" w:color="auto"/>
            </w:tcBorders>
            <w:vAlign w:val="center"/>
          </w:tcPr>
          <w:p w14:paraId="08936F86" w14:textId="77777777" w:rsidR="00157038" w:rsidRPr="00234605" w:rsidRDefault="00157038" w:rsidP="00287863">
            <w:pPr>
              <w:jc w:val="center"/>
              <w:rPr>
                <w:sz w:val="19"/>
                <w:szCs w:val="19"/>
              </w:rPr>
            </w:pPr>
          </w:p>
        </w:tc>
        <w:tc>
          <w:tcPr>
            <w:tcW w:w="880" w:type="dxa"/>
            <w:tcBorders>
              <w:top w:val="single" w:sz="8" w:space="0" w:color="auto"/>
              <w:left w:val="nil"/>
              <w:bottom w:val="single" w:sz="4" w:space="0" w:color="auto"/>
              <w:right w:val="single" w:sz="4" w:space="0" w:color="auto"/>
            </w:tcBorders>
            <w:shd w:val="clear" w:color="auto" w:fill="auto"/>
            <w:vAlign w:val="center"/>
          </w:tcPr>
          <w:p w14:paraId="1B2A2F3D" w14:textId="77777777" w:rsidR="00157038" w:rsidRPr="00234605" w:rsidRDefault="00157038" w:rsidP="00287863">
            <w:pPr>
              <w:jc w:val="center"/>
              <w:rPr>
                <w:sz w:val="19"/>
                <w:szCs w:val="19"/>
              </w:rPr>
            </w:pPr>
          </w:p>
        </w:tc>
        <w:tc>
          <w:tcPr>
            <w:tcW w:w="881" w:type="dxa"/>
            <w:vMerge w:val="restart"/>
            <w:tcBorders>
              <w:top w:val="single" w:sz="8"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3C62FC8B" w14:textId="77777777" w:rsidR="00157038" w:rsidRPr="00234605" w:rsidRDefault="00157038" w:rsidP="00287863">
            <w:pPr>
              <w:jc w:val="center"/>
              <w:rPr>
                <w:color w:val="000000"/>
                <w:sz w:val="19"/>
                <w:szCs w:val="19"/>
              </w:rPr>
            </w:pPr>
            <w:r w:rsidRPr="00234605">
              <w:rPr>
                <w:color w:val="000000"/>
                <w:sz w:val="19"/>
                <w:szCs w:val="19"/>
              </w:rPr>
              <w:t>n/a</w:t>
            </w:r>
          </w:p>
        </w:tc>
        <w:tc>
          <w:tcPr>
            <w:tcW w:w="880" w:type="dxa"/>
            <w:vMerge w:val="restart"/>
            <w:tcBorders>
              <w:top w:val="single" w:sz="8" w:space="0" w:color="auto"/>
              <w:left w:val="nil"/>
              <w:right w:val="single" w:sz="4" w:space="0" w:color="auto"/>
            </w:tcBorders>
            <w:shd w:val="clear" w:color="auto" w:fill="auto"/>
            <w:noWrap/>
            <w:tcMar>
              <w:top w:w="15" w:type="dxa"/>
              <w:left w:w="15" w:type="dxa"/>
              <w:bottom w:w="0" w:type="dxa"/>
              <w:right w:w="15" w:type="dxa"/>
            </w:tcMar>
            <w:vAlign w:val="center"/>
          </w:tcPr>
          <w:p w14:paraId="3C7F41FA" w14:textId="77777777" w:rsidR="00157038" w:rsidRPr="00234605" w:rsidRDefault="00157038" w:rsidP="00287863">
            <w:pPr>
              <w:jc w:val="center"/>
              <w:rPr>
                <w:color w:val="000000"/>
                <w:sz w:val="19"/>
                <w:szCs w:val="19"/>
              </w:rPr>
            </w:pPr>
            <w:r w:rsidRPr="00234605">
              <w:rPr>
                <w:color w:val="000000"/>
                <w:sz w:val="19"/>
                <w:szCs w:val="19"/>
              </w:rPr>
              <w:t>n/a</w:t>
            </w:r>
          </w:p>
        </w:tc>
        <w:tc>
          <w:tcPr>
            <w:tcW w:w="880" w:type="dxa"/>
            <w:vMerge w:val="restart"/>
            <w:tcBorders>
              <w:top w:val="single" w:sz="8" w:space="0" w:color="auto"/>
              <w:left w:val="nil"/>
              <w:right w:val="single" w:sz="4" w:space="0" w:color="auto"/>
            </w:tcBorders>
            <w:noWrap/>
            <w:tcMar>
              <w:top w:w="15" w:type="dxa"/>
              <w:left w:w="15" w:type="dxa"/>
              <w:bottom w:w="0" w:type="dxa"/>
              <w:right w:w="15" w:type="dxa"/>
            </w:tcMar>
            <w:vAlign w:val="center"/>
          </w:tcPr>
          <w:p w14:paraId="7912F9B8" w14:textId="77777777" w:rsidR="00157038" w:rsidRPr="00234605" w:rsidRDefault="00157038" w:rsidP="00287863">
            <w:pPr>
              <w:jc w:val="center"/>
              <w:rPr>
                <w:color w:val="000000"/>
                <w:sz w:val="19"/>
                <w:szCs w:val="19"/>
              </w:rPr>
            </w:pPr>
            <w:r w:rsidRPr="00234605">
              <w:rPr>
                <w:color w:val="000000"/>
                <w:sz w:val="19"/>
                <w:szCs w:val="19"/>
              </w:rPr>
              <w:t>n/a</w:t>
            </w:r>
          </w:p>
        </w:tc>
        <w:tc>
          <w:tcPr>
            <w:tcW w:w="881" w:type="dxa"/>
            <w:vMerge w:val="restart"/>
            <w:tcBorders>
              <w:top w:val="single" w:sz="8" w:space="0" w:color="auto"/>
              <w:left w:val="single" w:sz="4" w:space="0" w:color="auto"/>
              <w:right w:val="single" w:sz="4" w:space="0" w:color="auto"/>
            </w:tcBorders>
            <w:vAlign w:val="center"/>
          </w:tcPr>
          <w:p w14:paraId="6803093E" w14:textId="77777777" w:rsidR="00157038" w:rsidRPr="00234605" w:rsidRDefault="00157038" w:rsidP="00287863">
            <w:pPr>
              <w:jc w:val="center"/>
              <w:rPr>
                <w:color w:val="000000"/>
                <w:sz w:val="19"/>
                <w:szCs w:val="19"/>
              </w:rPr>
            </w:pPr>
            <w:r w:rsidRPr="00234605">
              <w:rPr>
                <w:color w:val="000000"/>
                <w:sz w:val="19"/>
                <w:szCs w:val="19"/>
              </w:rPr>
              <w:t>n/a</w:t>
            </w:r>
          </w:p>
        </w:tc>
      </w:tr>
      <w:tr w:rsidR="00157038" w:rsidRPr="00234605" w14:paraId="2063841A" w14:textId="77777777" w:rsidTr="00287863">
        <w:trPr>
          <w:trHeight w:val="322"/>
        </w:trPr>
        <w:tc>
          <w:tcPr>
            <w:tcW w:w="1691"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5E84386A" w14:textId="77777777" w:rsidR="00157038" w:rsidRPr="00234605" w:rsidRDefault="00157038" w:rsidP="00287863">
            <w:pPr>
              <w:rPr>
                <w:b/>
                <w:bCs/>
                <w:color w:val="000000"/>
                <w:sz w:val="19"/>
                <w:szCs w:val="19"/>
              </w:rPr>
            </w:pPr>
          </w:p>
        </w:tc>
        <w:tc>
          <w:tcPr>
            <w:tcW w:w="120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7530F9" w14:textId="77777777" w:rsidR="00157038" w:rsidRPr="00234605" w:rsidRDefault="00157038" w:rsidP="00287863">
            <w:pPr>
              <w:jc w:val="center"/>
              <w:rPr>
                <w:b/>
                <w:bCs/>
                <w:color w:val="000000"/>
                <w:sz w:val="19"/>
                <w:szCs w:val="19"/>
              </w:rPr>
            </w:pPr>
            <w:r w:rsidRPr="00234605">
              <w:rPr>
                <w:b/>
                <w:bCs/>
                <w:color w:val="000000"/>
                <w:sz w:val="19"/>
                <w:szCs w:val="19"/>
              </w:rPr>
              <w:t>No</w:t>
            </w:r>
          </w:p>
        </w:tc>
        <w:tc>
          <w:tcPr>
            <w:tcW w:w="8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E47A9A" w14:textId="77777777" w:rsidR="00157038" w:rsidRPr="00234605" w:rsidRDefault="00157038" w:rsidP="00287863">
            <w:pPr>
              <w:jc w:val="center"/>
              <w:rPr>
                <w:sz w:val="19"/>
                <w:szCs w:val="19"/>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73403DFC" w14:textId="77777777" w:rsidR="00157038" w:rsidRPr="00234605" w:rsidRDefault="00157038" w:rsidP="00287863">
            <w:pPr>
              <w:jc w:val="center"/>
              <w:rPr>
                <w:sz w:val="19"/>
                <w:szCs w:val="19"/>
              </w:rPr>
            </w:pPr>
            <w:r w:rsidRPr="00234605">
              <w:rPr>
                <w:sz w:val="19"/>
                <w:szCs w:val="19"/>
              </w:rPr>
              <w:sym w:font="Wingdings" w:char="F0FC"/>
            </w:r>
          </w:p>
        </w:tc>
        <w:tc>
          <w:tcPr>
            <w:tcW w:w="880" w:type="dxa"/>
            <w:tcBorders>
              <w:top w:val="single" w:sz="4" w:space="0" w:color="auto"/>
              <w:left w:val="nil"/>
              <w:bottom w:val="single" w:sz="4" w:space="0" w:color="auto"/>
              <w:right w:val="single" w:sz="4" w:space="0" w:color="auto"/>
            </w:tcBorders>
            <w:shd w:val="clear" w:color="auto" w:fill="auto"/>
            <w:vAlign w:val="center"/>
          </w:tcPr>
          <w:p w14:paraId="0296D6CD" w14:textId="77777777" w:rsidR="00157038" w:rsidRPr="00234605" w:rsidRDefault="00157038" w:rsidP="00287863">
            <w:pPr>
              <w:jc w:val="center"/>
              <w:rPr>
                <w:sz w:val="19"/>
                <w:szCs w:val="19"/>
              </w:rPr>
            </w:pPr>
          </w:p>
        </w:tc>
        <w:tc>
          <w:tcPr>
            <w:tcW w:w="881"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6FBB1976" w14:textId="77777777" w:rsidR="00157038" w:rsidRPr="00234605" w:rsidRDefault="00157038" w:rsidP="00287863">
            <w:pPr>
              <w:jc w:val="center"/>
              <w:rPr>
                <w:color w:val="000000"/>
                <w:sz w:val="19"/>
                <w:szCs w:val="19"/>
              </w:rPr>
            </w:pPr>
          </w:p>
        </w:tc>
        <w:tc>
          <w:tcPr>
            <w:tcW w:w="880" w:type="dxa"/>
            <w:vMerge/>
            <w:tcBorders>
              <w:left w:val="nil"/>
              <w:right w:val="single" w:sz="4" w:space="0" w:color="auto"/>
            </w:tcBorders>
            <w:shd w:val="clear" w:color="auto" w:fill="auto"/>
            <w:noWrap/>
            <w:tcMar>
              <w:top w:w="15" w:type="dxa"/>
              <w:left w:w="15" w:type="dxa"/>
              <w:bottom w:w="0" w:type="dxa"/>
              <w:right w:w="15" w:type="dxa"/>
            </w:tcMar>
            <w:vAlign w:val="center"/>
          </w:tcPr>
          <w:p w14:paraId="77CCBD66" w14:textId="77777777" w:rsidR="00157038" w:rsidRPr="00234605" w:rsidRDefault="00157038" w:rsidP="00287863">
            <w:pPr>
              <w:jc w:val="center"/>
              <w:rPr>
                <w:color w:val="000000"/>
                <w:sz w:val="19"/>
                <w:szCs w:val="19"/>
              </w:rPr>
            </w:pPr>
          </w:p>
        </w:tc>
        <w:tc>
          <w:tcPr>
            <w:tcW w:w="880" w:type="dxa"/>
            <w:vMerge/>
            <w:tcBorders>
              <w:left w:val="nil"/>
              <w:right w:val="single" w:sz="4" w:space="0" w:color="auto"/>
            </w:tcBorders>
            <w:noWrap/>
            <w:tcMar>
              <w:top w:w="15" w:type="dxa"/>
              <w:left w:w="15" w:type="dxa"/>
              <w:bottom w:w="0" w:type="dxa"/>
              <w:right w:w="15" w:type="dxa"/>
            </w:tcMar>
            <w:vAlign w:val="center"/>
          </w:tcPr>
          <w:p w14:paraId="048AFACE" w14:textId="77777777" w:rsidR="00157038" w:rsidRPr="00234605" w:rsidRDefault="00157038" w:rsidP="00287863">
            <w:pPr>
              <w:jc w:val="center"/>
              <w:rPr>
                <w:color w:val="000000"/>
                <w:sz w:val="19"/>
                <w:szCs w:val="19"/>
              </w:rPr>
            </w:pPr>
          </w:p>
        </w:tc>
        <w:tc>
          <w:tcPr>
            <w:tcW w:w="881" w:type="dxa"/>
            <w:vMerge/>
            <w:tcBorders>
              <w:left w:val="single" w:sz="4" w:space="0" w:color="auto"/>
              <w:right w:val="single" w:sz="4" w:space="0" w:color="auto"/>
            </w:tcBorders>
            <w:vAlign w:val="center"/>
          </w:tcPr>
          <w:p w14:paraId="62C450FA" w14:textId="77777777" w:rsidR="00157038" w:rsidRPr="00234605" w:rsidRDefault="00157038" w:rsidP="00287863">
            <w:pPr>
              <w:jc w:val="center"/>
              <w:rPr>
                <w:color w:val="000000"/>
                <w:sz w:val="19"/>
                <w:szCs w:val="19"/>
              </w:rPr>
            </w:pPr>
          </w:p>
        </w:tc>
      </w:tr>
      <w:tr w:rsidR="00157038" w:rsidRPr="00234605" w14:paraId="1B5DCF0F" w14:textId="77777777" w:rsidTr="00287863">
        <w:trPr>
          <w:trHeight w:val="322"/>
        </w:trPr>
        <w:tc>
          <w:tcPr>
            <w:tcW w:w="1691" w:type="dxa"/>
            <w:vMerge/>
            <w:tcBorders>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tcPr>
          <w:p w14:paraId="24CFA7E6" w14:textId="77777777" w:rsidR="00157038" w:rsidRPr="00234605" w:rsidRDefault="00157038" w:rsidP="00287863">
            <w:pPr>
              <w:rPr>
                <w:b/>
                <w:bCs/>
                <w:color w:val="000000"/>
                <w:sz w:val="19"/>
                <w:szCs w:val="19"/>
              </w:rPr>
            </w:pPr>
          </w:p>
        </w:tc>
        <w:tc>
          <w:tcPr>
            <w:tcW w:w="1209"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4D68DCD9" w14:textId="77777777" w:rsidR="00157038" w:rsidRPr="00234605" w:rsidRDefault="00157038" w:rsidP="00287863">
            <w:pPr>
              <w:jc w:val="center"/>
              <w:rPr>
                <w:b/>
                <w:bCs/>
                <w:color w:val="000000"/>
                <w:sz w:val="19"/>
                <w:szCs w:val="19"/>
              </w:rPr>
            </w:pPr>
            <w:r w:rsidRPr="00234605">
              <w:rPr>
                <w:b/>
                <w:bCs/>
                <w:color w:val="000000"/>
                <w:sz w:val="19"/>
                <w:szCs w:val="19"/>
              </w:rPr>
              <w:t>Partially</w:t>
            </w:r>
          </w:p>
        </w:tc>
        <w:tc>
          <w:tcPr>
            <w:tcW w:w="880"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4AED56CF" w14:textId="77777777" w:rsidR="00157038" w:rsidRPr="00234605" w:rsidRDefault="00157038" w:rsidP="00287863">
            <w:pPr>
              <w:jc w:val="center"/>
              <w:rPr>
                <w:sz w:val="19"/>
                <w:szCs w:val="19"/>
              </w:rPr>
            </w:pPr>
          </w:p>
        </w:tc>
        <w:tc>
          <w:tcPr>
            <w:tcW w:w="880" w:type="dxa"/>
            <w:tcBorders>
              <w:top w:val="single" w:sz="4" w:space="0" w:color="auto"/>
              <w:left w:val="nil"/>
              <w:bottom w:val="single" w:sz="8" w:space="0" w:color="auto"/>
              <w:right w:val="single" w:sz="4" w:space="0" w:color="auto"/>
            </w:tcBorders>
            <w:shd w:val="clear" w:color="auto" w:fill="auto"/>
            <w:vAlign w:val="center"/>
          </w:tcPr>
          <w:p w14:paraId="0E282535" w14:textId="77777777" w:rsidR="00157038" w:rsidRPr="00234605" w:rsidRDefault="00157038" w:rsidP="00287863">
            <w:pPr>
              <w:jc w:val="center"/>
              <w:rPr>
                <w:sz w:val="19"/>
                <w:szCs w:val="19"/>
              </w:rPr>
            </w:pPr>
          </w:p>
        </w:tc>
        <w:tc>
          <w:tcPr>
            <w:tcW w:w="880" w:type="dxa"/>
            <w:tcBorders>
              <w:top w:val="single" w:sz="4" w:space="0" w:color="auto"/>
              <w:left w:val="nil"/>
              <w:bottom w:val="single" w:sz="8" w:space="0" w:color="auto"/>
              <w:right w:val="single" w:sz="4" w:space="0" w:color="auto"/>
            </w:tcBorders>
            <w:shd w:val="clear" w:color="auto" w:fill="auto"/>
            <w:vAlign w:val="center"/>
          </w:tcPr>
          <w:p w14:paraId="35282C36" w14:textId="77777777" w:rsidR="00157038" w:rsidRPr="00234605" w:rsidRDefault="00157038" w:rsidP="00287863">
            <w:pPr>
              <w:jc w:val="center"/>
              <w:rPr>
                <w:sz w:val="19"/>
                <w:szCs w:val="19"/>
              </w:rPr>
            </w:pPr>
            <w:r w:rsidRPr="00234605">
              <w:rPr>
                <w:sz w:val="19"/>
                <w:szCs w:val="19"/>
              </w:rPr>
              <w:sym w:font="Wingdings" w:char="F0FC"/>
            </w:r>
          </w:p>
        </w:tc>
        <w:tc>
          <w:tcPr>
            <w:tcW w:w="881" w:type="dxa"/>
            <w:vMerge/>
            <w:tcBorders>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6134D1CE" w14:textId="77777777" w:rsidR="00157038" w:rsidRPr="00234605" w:rsidRDefault="00157038" w:rsidP="00287863">
            <w:pPr>
              <w:jc w:val="center"/>
              <w:rPr>
                <w:color w:val="000000"/>
                <w:sz w:val="19"/>
                <w:szCs w:val="19"/>
              </w:rPr>
            </w:pPr>
          </w:p>
        </w:tc>
        <w:tc>
          <w:tcPr>
            <w:tcW w:w="880" w:type="dxa"/>
            <w:vMerge/>
            <w:tcBorders>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4261C2E6" w14:textId="77777777" w:rsidR="00157038" w:rsidRPr="00234605" w:rsidRDefault="00157038" w:rsidP="00287863">
            <w:pPr>
              <w:jc w:val="center"/>
              <w:rPr>
                <w:color w:val="000000"/>
                <w:sz w:val="19"/>
                <w:szCs w:val="19"/>
              </w:rPr>
            </w:pPr>
          </w:p>
        </w:tc>
        <w:tc>
          <w:tcPr>
            <w:tcW w:w="880" w:type="dxa"/>
            <w:vMerge/>
            <w:tcBorders>
              <w:left w:val="nil"/>
              <w:bottom w:val="single" w:sz="8" w:space="0" w:color="auto"/>
              <w:right w:val="single" w:sz="4" w:space="0" w:color="auto"/>
            </w:tcBorders>
            <w:noWrap/>
            <w:tcMar>
              <w:top w:w="15" w:type="dxa"/>
              <w:left w:w="15" w:type="dxa"/>
              <w:bottom w:w="0" w:type="dxa"/>
              <w:right w:w="15" w:type="dxa"/>
            </w:tcMar>
            <w:vAlign w:val="center"/>
          </w:tcPr>
          <w:p w14:paraId="3B7EBD15" w14:textId="77777777" w:rsidR="00157038" w:rsidRPr="00234605" w:rsidRDefault="00157038" w:rsidP="00287863">
            <w:pPr>
              <w:jc w:val="center"/>
              <w:rPr>
                <w:color w:val="000000"/>
                <w:sz w:val="19"/>
                <w:szCs w:val="19"/>
              </w:rPr>
            </w:pPr>
          </w:p>
        </w:tc>
        <w:tc>
          <w:tcPr>
            <w:tcW w:w="881" w:type="dxa"/>
            <w:vMerge/>
            <w:tcBorders>
              <w:left w:val="single" w:sz="4" w:space="0" w:color="auto"/>
              <w:bottom w:val="single" w:sz="8" w:space="0" w:color="auto"/>
              <w:right w:val="single" w:sz="4" w:space="0" w:color="auto"/>
            </w:tcBorders>
            <w:vAlign w:val="center"/>
          </w:tcPr>
          <w:p w14:paraId="0828AC11" w14:textId="77777777" w:rsidR="00157038" w:rsidRPr="00234605" w:rsidRDefault="00157038" w:rsidP="00287863">
            <w:pPr>
              <w:jc w:val="center"/>
              <w:rPr>
                <w:color w:val="000000"/>
                <w:sz w:val="19"/>
                <w:szCs w:val="19"/>
              </w:rPr>
            </w:pPr>
          </w:p>
        </w:tc>
      </w:tr>
      <w:tr w:rsidR="00157038" w:rsidRPr="00234605" w14:paraId="151C59BD" w14:textId="77777777" w:rsidTr="00331C77">
        <w:trPr>
          <w:trHeight w:val="510"/>
        </w:trPr>
        <w:tc>
          <w:tcPr>
            <w:tcW w:w="1691" w:type="dxa"/>
            <w:vMerge w:val="restart"/>
            <w:tcBorders>
              <w:top w:val="single" w:sz="8" w:space="0" w:color="000000"/>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DD45D7" w14:textId="2C76FB88" w:rsidR="00157038" w:rsidRPr="00234605" w:rsidRDefault="00157038" w:rsidP="00331C77">
            <w:pPr>
              <w:spacing w:before="60" w:after="60"/>
              <w:rPr>
                <w:b/>
                <w:bCs/>
                <w:color w:val="000000"/>
                <w:sz w:val="19"/>
                <w:szCs w:val="19"/>
              </w:rPr>
            </w:pPr>
            <w:r w:rsidRPr="00234605">
              <w:rPr>
                <w:b/>
                <w:bCs/>
                <w:color w:val="000000"/>
                <w:sz w:val="19"/>
                <w:szCs w:val="19"/>
              </w:rPr>
              <w:t>Material accounting policies comply with all recognition and measurement requirements (except for AASB</w:t>
            </w:r>
            <w:r w:rsidR="007A09E8">
              <w:rPr>
                <w:b/>
                <w:bCs/>
                <w:color w:val="000000"/>
                <w:sz w:val="19"/>
                <w:szCs w:val="19"/>
              </w:rPr>
              <w:t> </w:t>
            </w:r>
            <w:r w:rsidRPr="00234605">
              <w:rPr>
                <w:b/>
                <w:bCs/>
                <w:color w:val="000000"/>
                <w:sz w:val="19"/>
                <w:szCs w:val="19"/>
              </w:rPr>
              <w:t>10 or AASB</w:t>
            </w:r>
            <w:r w:rsidR="007A09E8">
              <w:rPr>
                <w:b/>
                <w:bCs/>
                <w:color w:val="000000"/>
                <w:sz w:val="19"/>
                <w:szCs w:val="19"/>
              </w:rPr>
              <w:t> </w:t>
            </w:r>
            <w:r w:rsidRPr="00234605">
              <w:rPr>
                <w:b/>
                <w:bCs/>
                <w:color w:val="000000"/>
                <w:sz w:val="19"/>
                <w:szCs w:val="19"/>
              </w:rPr>
              <w:t>128)</w:t>
            </w:r>
          </w:p>
        </w:tc>
        <w:tc>
          <w:tcPr>
            <w:tcW w:w="1209"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5BCD4FAD" w14:textId="77777777" w:rsidR="00157038" w:rsidRPr="00234605" w:rsidRDefault="00157038" w:rsidP="00287863">
            <w:pPr>
              <w:jc w:val="center"/>
              <w:rPr>
                <w:b/>
                <w:bCs/>
                <w:color w:val="000000"/>
                <w:sz w:val="19"/>
                <w:szCs w:val="19"/>
              </w:rPr>
            </w:pPr>
            <w:r w:rsidRPr="00234605">
              <w:rPr>
                <w:b/>
                <w:bCs/>
                <w:color w:val="000000"/>
                <w:sz w:val="19"/>
                <w:szCs w:val="19"/>
              </w:rPr>
              <w:t>Yes</w:t>
            </w:r>
          </w:p>
        </w:tc>
        <w:tc>
          <w:tcPr>
            <w:tcW w:w="880"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6E768260" w14:textId="77777777" w:rsidR="00157038" w:rsidRPr="00234605" w:rsidRDefault="00157038" w:rsidP="00287863">
            <w:pPr>
              <w:jc w:val="center"/>
              <w:rPr>
                <w:sz w:val="19"/>
                <w:szCs w:val="19"/>
              </w:rPr>
            </w:pPr>
            <w:r w:rsidRPr="00234605">
              <w:rPr>
                <w:sz w:val="19"/>
                <w:szCs w:val="19"/>
              </w:rPr>
              <w:sym w:font="Wingdings" w:char="F0FC"/>
            </w:r>
          </w:p>
        </w:tc>
        <w:tc>
          <w:tcPr>
            <w:tcW w:w="880" w:type="dxa"/>
            <w:tcBorders>
              <w:top w:val="single" w:sz="8" w:space="0" w:color="auto"/>
              <w:left w:val="nil"/>
              <w:bottom w:val="single" w:sz="8" w:space="0" w:color="auto"/>
              <w:right w:val="single" w:sz="4" w:space="0" w:color="auto"/>
            </w:tcBorders>
            <w:vAlign w:val="center"/>
          </w:tcPr>
          <w:p w14:paraId="5374979B" w14:textId="77777777" w:rsidR="00157038" w:rsidRPr="00234605" w:rsidRDefault="00157038" w:rsidP="00287863">
            <w:pPr>
              <w:jc w:val="center"/>
              <w:rPr>
                <w:sz w:val="19"/>
                <w:szCs w:val="19"/>
              </w:rPr>
            </w:pPr>
            <w:r w:rsidRPr="00234605">
              <w:rPr>
                <w:sz w:val="19"/>
                <w:szCs w:val="19"/>
              </w:rPr>
              <w:sym w:font="Wingdings" w:char="F0FC"/>
            </w:r>
          </w:p>
        </w:tc>
        <w:tc>
          <w:tcPr>
            <w:tcW w:w="880" w:type="dxa"/>
            <w:tcBorders>
              <w:top w:val="single" w:sz="8" w:space="0" w:color="auto"/>
              <w:left w:val="nil"/>
              <w:bottom w:val="single" w:sz="8" w:space="0" w:color="auto"/>
              <w:right w:val="single" w:sz="4" w:space="0" w:color="auto"/>
            </w:tcBorders>
            <w:shd w:val="clear" w:color="auto" w:fill="auto"/>
            <w:vAlign w:val="center"/>
          </w:tcPr>
          <w:p w14:paraId="3AE90387" w14:textId="77777777" w:rsidR="00157038" w:rsidRPr="00234605" w:rsidRDefault="00157038" w:rsidP="00287863">
            <w:pPr>
              <w:jc w:val="center"/>
              <w:rPr>
                <w:sz w:val="19"/>
                <w:szCs w:val="19"/>
              </w:rPr>
            </w:pPr>
            <w:r w:rsidRPr="00234605">
              <w:rPr>
                <w:sz w:val="19"/>
                <w:szCs w:val="19"/>
              </w:rPr>
              <w:sym w:font="Wingdings" w:char="F0FC"/>
            </w:r>
          </w:p>
        </w:tc>
        <w:tc>
          <w:tcPr>
            <w:tcW w:w="881" w:type="dxa"/>
            <w:tcBorders>
              <w:top w:val="single" w:sz="8"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1839334D" w14:textId="77777777" w:rsidR="00157038" w:rsidRPr="00234605" w:rsidRDefault="00157038" w:rsidP="00287863">
            <w:pPr>
              <w:jc w:val="center"/>
              <w:rPr>
                <w:color w:val="000000"/>
                <w:sz w:val="19"/>
                <w:szCs w:val="19"/>
              </w:rPr>
            </w:pPr>
          </w:p>
        </w:tc>
        <w:tc>
          <w:tcPr>
            <w:tcW w:w="880"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6571E1F8" w14:textId="77777777" w:rsidR="00157038" w:rsidRPr="00234605" w:rsidRDefault="00157038" w:rsidP="00287863">
            <w:pPr>
              <w:jc w:val="center"/>
              <w:rPr>
                <w:color w:val="000000"/>
                <w:sz w:val="19"/>
                <w:szCs w:val="19"/>
              </w:rPr>
            </w:pPr>
          </w:p>
        </w:tc>
        <w:tc>
          <w:tcPr>
            <w:tcW w:w="8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5CF6CE7E" w14:textId="77777777" w:rsidR="00157038" w:rsidRPr="00234605" w:rsidRDefault="00157038" w:rsidP="00287863">
            <w:pPr>
              <w:jc w:val="center"/>
              <w:rPr>
                <w:color w:val="000000"/>
                <w:sz w:val="19"/>
                <w:szCs w:val="19"/>
              </w:rPr>
            </w:pPr>
          </w:p>
        </w:tc>
        <w:tc>
          <w:tcPr>
            <w:tcW w:w="881" w:type="dxa"/>
            <w:tcBorders>
              <w:top w:val="single" w:sz="8" w:space="0" w:color="auto"/>
              <w:left w:val="single" w:sz="4" w:space="0" w:color="auto"/>
              <w:bottom w:val="single" w:sz="8" w:space="0" w:color="auto"/>
              <w:right w:val="single" w:sz="4" w:space="0" w:color="auto"/>
            </w:tcBorders>
            <w:vAlign w:val="center"/>
          </w:tcPr>
          <w:p w14:paraId="035CAB18" w14:textId="77777777" w:rsidR="00157038" w:rsidRPr="00234605" w:rsidRDefault="00157038" w:rsidP="00287863">
            <w:pPr>
              <w:jc w:val="center"/>
              <w:rPr>
                <w:color w:val="000000"/>
                <w:sz w:val="19"/>
                <w:szCs w:val="19"/>
              </w:rPr>
            </w:pPr>
          </w:p>
        </w:tc>
      </w:tr>
      <w:tr w:rsidR="00157038" w:rsidRPr="00234605" w14:paraId="40A27502" w14:textId="77777777" w:rsidTr="00331C77">
        <w:trPr>
          <w:trHeight w:val="510"/>
        </w:trPr>
        <w:tc>
          <w:tcPr>
            <w:tcW w:w="169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AB6CF7" w14:textId="77777777" w:rsidR="00157038" w:rsidRPr="00234605" w:rsidRDefault="00157038" w:rsidP="00287863">
            <w:pPr>
              <w:rPr>
                <w:b/>
                <w:bCs/>
                <w:color w:val="000000"/>
                <w:sz w:val="19"/>
                <w:szCs w:val="19"/>
              </w:rPr>
            </w:pPr>
          </w:p>
        </w:tc>
        <w:tc>
          <w:tcPr>
            <w:tcW w:w="120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80409B" w14:textId="77777777" w:rsidR="00157038" w:rsidRPr="00234605" w:rsidRDefault="00157038" w:rsidP="00287863">
            <w:pPr>
              <w:jc w:val="center"/>
              <w:rPr>
                <w:b/>
                <w:bCs/>
                <w:color w:val="000000"/>
                <w:sz w:val="19"/>
                <w:szCs w:val="19"/>
              </w:rPr>
            </w:pPr>
            <w:r w:rsidRPr="00234605">
              <w:rPr>
                <w:b/>
                <w:bCs/>
                <w:color w:val="000000"/>
                <w:sz w:val="19"/>
                <w:szCs w:val="19"/>
              </w:rPr>
              <w:t>No</w:t>
            </w: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3B6456" w14:textId="77777777" w:rsidR="00157038" w:rsidRPr="00234605" w:rsidRDefault="00157038" w:rsidP="00287863">
            <w:pPr>
              <w:jc w:val="center"/>
              <w:rPr>
                <w:sz w:val="19"/>
                <w:szCs w:val="19"/>
              </w:rPr>
            </w:pPr>
          </w:p>
        </w:tc>
        <w:tc>
          <w:tcPr>
            <w:tcW w:w="880" w:type="dxa"/>
            <w:tcBorders>
              <w:top w:val="single" w:sz="8" w:space="0" w:color="auto"/>
              <w:left w:val="nil"/>
              <w:bottom w:val="single" w:sz="4" w:space="0" w:color="auto"/>
              <w:right w:val="single" w:sz="4" w:space="0" w:color="auto"/>
            </w:tcBorders>
            <w:vAlign w:val="center"/>
          </w:tcPr>
          <w:p w14:paraId="7284EB9D" w14:textId="77777777" w:rsidR="00157038" w:rsidRPr="00234605" w:rsidRDefault="00157038" w:rsidP="00287863">
            <w:pPr>
              <w:jc w:val="center"/>
              <w:rPr>
                <w:sz w:val="19"/>
                <w:szCs w:val="19"/>
              </w:rPr>
            </w:pPr>
          </w:p>
        </w:tc>
        <w:tc>
          <w:tcPr>
            <w:tcW w:w="880" w:type="dxa"/>
            <w:tcBorders>
              <w:top w:val="single" w:sz="8" w:space="0" w:color="auto"/>
              <w:left w:val="nil"/>
              <w:bottom w:val="single" w:sz="4" w:space="0" w:color="auto"/>
              <w:right w:val="single" w:sz="4" w:space="0" w:color="auto"/>
            </w:tcBorders>
            <w:shd w:val="clear" w:color="auto" w:fill="auto"/>
            <w:vAlign w:val="center"/>
          </w:tcPr>
          <w:p w14:paraId="704FE4F6" w14:textId="77777777" w:rsidR="00157038" w:rsidRPr="00234605" w:rsidRDefault="00157038" w:rsidP="00287863">
            <w:pPr>
              <w:jc w:val="center"/>
              <w:rPr>
                <w:sz w:val="19"/>
                <w:szCs w:val="19"/>
              </w:rPr>
            </w:pPr>
          </w:p>
        </w:tc>
        <w:tc>
          <w:tcPr>
            <w:tcW w:w="881"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0FA62E"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671372"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861C2FF"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single" w:sz="8" w:space="0" w:color="auto"/>
              <w:left w:val="single" w:sz="4" w:space="0" w:color="auto"/>
              <w:bottom w:val="single" w:sz="4" w:space="0" w:color="auto"/>
              <w:right w:val="single" w:sz="4" w:space="0" w:color="auto"/>
            </w:tcBorders>
            <w:vAlign w:val="center"/>
          </w:tcPr>
          <w:p w14:paraId="19828E86" w14:textId="77777777" w:rsidR="00157038" w:rsidRPr="00234605" w:rsidRDefault="00157038" w:rsidP="00287863">
            <w:pPr>
              <w:jc w:val="center"/>
              <w:rPr>
                <w:color w:val="000000"/>
                <w:sz w:val="19"/>
                <w:szCs w:val="19"/>
              </w:rPr>
            </w:pPr>
          </w:p>
        </w:tc>
      </w:tr>
      <w:tr w:rsidR="00157038" w:rsidRPr="00234605" w14:paraId="3288EC1E" w14:textId="77777777" w:rsidTr="00331C77">
        <w:trPr>
          <w:trHeight w:val="510"/>
        </w:trPr>
        <w:tc>
          <w:tcPr>
            <w:tcW w:w="169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6FAEC3" w14:textId="77777777" w:rsidR="00157038" w:rsidRPr="00234605" w:rsidRDefault="00157038" w:rsidP="00287863">
            <w:pPr>
              <w:rPr>
                <w:b/>
                <w:bCs/>
                <w:color w:val="000000"/>
                <w:sz w:val="19"/>
                <w:szCs w:val="19"/>
              </w:rPr>
            </w:pPr>
          </w:p>
        </w:tc>
        <w:tc>
          <w:tcPr>
            <w:tcW w:w="120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902AEE" w14:textId="77777777" w:rsidR="00157038" w:rsidRPr="00234605" w:rsidRDefault="00157038" w:rsidP="00287863">
            <w:pPr>
              <w:jc w:val="center"/>
              <w:rPr>
                <w:b/>
                <w:bCs/>
                <w:color w:val="000000"/>
                <w:sz w:val="19"/>
                <w:szCs w:val="19"/>
              </w:rPr>
            </w:pPr>
            <w:r w:rsidRPr="00234605">
              <w:rPr>
                <w:b/>
                <w:bCs/>
                <w:color w:val="000000"/>
                <w:sz w:val="19"/>
                <w:szCs w:val="19"/>
              </w:rPr>
              <w:t>Not assessed</w:t>
            </w:r>
          </w:p>
        </w:tc>
        <w:tc>
          <w:tcPr>
            <w:tcW w:w="8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CBE039" w14:textId="77777777" w:rsidR="00157038" w:rsidRPr="00234605" w:rsidRDefault="00157038" w:rsidP="00287863">
            <w:pPr>
              <w:jc w:val="center"/>
              <w:rPr>
                <w:sz w:val="19"/>
                <w:szCs w:val="19"/>
              </w:rPr>
            </w:pPr>
          </w:p>
        </w:tc>
        <w:tc>
          <w:tcPr>
            <w:tcW w:w="880" w:type="dxa"/>
            <w:tcBorders>
              <w:top w:val="single" w:sz="4" w:space="0" w:color="auto"/>
              <w:left w:val="nil"/>
              <w:bottom w:val="single" w:sz="4" w:space="0" w:color="auto"/>
              <w:right w:val="single" w:sz="4" w:space="0" w:color="auto"/>
            </w:tcBorders>
            <w:vAlign w:val="center"/>
          </w:tcPr>
          <w:p w14:paraId="3765DCE6" w14:textId="77777777" w:rsidR="00157038" w:rsidRPr="00234605" w:rsidRDefault="00157038" w:rsidP="00287863">
            <w:pPr>
              <w:jc w:val="center"/>
              <w:rPr>
                <w:sz w:val="19"/>
                <w:szCs w:val="19"/>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59D83680" w14:textId="77777777" w:rsidR="00157038" w:rsidRPr="00234605" w:rsidRDefault="00157038" w:rsidP="00287863">
            <w:pPr>
              <w:jc w:val="center"/>
              <w:rPr>
                <w:sz w:val="19"/>
                <w:szCs w:val="19"/>
              </w:rPr>
            </w:pPr>
          </w:p>
        </w:tc>
        <w:tc>
          <w:tcPr>
            <w:tcW w:w="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AFA943"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FD443C"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2F83EB"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single" w:sz="4" w:space="0" w:color="auto"/>
              <w:left w:val="single" w:sz="4" w:space="0" w:color="auto"/>
              <w:bottom w:val="single" w:sz="8" w:space="0" w:color="auto"/>
              <w:right w:val="single" w:sz="4" w:space="0" w:color="auto"/>
            </w:tcBorders>
            <w:vAlign w:val="center"/>
          </w:tcPr>
          <w:p w14:paraId="6FE4AB34" w14:textId="77777777" w:rsidR="00157038" w:rsidRPr="00234605" w:rsidRDefault="00157038" w:rsidP="00287863">
            <w:pPr>
              <w:jc w:val="center"/>
              <w:rPr>
                <w:color w:val="000000"/>
                <w:sz w:val="19"/>
                <w:szCs w:val="19"/>
              </w:rPr>
            </w:pPr>
            <w:r w:rsidRPr="00234605">
              <w:rPr>
                <w:sz w:val="19"/>
                <w:szCs w:val="19"/>
              </w:rPr>
              <w:sym w:font="Wingdings" w:char="F0FC"/>
            </w:r>
          </w:p>
        </w:tc>
      </w:tr>
      <w:tr w:rsidR="00157038" w:rsidRPr="00234605" w14:paraId="1D6212CD" w14:textId="77777777" w:rsidTr="00287863">
        <w:trPr>
          <w:trHeight w:val="577"/>
        </w:trPr>
        <w:tc>
          <w:tcPr>
            <w:tcW w:w="169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49D7090C" w14:textId="4D96A64C" w:rsidR="00157038" w:rsidRPr="00234605" w:rsidRDefault="00157038" w:rsidP="00331C77">
            <w:pPr>
              <w:spacing w:before="60" w:after="60"/>
              <w:rPr>
                <w:b/>
                <w:bCs/>
                <w:color w:val="000000"/>
                <w:sz w:val="19"/>
                <w:szCs w:val="19"/>
              </w:rPr>
            </w:pPr>
            <w:r w:rsidRPr="00234605">
              <w:rPr>
                <w:b/>
                <w:bCs/>
                <w:color w:val="000000"/>
                <w:sz w:val="19"/>
                <w:szCs w:val="19"/>
              </w:rPr>
              <w:t>Financial statements overall comply with all recognition and measurement requirements (except for AASB</w:t>
            </w:r>
            <w:r w:rsidR="007A09E8">
              <w:rPr>
                <w:b/>
                <w:bCs/>
                <w:color w:val="000000"/>
                <w:sz w:val="19"/>
                <w:szCs w:val="19"/>
              </w:rPr>
              <w:t> </w:t>
            </w:r>
            <w:r w:rsidRPr="00234605">
              <w:rPr>
                <w:b/>
                <w:bCs/>
                <w:color w:val="000000"/>
                <w:sz w:val="19"/>
                <w:szCs w:val="19"/>
              </w:rPr>
              <w:t xml:space="preserve">10 or AASB128) </w:t>
            </w:r>
          </w:p>
        </w:tc>
        <w:tc>
          <w:tcPr>
            <w:tcW w:w="120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2FC81" w14:textId="77777777" w:rsidR="00157038" w:rsidRPr="00234605" w:rsidRDefault="00157038" w:rsidP="00287863">
            <w:pPr>
              <w:jc w:val="center"/>
              <w:rPr>
                <w:b/>
                <w:bCs/>
                <w:color w:val="000000"/>
                <w:sz w:val="19"/>
                <w:szCs w:val="19"/>
              </w:rPr>
            </w:pPr>
            <w:r w:rsidRPr="00234605">
              <w:rPr>
                <w:b/>
                <w:bCs/>
                <w:color w:val="000000"/>
                <w:sz w:val="19"/>
                <w:szCs w:val="19"/>
              </w:rPr>
              <w:t>Yes</w:t>
            </w: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DD754"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single" w:sz="8" w:space="0" w:color="auto"/>
              <w:left w:val="nil"/>
              <w:bottom w:val="single" w:sz="4" w:space="0" w:color="auto"/>
              <w:right w:val="single" w:sz="4" w:space="0" w:color="auto"/>
            </w:tcBorders>
            <w:vAlign w:val="center"/>
          </w:tcPr>
          <w:p w14:paraId="40DA6BA9"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single" w:sz="8" w:space="0" w:color="auto"/>
              <w:left w:val="nil"/>
              <w:bottom w:val="single" w:sz="4" w:space="0" w:color="auto"/>
              <w:right w:val="single" w:sz="4" w:space="0" w:color="auto"/>
            </w:tcBorders>
            <w:shd w:val="clear" w:color="auto" w:fill="auto"/>
            <w:vAlign w:val="center"/>
          </w:tcPr>
          <w:p w14:paraId="16610A70"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A2E93" w14:textId="77777777" w:rsidR="00157038" w:rsidRPr="00234605" w:rsidRDefault="00157038" w:rsidP="00287863">
            <w:pPr>
              <w:jc w:val="center"/>
              <w:rPr>
                <w:color w:val="000000"/>
                <w:sz w:val="19"/>
                <w:szCs w:val="19"/>
              </w:rPr>
            </w:pPr>
          </w:p>
        </w:tc>
        <w:tc>
          <w:tcPr>
            <w:tcW w:w="8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9869C" w14:textId="77777777" w:rsidR="00157038" w:rsidRPr="00234605" w:rsidRDefault="00157038" w:rsidP="00287863">
            <w:pPr>
              <w:jc w:val="center"/>
              <w:rPr>
                <w:color w:val="000000"/>
                <w:sz w:val="19"/>
                <w:szCs w:val="19"/>
              </w:rPr>
            </w:pPr>
          </w:p>
        </w:tc>
        <w:tc>
          <w:tcPr>
            <w:tcW w:w="8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DEDD3E8" w14:textId="77777777" w:rsidR="00157038" w:rsidRPr="00234605" w:rsidRDefault="00157038" w:rsidP="00287863">
            <w:pPr>
              <w:jc w:val="center"/>
              <w:rPr>
                <w:color w:val="000000"/>
                <w:sz w:val="19"/>
                <w:szCs w:val="19"/>
              </w:rPr>
            </w:pPr>
          </w:p>
        </w:tc>
        <w:tc>
          <w:tcPr>
            <w:tcW w:w="881" w:type="dxa"/>
            <w:tcBorders>
              <w:top w:val="single" w:sz="8" w:space="0" w:color="auto"/>
              <w:left w:val="single" w:sz="4" w:space="0" w:color="auto"/>
              <w:bottom w:val="single" w:sz="4" w:space="0" w:color="auto"/>
              <w:right w:val="single" w:sz="4" w:space="0" w:color="auto"/>
            </w:tcBorders>
            <w:vAlign w:val="center"/>
          </w:tcPr>
          <w:p w14:paraId="17E73ED4" w14:textId="77777777" w:rsidR="00157038" w:rsidRPr="00234605" w:rsidRDefault="00157038" w:rsidP="00287863">
            <w:pPr>
              <w:jc w:val="center"/>
              <w:rPr>
                <w:color w:val="000000"/>
                <w:sz w:val="19"/>
                <w:szCs w:val="19"/>
              </w:rPr>
            </w:pPr>
          </w:p>
        </w:tc>
      </w:tr>
      <w:tr w:rsidR="00157038" w:rsidRPr="00234605" w14:paraId="232F2D73" w14:textId="77777777" w:rsidTr="007A09E8">
        <w:trPr>
          <w:trHeight w:val="577"/>
        </w:trPr>
        <w:tc>
          <w:tcPr>
            <w:tcW w:w="1691" w:type="dxa"/>
            <w:vMerge/>
            <w:tcBorders>
              <w:left w:val="single" w:sz="4" w:space="0" w:color="auto"/>
              <w:right w:val="single" w:sz="4" w:space="0" w:color="auto"/>
            </w:tcBorders>
            <w:vAlign w:val="center"/>
            <w:hideMark/>
          </w:tcPr>
          <w:p w14:paraId="5677F666" w14:textId="77777777" w:rsidR="00157038" w:rsidRPr="00234605" w:rsidRDefault="00157038" w:rsidP="00287863">
            <w:pPr>
              <w:rPr>
                <w:b/>
                <w:bCs/>
                <w:color w:val="000000"/>
                <w:sz w:val="19"/>
                <w:szCs w:val="19"/>
              </w:rPr>
            </w:pPr>
          </w:p>
        </w:tc>
        <w:tc>
          <w:tcPr>
            <w:tcW w:w="12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347C2C" w14:textId="77777777" w:rsidR="00157038" w:rsidRPr="00234605" w:rsidRDefault="00157038" w:rsidP="00287863">
            <w:pPr>
              <w:jc w:val="center"/>
              <w:rPr>
                <w:b/>
                <w:bCs/>
                <w:color w:val="000000"/>
                <w:sz w:val="19"/>
                <w:szCs w:val="19"/>
              </w:rPr>
            </w:pPr>
            <w:r w:rsidRPr="00234605">
              <w:rPr>
                <w:b/>
                <w:bCs/>
                <w:color w:val="000000"/>
                <w:sz w:val="19"/>
                <w:szCs w:val="19"/>
              </w:rPr>
              <w:t>No</w:t>
            </w:r>
          </w:p>
        </w:tc>
        <w:tc>
          <w:tcPr>
            <w:tcW w:w="8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DC28F" w14:textId="77777777" w:rsidR="00157038" w:rsidRPr="00234605" w:rsidRDefault="00157038" w:rsidP="007A09E8">
            <w:pPr>
              <w:jc w:val="center"/>
              <w:rPr>
                <w:sz w:val="19"/>
                <w:szCs w:val="19"/>
              </w:rPr>
            </w:pPr>
          </w:p>
        </w:tc>
        <w:tc>
          <w:tcPr>
            <w:tcW w:w="880" w:type="dxa"/>
            <w:tcBorders>
              <w:top w:val="single" w:sz="4" w:space="0" w:color="auto"/>
              <w:left w:val="nil"/>
              <w:bottom w:val="single" w:sz="4" w:space="0" w:color="auto"/>
              <w:right w:val="single" w:sz="4" w:space="0" w:color="auto"/>
            </w:tcBorders>
            <w:vAlign w:val="center"/>
          </w:tcPr>
          <w:p w14:paraId="23DDEB4D"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1398AC7C" w14:textId="77777777" w:rsidR="00157038" w:rsidRPr="00234605" w:rsidRDefault="00157038" w:rsidP="007A09E8">
            <w:pPr>
              <w:jc w:val="center"/>
              <w:rPr>
                <w:color w:val="000000"/>
                <w:sz w:val="19"/>
                <w:szCs w:val="19"/>
              </w:rPr>
            </w:pPr>
          </w:p>
        </w:tc>
        <w:tc>
          <w:tcPr>
            <w:tcW w:w="8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1DDDC6"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1CEC6" w14:textId="77777777" w:rsidR="00157038" w:rsidRPr="00234605" w:rsidRDefault="00157038" w:rsidP="00287863">
            <w:pPr>
              <w:jc w:val="center"/>
              <w:rPr>
                <w:color w:val="000000"/>
                <w:sz w:val="19"/>
                <w:szCs w:val="19"/>
              </w:rPr>
            </w:pPr>
            <w:r w:rsidRPr="00234605">
              <w:rPr>
                <w:sz w:val="19"/>
                <w:szCs w:val="19"/>
              </w:rPr>
              <w:sym w:font="Wingdings" w:char="F0FC"/>
            </w:r>
          </w:p>
        </w:tc>
        <w:tc>
          <w:tcPr>
            <w:tcW w:w="8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F62D3E" w14:textId="77777777" w:rsidR="00157038" w:rsidRPr="00234605" w:rsidRDefault="00157038" w:rsidP="00287863">
            <w:pPr>
              <w:jc w:val="center"/>
              <w:rPr>
                <w:color w:val="000000"/>
                <w:sz w:val="19"/>
                <w:szCs w:val="19"/>
              </w:rPr>
            </w:pPr>
            <w:r w:rsidRPr="00234605">
              <w:rPr>
                <w:sz w:val="19"/>
                <w:szCs w:val="19"/>
              </w:rPr>
              <w:sym w:font="Wingdings" w:char="F0FC"/>
            </w:r>
          </w:p>
        </w:tc>
        <w:tc>
          <w:tcPr>
            <w:tcW w:w="881" w:type="dxa"/>
            <w:tcBorders>
              <w:top w:val="single" w:sz="4" w:space="0" w:color="auto"/>
              <w:left w:val="single" w:sz="4" w:space="0" w:color="auto"/>
              <w:bottom w:val="single" w:sz="4" w:space="0" w:color="auto"/>
              <w:right w:val="single" w:sz="4" w:space="0" w:color="auto"/>
            </w:tcBorders>
            <w:vAlign w:val="center"/>
          </w:tcPr>
          <w:p w14:paraId="2132568D" w14:textId="77777777" w:rsidR="00157038" w:rsidRPr="00234605" w:rsidRDefault="00157038" w:rsidP="00287863">
            <w:pPr>
              <w:jc w:val="center"/>
              <w:rPr>
                <w:color w:val="000000"/>
                <w:sz w:val="19"/>
                <w:szCs w:val="19"/>
              </w:rPr>
            </w:pPr>
          </w:p>
        </w:tc>
      </w:tr>
      <w:tr w:rsidR="00157038" w:rsidRPr="00234605" w14:paraId="31C8A0DB" w14:textId="77777777" w:rsidTr="007A09E8">
        <w:trPr>
          <w:trHeight w:val="577"/>
        </w:trPr>
        <w:tc>
          <w:tcPr>
            <w:tcW w:w="1691" w:type="dxa"/>
            <w:vMerge/>
            <w:tcBorders>
              <w:left w:val="single" w:sz="4" w:space="0" w:color="auto"/>
              <w:bottom w:val="single" w:sz="4" w:space="0" w:color="auto"/>
              <w:right w:val="single" w:sz="4" w:space="0" w:color="auto"/>
            </w:tcBorders>
            <w:vAlign w:val="center"/>
          </w:tcPr>
          <w:p w14:paraId="63EF6087" w14:textId="77777777" w:rsidR="00157038" w:rsidRPr="00234605" w:rsidRDefault="00157038" w:rsidP="00287863">
            <w:pPr>
              <w:rPr>
                <w:b/>
                <w:bCs/>
                <w:color w:val="000000"/>
                <w:sz w:val="19"/>
                <w:szCs w:val="19"/>
              </w:rPr>
            </w:pPr>
          </w:p>
        </w:tc>
        <w:tc>
          <w:tcPr>
            <w:tcW w:w="12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570D61" w14:textId="77777777" w:rsidR="00157038" w:rsidRPr="00234605" w:rsidRDefault="00157038" w:rsidP="00287863">
            <w:pPr>
              <w:jc w:val="center"/>
              <w:rPr>
                <w:b/>
                <w:bCs/>
                <w:color w:val="000000"/>
                <w:sz w:val="19"/>
                <w:szCs w:val="19"/>
              </w:rPr>
            </w:pPr>
            <w:r w:rsidRPr="00234605">
              <w:rPr>
                <w:b/>
                <w:bCs/>
                <w:color w:val="000000"/>
                <w:sz w:val="19"/>
                <w:szCs w:val="19"/>
              </w:rPr>
              <w:t>Not assessed</w:t>
            </w:r>
          </w:p>
        </w:tc>
        <w:tc>
          <w:tcPr>
            <w:tcW w:w="8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A9497C"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4" w:space="0" w:color="auto"/>
              <w:right w:val="single" w:sz="4" w:space="0" w:color="auto"/>
            </w:tcBorders>
            <w:vAlign w:val="center"/>
          </w:tcPr>
          <w:p w14:paraId="0074EEA5" w14:textId="77777777" w:rsidR="00157038" w:rsidRPr="00234605" w:rsidRDefault="00157038" w:rsidP="00287863">
            <w:pPr>
              <w:jc w:val="center"/>
              <w:rPr>
                <w:color w:val="000000"/>
                <w:sz w:val="19"/>
                <w:szCs w:val="19"/>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20F3E631" w14:textId="77777777" w:rsidR="00157038" w:rsidRPr="00234605" w:rsidRDefault="00157038" w:rsidP="007A09E8">
            <w:pPr>
              <w:jc w:val="center"/>
              <w:rPr>
                <w:color w:val="000000"/>
                <w:sz w:val="19"/>
                <w:szCs w:val="19"/>
              </w:rPr>
            </w:pPr>
          </w:p>
        </w:tc>
        <w:tc>
          <w:tcPr>
            <w:tcW w:w="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D2ACC2" w14:textId="77777777" w:rsidR="00157038" w:rsidRPr="00234605" w:rsidRDefault="00157038" w:rsidP="00287863">
            <w:pPr>
              <w:jc w:val="center"/>
              <w:rPr>
                <w:sz w:val="19"/>
                <w:szCs w:val="19"/>
              </w:rPr>
            </w:pPr>
          </w:p>
        </w:tc>
        <w:tc>
          <w:tcPr>
            <w:tcW w:w="8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A7457" w14:textId="77777777" w:rsidR="00157038" w:rsidRPr="00234605" w:rsidRDefault="00157038" w:rsidP="00287863">
            <w:pPr>
              <w:jc w:val="center"/>
              <w:rPr>
                <w:sz w:val="19"/>
                <w:szCs w:val="19"/>
              </w:rPr>
            </w:pPr>
          </w:p>
        </w:tc>
        <w:tc>
          <w:tcPr>
            <w:tcW w:w="8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58E184D" w14:textId="77777777" w:rsidR="00157038" w:rsidRPr="00234605" w:rsidRDefault="00157038" w:rsidP="00287863">
            <w:pPr>
              <w:jc w:val="center"/>
              <w:rPr>
                <w:sz w:val="19"/>
                <w:szCs w:val="19"/>
              </w:rPr>
            </w:pPr>
          </w:p>
        </w:tc>
        <w:tc>
          <w:tcPr>
            <w:tcW w:w="881" w:type="dxa"/>
            <w:tcBorders>
              <w:top w:val="single" w:sz="4" w:space="0" w:color="auto"/>
              <w:left w:val="single" w:sz="4" w:space="0" w:color="auto"/>
              <w:bottom w:val="single" w:sz="4" w:space="0" w:color="auto"/>
              <w:right w:val="single" w:sz="4" w:space="0" w:color="auto"/>
            </w:tcBorders>
            <w:vAlign w:val="center"/>
          </w:tcPr>
          <w:p w14:paraId="674734FC" w14:textId="77777777" w:rsidR="00157038" w:rsidRPr="00234605" w:rsidRDefault="00157038" w:rsidP="00287863">
            <w:pPr>
              <w:jc w:val="center"/>
              <w:rPr>
                <w:color w:val="000000"/>
                <w:sz w:val="19"/>
                <w:szCs w:val="19"/>
              </w:rPr>
            </w:pPr>
            <w:r w:rsidRPr="00234605">
              <w:rPr>
                <w:sz w:val="19"/>
                <w:szCs w:val="19"/>
              </w:rPr>
              <w:sym w:font="Wingdings" w:char="F0FC"/>
            </w:r>
          </w:p>
        </w:tc>
      </w:tr>
    </w:tbl>
    <w:p w14:paraId="78CFCE51" w14:textId="1B03466F" w:rsidR="00157038" w:rsidRPr="003766A0" w:rsidRDefault="00157038" w:rsidP="00AF46EE">
      <w:pPr>
        <w:pStyle w:val="ListParagraph"/>
        <w:pBdr>
          <w:left w:val="none" w:sz="0" w:space="0" w:color="auto"/>
          <w:right w:val="none" w:sz="0" w:space="0" w:color="auto"/>
        </w:pBdr>
        <w:spacing w:before="240"/>
        <w:ind w:left="782" w:hanging="782"/>
        <w:contextualSpacing w:val="0"/>
        <w:jc w:val="both"/>
        <w:rPr>
          <w:iCs/>
          <w:szCs w:val="19"/>
        </w:rPr>
      </w:pPr>
      <w:r w:rsidRPr="003766A0">
        <w:rPr>
          <w:szCs w:val="19"/>
        </w:rPr>
        <w:t>The</w:t>
      </w:r>
      <w:r w:rsidRPr="003766A0">
        <w:rPr>
          <w:iCs/>
          <w:szCs w:val="19"/>
        </w:rPr>
        <w:t xml:space="preserve"> following examples illustrate how an entity might apply the disclosure requirements in paragraph 9A of </w:t>
      </w:r>
      <w:r>
        <w:rPr>
          <w:iCs/>
          <w:szCs w:val="19"/>
        </w:rPr>
        <w:t>this Standard</w:t>
      </w:r>
      <w:r w:rsidRPr="003766A0">
        <w:rPr>
          <w:iCs/>
          <w:szCs w:val="19"/>
        </w:rPr>
        <w:t xml:space="preserve"> within the context of the requirements in AASB 101 and AASB 108 referred to in paragraph</w:t>
      </w:r>
      <w:r>
        <w:rPr>
          <w:iCs/>
          <w:szCs w:val="19"/>
        </w:rPr>
        <w:t> </w:t>
      </w:r>
      <w:r>
        <w:rPr>
          <w:iCs/>
          <w:szCs w:val="19"/>
        </w:rPr>
        <w:fldChar w:fldCharType="begin" w:fldLock="1"/>
      </w:r>
      <w:r>
        <w:rPr>
          <w:iCs/>
          <w:szCs w:val="19"/>
        </w:rPr>
        <w:instrText xml:space="preserve"> REF _Ref24381989 \r \h </w:instrText>
      </w:r>
      <w:r>
        <w:rPr>
          <w:iCs/>
          <w:szCs w:val="19"/>
        </w:rPr>
      </w:r>
      <w:r>
        <w:rPr>
          <w:iCs/>
          <w:szCs w:val="19"/>
        </w:rPr>
        <w:fldChar w:fldCharType="separate"/>
      </w:r>
      <w:r>
        <w:rPr>
          <w:iCs/>
          <w:szCs w:val="19"/>
        </w:rPr>
        <w:t>IG5</w:t>
      </w:r>
      <w:r>
        <w:rPr>
          <w:iCs/>
          <w:szCs w:val="19"/>
        </w:rPr>
        <w:fldChar w:fldCharType="end"/>
      </w:r>
      <w:r w:rsidRPr="003766A0">
        <w:rPr>
          <w:iCs/>
          <w:szCs w:val="19"/>
        </w:rPr>
        <w:t xml:space="preserve"> above to the special purpose financial statements they</w:t>
      </w:r>
      <w:r w:rsidR="00BC5969" w:rsidRPr="00BC5969">
        <w:rPr>
          <w:iCs/>
          <w:szCs w:val="19"/>
        </w:rPr>
        <w:t xml:space="preserve"> </w:t>
      </w:r>
      <w:r w:rsidR="00BC5969" w:rsidRPr="003766A0">
        <w:rPr>
          <w:iCs/>
          <w:szCs w:val="19"/>
        </w:rPr>
        <w:t>prepare</w:t>
      </w:r>
      <w:r w:rsidRPr="003766A0">
        <w:rPr>
          <w:iCs/>
          <w:szCs w:val="19"/>
        </w:rPr>
        <w:t xml:space="preserve">, on the basis of the limited facts presented.  Although some aspects of the examples might be present in actual fact patterns, all relevant facts and circumstances of a particular fact pattern need to be evaluated when applying </w:t>
      </w:r>
      <w:r>
        <w:rPr>
          <w:iCs/>
          <w:szCs w:val="19"/>
        </w:rPr>
        <w:t>disclosure requirements of this Standard.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xamples 1–7"/>
        <w:tblDescription w:val="Detailed examples"/>
      </w:tblPr>
      <w:tblGrid>
        <w:gridCol w:w="421"/>
        <w:gridCol w:w="3543"/>
        <w:gridCol w:w="5245"/>
      </w:tblGrid>
      <w:tr w:rsidR="00157038" w:rsidRPr="00234605" w14:paraId="7D56A040" w14:textId="77777777" w:rsidTr="009510D4">
        <w:trPr>
          <w:tblHeader/>
        </w:trPr>
        <w:tc>
          <w:tcPr>
            <w:tcW w:w="421" w:type="dxa"/>
            <w:shd w:val="clear" w:color="auto" w:fill="D9D9D9" w:themeFill="background1" w:themeFillShade="D9"/>
          </w:tcPr>
          <w:p w14:paraId="572AF4AF" w14:textId="77777777" w:rsidR="00157038" w:rsidRPr="00234605" w:rsidRDefault="00157038" w:rsidP="00287863">
            <w:pPr>
              <w:pStyle w:val="TableHeading"/>
              <w:rPr>
                <w:rFonts w:ascii="Times New Roman" w:hAnsi="Times New Roman"/>
                <w:sz w:val="19"/>
                <w:szCs w:val="19"/>
              </w:rPr>
            </w:pPr>
            <w:r w:rsidRPr="00234605">
              <w:rPr>
                <w:rFonts w:ascii="Times New Roman" w:hAnsi="Times New Roman"/>
                <w:sz w:val="19"/>
                <w:szCs w:val="19"/>
              </w:rPr>
              <w:t>#</w:t>
            </w:r>
          </w:p>
        </w:tc>
        <w:tc>
          <w:tcPr>
            <w:tcW w:w="3543" w:type="dxa"/>
            <w:shd w:val="clear" w:color="auto" w:fill="D9D9D9" w:themeFill="background1" w:themeFillShade="D9"/>
          </w:tcPr>
          <w:p w14:paraId="25F9AFC6" w14:textId="77777777" w:rsidR="00157038" w:rsidRPr="00234605" w:rsidRDefault="00157038" w:rsidP="00287863">
            <w:pPr>
              <w:pStyle w:val="TableHeading"/>
              <w:rPr>
                <w:rFonts w:ascii="Times New Roman" w:hAnsi="Times New Roman"/>
                <w:sz w:val="19"/>
                <w:szCs w:val="19"/>
              </w:rPr>
            </w:pPr>
            <w:r w:rsidRPr="00234605">
              <w:rPr>
                <w:rFonts w:ascii="Times New Roman" w:hAnsi="Times New Roman"/>
                <w:sz w:val="19"/>
                <w:szCs w:val="19"/>
              </w:rPr>
              <w:t>Example</w:t>
            </w:r>
          </w:p>
        </w:tc>
        <w:tc>
          <w:tcPr>
            <w:tcW w:w="5245" w:type="dxa"/>
            <w:shd w:val="clear" w:color="auto" w:fill="D9D9D9" w:themeFill="background1" w:themeFillShade="D9"/>
          </w:tcPr>
          <w:p w14:paraId="76D8FC5E" w14:textId="77777777" w:rsidR="00157038" w:rsidRPr="00234605" w:rsidRDefault="00157038" w:rsidP="00287863">
            <w:pPr>
              <w:pStyle w:val="TableHeading"/>
              <w:rPr>
                <w:rFonts w:ascii="Times New Roman" w:hAnsi="Times New Roman"/>
                <w:sz w:val="19"/>
                <w:szCs w:val="19"/>
              </w:rPr>
            </w:pPr>
            <w:r w:rsidRPr="00234605">
              <w:rPr>
                <w:rFonts w:ascii="Times New Roman" w:hAnsi="Times New Roman"/>
                <w:sz w:val="19"/>
                <w:szCs w:val="19"/>
              </w:rPr>
              <w:t>Illustrative disclosure</w:t>
            </w:r>
            <w:r w:rsidRPr="00234605" w:rsidDel="00881A48">
              <w:rPr>
                <w:rFonts w:ascii="Times New Roman" w:hAnsi="Times New Roman"/>
                <w:sz w:val="19"/>
                <w:szCs w:val="19"/>
              </w:rPr>
              <w:t xml:space="preserve"> </w:t>
            </w:r>
          </w:p>
        </w:tc>
      </w:tr>
      <w:tr w:rsidR="00157038" w:rsidRPr="00234605" w14:paraId="0102CA26" w14:textId="77777777" w:rsidTr="009510D4">
        <w:tc>
          <w:tcPr>
            <w:tcW w:w="421" w:type="dxa"/>
          </w:tcPr>
          <w:p w14:paraId="7F4EAC0F" w14:textId="77777777" w:rsidR="00157038" w:rsidRPr="00234605" w:rsidRDefault="00157038" w:rsidP="00287863">
            <w:pPr>
              <w:pStyle w:val="TableRow"/>
              <w:rPr>
                <w:sz w:val="19"/>
                <w:szCs w:val="19"/>
              </w:rPr>
            </w:pPr>
            <w:r w:rsidRPr="00234605">
              <w:rPr>
                <w:sz w:val="19"/>
                <w:szCs w:val="19"/>
              </w:rPr>
              <w:t>1</w:t>
            </w:r>
          </w:p>
        </w:tc>
        <w:tc>
          <w:tcPr>
            <w:tcW w:w="3543" w:type="dxa"/>
            <w:shd w:val="clear" w:color="auto" w:fill="auto"/>
          </w:tcPr>
          <w:p w14:paraId="082BC28C" w14:textId="77777777" w:rsidR="00157038" w:rsidRPr="00234605" w:rsidRDefault="00157038" w:rsidP="00287863">
            <w:pPr>
              <w:pStyle w:val="TableRow"/>
              <w:rPr>
                <w:i/>
                <w:iCs/>
                <w:sz w:val="19"/>
                <w:szCs w:val="19"/>
              </w:rPr>
            </w:pPr>
            <w:r w:rsidRPr="00234605">
              <w:rPr>
                <w:i/>
                <w:iCs/>
                <w:sz w:val="19"/>
                <w:szCs w:val="19"/>
              </w:rPr>
              <w:t>Compliance with all recognition and measurement requirements in Australian Accounting Standards including AASB 10 and AASB 128</w:t>
            </w:r>
          </w:p>
          <w:p w14:paraId="11D33B85" w14:textId="77777777" w:rsidR="00157038" w:rsidRPr="00234605" w:rsidRDefault="00157038" w:rsidP="00287863">
            <w:pPr>
              <w:pStyle w:val="TableRow"/>
              <w:rPr>
                <w:sz w:val="19"/>
                <w:szCs w:val="19"/>
              </w:rPr>
            </w:pPr>
            <w:r w:rsidRPr="00234605">
              <w:rPr>
                <w:sz w:val="19"/>
                <w:szCs w:val="19"/>
              </w:rPr>
              <w:t xml:space="preserve">Charity A Inc, a not-for-profit parent, prepares consolidated special purpose financial statements that: </w:t>
            </w:r>
          </w:p>
          <w:p w14:paraId="6F9F1BCE" w14:textId="77777777" w:rsidR="00157038" w:rsidRPr="00234605" w:rsidRDefault="00157038" w:rsidP="00A743FA">
            <w:pPr>
              <w:pStyle w:val="TableRow"/>
              <w:numPr>
                <w:ilvl w:val="0"/>
                <w:numId w:val="13"/>
              </w:numPr>
              <w:ind w:left="364"/>
              <w:rPr>
                <w:sz w:val="19"/>
                <w:szCs w:val="19"/>
              </w:rPr>
            </w:pPr>
            <w:r w:rsidRPr="00234605">
              <w:rPr>
                <w:sz w:val="19"/>
                <w:szCs w:val="19"/>
              </w:rPr>
              <w:t>consolidate all its subsidiaries in a manner consistent with the requirements set out in AASB 10;</w:t>
            </w:r>
          </w:p>
          <w:p w14:paraId="45FA9A68" w14:textId="77777777" w:rsidR="00157038" w:rsidRPr="00234605" w:rsidRDefault="00157038" w:rsidP="00A743FA">
            <w:pPr>
              <w:pStyle w:val="TableRow"/>
              <w:numPr>
                <w:ilvl w:val="0"/>
                <w:numId w:val="13"/>
              </w:numPr>
              <w:ind w:left="364"/>
              <w:rPr>
                <w:sz w:val="19"/>
                <w:szCs w:val="19"/>
              </w:rPr>
            </w:pPr>
            <w:r w:rsidRPr="00234605">
              <w:rPr>
                <w:sz w:val="19"/>
                <w:szCs w:val="19"/>
              </w:rPr>
              <w:t>equity account all its investments in associates and joint ventures in a manner consistent with the requirements set out in AASB 128; and</w:t>
            </w:r>
          </w:p>
          <w:p w14:paraId="3A026943" w14:textId="77777777" w:rsidR="00157038" w:rsidRPr="00234605" w:rsidRDefault="00157038" w:rsidP="00A743FA">
            <w:pPr>
              <w:pStyle w:val="TableRow"/>
              <w:numPr>
                <w:ilvl w:val="0"/>
                <w:numId w:val="13"/>
              </w:numPr>
              <w:ind w:left="364"/>
              <w:rPr>
                <w:sz w:val="19"/>
                <w:szCs w:val="19"/>
              </w:rPr>
            </w:pPr>
            <w:r w:rsidRPr="00234605">
              <w:rPr>
                <w:sz w:val="19"/>
                <w:szCs w:val="19"/>
              </w:rPr>
              <w:t>apply accounting policies that comply with all the recognition and measurement requirements in Australian Accounting Standards.</w:t>
            </w:r>
          </w:p>
        </w:tc>
        <w:tc>
          <w:tcPr>
            <w:tcW w:w="5245" w:type="dxa"/>
            <w:shd w:val="clear" w:color="auto" w:fill="auto"/>
          </w:tcPr>
          <w:p w14:paraId="098D153F" w14:textId="77777777" w:rsidR="00157038" w:rsidRPr="00234605" w:rsidRDefault="00157038" w:rsidP="00287863">
            <w:pPr>
              <w:pStyle w:val="TableRow"/>
              <w:rPr>
                <w:sz w:val="19"/>
                <w:szCs w:val="19"/>
              </w:rPr>
            </w:pPr>
            <w:r w:rsidRPr="00234605">
              <w:rPr>
                <w:sz w:val="19"/>
                <w:szCs w:val="19"/>
              </w:rPr>
              <w:t>Charity A Inc is a not-for-profit entity.  The Members of the Governing / Management Committee are of the opinion that the Association is not a reporting entity as users may obtain the financial information they require upon request. These special purpose financial statements have therefore been prepared in order to meet the requirements of the [</w:t>
            </w:r>
            <w:r w:rsidRPr="00234605">
              <w:rPr>
                <w:i/>
                <w:sz w:val="19"/>
                <w:szCs w:val="19"/>
              </w:rPr>
              <w:t xml:space="preserve">Australian Charities and Not-for-profits Commission Act 2012 </w:t>
            </w:r>
            <w:r w:rsidRPr="00234605">
              <w:rPr>
                <w:iCs/>
                <w:sz w:val="19"/>
                <w:szCs w:val="19"/>
              </w:rPr>
              <w:t xml:space="preserve">/ </w:t>
            </w:r>
            <w:r w:rsidRPr="00234605">
              <w:rPr>
                <w:sz w:val="19"/>
                <w:szCs w:val="19"/>
              </w:rPr>
              <w:t>insert</w:t>
            </w:r>
            <w:r w:rsidRPr="00234605">
              <w:rPr>
                <w:iCs/>
                <w:sz w:val="19"/>
                <w:szCs w:val="19"/>
              </w:rPr>
              <w:t xml:space="preserve"> further</w:t>
            </w:r>
            <w:r w:rsidRPr="00234605">
              <w:rPr>
                <w:sz w:val="19"/>
                <w:szCs w:val="19"/>
              </w:rPr>
              <w:t xml:space="preserve"> details of the </w:t>
            </w:r>
            <w:r w:rsidRPr="00234605">
              <w:rPr>
                <w:iCs/>
                <w:sz w:val="19"/>
                <w:szCs w:val="19"/>
              </w:rPr>
              <w:t xml:space="preserve">not-for-profit </w:t>
            </w:r>
            <w:r w:rsidRPr="00234605">
              <w:rPr>
                <w:sz w:val="19"/>
                <w:szCs w:val="19"/>
              </w:rPr>
              <w:t>reporting framework under which the financial statements are prepared</w:t>
            </w:r>
            <w:r w:rsidRPr="00234605">
              <w:rPr>
                <w:iCs/>
                <w:sz w:val="19"/>
                <w:szCs w:val="19"/>
              </w:rPr>
              <w:t>]</w:t>
            </w:r>
            <w:r w:rsidRPr="00234605">
              <w:rPr>
                <w:i/>
                <w:sz w:val="19"/>
                <w:szCs w:val="19"/>
              </w:rPr>
              <w:t>.</w:t>
            </w:r>
          </w:p>
          <w:p w14:paraId="0474C691" w14:textId="77777777" w:rsidR="00157038" w:rsidRPr="00234605" w:rsidRDefault="00157038" w:rsidP="00287863">
            <w:pPr>
              <w:pStyle w:val="TableRow"/>
              <w:rPr>
                <w:sz w:val="19"/>
                <w:szCs w:val="19"/>
              </w:rPr>
            </w:pPr>
            <w:r w:rsidRPr="00234605">
              <w:rPr>
                <w:sz w:val="19"/>
                <w:szCs w:val="19"/>
              </w:rPr>
              <w:t xml:space="preserve">Charity A Inc has consolidated all its subsidiaries consistent with the requirements set out in AASB 10 </w:t>
            </w:r>
            <w:r w:rsidRPr="00234605">
              <w:rPr>
                <w:i/>
                <w:sz w:val="19"/>
                <w:szCs w:val="19"/>
              </w:rPr>
              <w:t>Consolidated Financial Statements</w:t>
            </w:r>
            <w:r w:rsidRPr="00234605">
              <w:rPr>
                <w:sz w:val="19"/>
                <w:szCs w:val="19"/>
              </w:rPr>
              <w:t xml:space="preserve"> and equity accounted for its investments in associates and joint ventures in a manner consistent with the requirements set out in AASB 128 </w:t>
            </w:r>
            <w:r w:rsidRPr="00234605">
              <w:rPr>
                <w:i/>
                <w:sz w:val="19"/>
                <w:szCs w:val="19"/>
              </w:rPr>
              <w:t>Investments in Associates and Joint Ventures</w:t>
            </w:r>
            <w:r w:rsidRPr="00234605">
              <w:rPr>
                <w:sz w:val="19"/>
                <w:szCs w:val="19"/>
              </w:rPr>
              <w:t xml:space="preserve">. </w:t>
            </w:r>
          </w:p>
          <w:p w14:paraId="0EF25064" w14:textId="3E304CEA" w:rsidR="00157038" w:rsidRPr="00234605" w:rsidRDefault="00157038" w:rsidP="00287863">
            <w:pPr>
              <w:pStyle w:val="TableRow"/>
              <w:rPr>
                <w:sz w:val="19"/>
                <w:szCs w:val="19"/>
              </w:rPr>
            </w:pPr>
            <w:r w:rsidRPr="00234605">
              <w:rPr>
                <w:sz w:val="19"/>
                <w:szCs w:val="19"/>
              </w:rPr>
              <w:t>These consolidated special purpose financial statements comply with all the recognition and measurement requirements in Au</w:t>
            </w:r>
            <w:r w:rsidR="00E909A9">
              <w:rPr>
                <w:sz w:val="19"/>
                <w:szCs w:val="19"/>
              </w:rPr>
              <w:t>stralian Accounting Standards.</w:t>
            </w:r>
          </w:p>
        </w:tc>
      </w:tr>
      <w:tr w:rsidR="00157038" w:rsidRPr="00234605" w14:paraId="0530D46A" w14:textId="77777777" w:rsidTr="009510D4">
        <w:tc>
          <w:tcPr>
            <w:tcW w:w="421" w:type="dxa"/>
          </w:tcPr>
          <w:p w14:paraId="6311C1A9" w14:textId="77777777" w:rsidR="00157038" w:rsidRPr="00234605" w:rsidRDefault="00157038" w:rsidP="00287863">
            <w:pPr>
              <w:pStyle w:val="TableRow"/>
              <w:rPr>
                <w:sz w:val="19"/>
                <w:szCs w:val="19"/>
              </w:rPr>
            </w:pPr>
            <w:r w:rsidRPr="00234605">
              <w:rPr>
                <w:sz w:val="19"/>
                <w:szCs w:val="19"/>
              </w:rPr>
              <w:t>2</w:t>
            </w:r>
          </w:p>
        </w:tc>
        <w:tc>
          <w:tcPr>
            <w:tcW w:w="3543" w:type="dxa"/>
            <w:shd w:val="clear" w:color="auto" w:fill="auto"/>
          </w:tcPr>
          <w:p w14:paraId="3B3F5088" w14:textId="77777777" w:rsidR="00157038" w:rsidRPr="00234605" w:rsidRDefault="00157038" w:rsidP="00287863">
            <w:pPr>
              <w:pStyle w:val="TableRow"/>
              <w:rPr>
                <w:i/>
                <w:iCs/>
                <w:sz w:val="19"/>
                <w:szCs w:val="19"/>
              </w:rPr>
            </w:pPr>
            <w:r w:rsidRPr="00234605">
              <w:rPr>
                <w:i/>
                <w:iCs/>
                <w:sz w:val="19"/>
                <w:szCs w:val="19"/>
              </w:rPr>
              <w:t xml:space="preserve">Compliance with all recognition and measurement requirements in Australian </w:t>
            </w:r>
            <w:r w:rsidRPr="00234605">
              <w:rPr>
                <w:i/>
                <w:iCs/>
                <w:sz w:val="19"/>
                <w:szCs w:val="19"/>
              </w:rPr>
              <w:lastRenderedPageBreak/>
              <w:t>Accounting Standards except for AASB 10 and AASB 128 (interests in other entities not assessed)</w:t>
            </w:r>
          </w:p>
          <w:p w14:paraId="07013213" w14:textId="77777777" w:rsidR="00157038" w:rsidRPr="00234605" w:rsidRDefault="00157038" w:rsidP="00287863">
            <w:pPr>
              <w:pStyle w:val="TableRow"/>
              <w:rPr>
                <w:sz w:val="19"/>
                <w:szCs w:val="19"/>
              </w:rPr>
            </w:pPr>
            <w:r w:rsidRPr="00234605">
              <w:rPr>
                <w:sz w:val="19"/>
                <w:szCs w:val="19"/>
              </w:rPr>
              <w:t>Charity B Inc, a not-for-profit entity, prepares special purpose financial statements that:</w:t>
            </w:r>
          </w:p>
          <w:p w14:paraId="53EAAD03" w14:textId="77777777" w:rsidR="00157038" w:rsidRPr="00234605" w:rsidRDefault="00157038" w:rsidP="00A743FA">
            <w:pPr>
              <w:pStyle w:val="TableRow"/>
              <w:numPr>
                <w:ilvl w:val="0"/>
                <w:numId w:val="16"/>
              </w:numPr>
              <w:ind w:left="364"/>
              <w:rPr>
                <w:sz w:val="19"/>
                <w:szCs w:val="19"/>
              </w:rPr>
            </w:pPr>
            <w:r w:rsidRPr="00234605">
              <w:rPr>
                <w:sz w:val="19"/>
                <w:szCs w:val="19"/>
              </w:rPr>
              <w:t>do not consolidate or equity account any entities as Charity B Inc did not determine whether its interests in other entities give rise to interests in subsidiaries or investments in associates or joint ventures; and</w:t>
            </w:r>
          </w:p>
          <w:p w14:paraId="6CFC2913" w14:textId="77777777" w:rsidR="00157038" w:rsidRPr="00234605" w:rsidRDefault="00157038" w:rsidP="00A743FA">
            <w:pPr>
              <w:pStyle w:val="TableRow"/>
              <w:numPr>
                <w:ilvl w:val="0"/>
                <w:numId w:val="16"/>
              </w:numPr>
              <w:ind w:left="364"/>
              <w:rPr>
                <w:sz w:val="19"/>
                <w:szCs w:val="19"/>
              </w:rPr>
            </w:pPr>
            <w:r w:rsidRPr="00234605">
              <w:rPr>
                <w:sz w:val="19"/>
                <w:szCs w:val="19"/>
              </w:rPr>
              <w:t>apply accounting policies that comply with all the recognition and measurement requirements in Australian Accounting Standards.</w:t>
            </w:r>
          </w:p>
          <w:p w14:paraId="20C0A7B4" w14:textId="175CA4AA" w:rsidR="00157038" w:rsidRPr="00234605" w:rsidRDefault="00157038" w:rsidP="00287863">
            <w:pPr>
              <w:pStyle w:val="TableRow"/>
              <w:rPr>
                <w:sz w:val="19"/>
                <w:szCs w:val="19"/>
              </w:rPr>
            </w:pPr>
            <w:r w:rsidRPr="00234605">
              <w:rPr>
                <w:sz w:val="19"/>
                <w:szCs w:val="19"/>
              </w:rPr>
              <w:t>The legislative framework in which Charity B Inc operates does not require it to identify subsidiaries, associates or joint ventures to determine its fi</w:t>
            </w:r>
            <w:r w:rsidR="00E909A9">
              <w:rPr>
                <w:sz w:val="19"/>
                <w:szCs w:val="19"/>
              </w:rPr>
              <w:t>nancial reporting requirements.</w:t>
            </w:r>
          </w:p>
        </w:tc>
        <w:tc>
          <w:tcPr>
            <w:tcW w:w="5245" w:type="dxa"/>
            <w:shd w:val="clear" w:color="auto" w:fill="auto"/>
          </w:tcPr>
          <w:p w14:paraId="19EE6A27" w14:textId="77777777" w:rsidR="00157038" w:rsidRPr="00234605" w:rsidRDefault="00157038" w:rsidP="00287863">
            <w:pPr>
              <w:pStyle w:val="TableRow"/>
              <w:rPr>
                <w:sz w:val="19"/>
                <w:szCs w:val="19"/>
              </w:rPr>
            </w:pPr>
            <w:r w:rsidRPr="00234605">
              <w:rPr>
                <w:sz w:val="19"/>
                <w:szCs w:val="19"/>
              </w:rPr>
              <w:lastRenderedPageBreak/>
              <w:t xml:space="preserve">Charity B Inc is a not-for-profit entity.  In the opinion of the Management Committee, Charity B Inc is not a reporting entity </w:t>
            </w:r>
            <w:r w:rsidRPr="00234605">
              <w:rPr>
                <w:sz w:val="19"/>
                <w:szCs w:val="19"/>
              </w:rPr>
              <w:lastRenderedPageBreak/>
              <w:t>as its users may request the financial information they need. These special purpose financial statements have been prepared for distribution to members and for the purposes of fulfilling the reporting requirements under the [</w:t>
            </w:r>
            <w:r w:rsidRPr="00234605">
              <w:rPr>
                <w:i/>
                <w:sz w:val="19"/>
                <w:szCs w:val="19"/>
              </w:rPr>
              <w:t xml:space="preserve">Australian Charities and Not-for-profits Commission Act 2012 </w:t>
            </w:r>
            <w:r w:rsidRPr="00234605">
              <w:rPr>
                <w:iCs/>
                <w:sz w:val="19"/>
                <w:szCs w:val="19"/>
              </w:rPr>
              <w:t xml:space="preserve">/ </w:t>
            </w:r>
            <w:r w:rsidRPr="00234605">
              <w:rPr>
                <w:sz w:val="19"/>
                <w:szCs w:val="19"/>
              </w:rPr>
              <w:t>insert further details of the not-for-profit reporting framework under which the financial statements are prepared].</w:t>
            </w:r>
          </w:p>
          <w:p w14:paraId="6A6B11C3" w14:textId="77777777" w:rsidR="00157038" w:rsidRPr="00234605" w:rsidRDefault="00157038" w:rsidP="00287863">
            <w:pPr>
              <w:pStyle w:val="TableRow"/>
              <w:rPr>
                <w:sz w:val="19"/>
                <w:szCs w:val="19"/>
              </w:rPr>
            </w:pPr>
            <w:r w:rsidRPr="00234605">
              <w:rPr>
                <w:sz w:val="19"/>
                <w:szCs w:val="19"/>
              </w:rPr>
              <w:t>Charity B Inc has not assessed whether it has relationships with other entities which, for financial reporting purposes, might be considered subsidiaries, associates or joint ventures as it is not required by the [</w:t>
            </w:r>
            <w:r w:rsidRPr="00234605">
              <w:rPr>
                <w:i/>
                <w:sz w:val="19"/>
                <w:szCs w:val="19"/>
              </w:rPr>
              <w:t>Australian Charities and Not-for-profits Commission Act 2012</w:t>
            </w:r>
            <w:r w:rsidRPr="00234605">
              <w:rPr>
                <w:sz w:val="19"/>
                <w:szCs w:val="19"/>
              </w:rPr>
              <w:t>] to do so.</w:t>
            </w:r>
          </w:p>
          <w:p w14:paraId="28955D81" w14:textId="1BD4054A" w:rsidR="00157038" w:rsidRPr="00234605" w:rsidRDefault="00157038" w:rsidP="00287863">
            <w:pPr>
              <w:pStyle w:val="TableRow"/>
              <w:rPr>
                <w:sz w:val="19"/>
                <w:szCs w:val="19"/>
              </w:rPr>
            </w:pPr>
            <w:r w:rsidRPr="00234605">
              <w:rPr>
                <w:sz w:val="19"/>
                <w:szCs w:val="19"/>
              </w:rPr>
              <w:t xml:space="preserve">These special purpose financial statements comply with all the recognition and measurement requirements in Australian Accounting Standards (except for the requirements set out in AASB 10 </w:t>
            </w:r>
            <w:r w:rsidRPr="00234605">
              <w:rPr>
                <w:i/>
                <w:sz w:val="19"/>
                <w:szCs w:val="19"/>
              </w:rPr>
              <w:t>Consolidated Financial Statements</w:t>
            </w:r>
            <w:r w:rsidRPr="00234605">
              <w:rPr>
                <w:sz w:val="19"/>
                <w:szCs w:val="19"/>
              </w:rPr>
              <w:t xml:space="preserve"> or AASB 128 </w:t>
            </w:r>
            <w:r w:rsidRPr="00234605">
              <w:rPr>
                <w:i/>
                <w:sz w:val="19"/>
                <w:szCs w:val="19"/>
              </w:rPr>
              <w:t>Investments in Associates and Joint Ventures</w:t>
            </w:r>
            <w:r w:rsidR="00E909A9">
              <w:rPr>
                <w:sz w:val="19"/>
                <w:szCs w:val="19"/>
              </w:rPr>
              <w:t>).</w:t>
            </w:r>
          </w:p>
        </w:tc>
      </w:tr>
      <w:tr w:rsidR="00157038" w:rsidRPr="00234605" w14:paraId="16A6CDE0" w14:textId="77777777" w:rsidTr="009510D4">
        <w:tc>
          <w:tcPr>
            <w:tcW w:w="421" w:type="dxa"/>
          </w:tcPr>
          <w:p w14:paraId="3D51A2FA" w14:textId="77777777" w:rsidR="00157038" w:rsidRPr="00234605" w:rsidRDefault="00157038" w:rsidP="00287863">
            <w:pPr>
              <w:pStyle w:val="TableRow"/>
              <w:rPr>
                <w:sz w:val="19"/>
                <w:szCs w:val="19"/>
              </w:rPr>
            </w:pPr>
            <w:bookmarkStart w:id="25" w:name="_Hlk24448569"/>
            <w:r w:rsidRPr="00234605">
              <w:rPr>
                <w:sz w:val="19"/>
                <w:szCs w:val="19"/>
              </w:rPr>
              <w:lastRenderedPageBreak/>
              <w:t>3</w:t>
            </w:r>
          </w:p>
        </w:tc>
        <w:tc>
          <w:tcPr>
            <w:tcW w:w="3543" w:type="dxa"/>
            <w:shd w:val="clear" w:color="auto" w:fill="auto"/>
          </w:tcPr>
          <w:p w14:paraId="7FE61AB2" w14:textId="77777777" w:rsidR="00157038" w:rsidRPr="00234605" w:rsidRDefault="00157038" w:rsidP="00287863">
            <w:pPr>
              <w:pStyle w:val="TableRow"/>
              <w:rPr>
                <w:i/>
                <w:iCs/>
                <w:sz w:val="19"/>
                <w:szCs w:val="19"/>
              </w:rPr>
            </w:pPr>
            <w:r w:rsidRPr="00234605">
              <w:rPr>
                <w:i/>
                <w:iCs/>
                <w:sz w:val="19"/>
                <w:szCs w:val="19"/>
              </w:rPr>
              <w:t xml:space="preserve">Compliance with all recognition and measurement requirements in Australian Accounting Standards except for AASB 10 and AASB 128 (some subsidiaries not consolidated and some associates and joint ventures not equity accounted) </w:t>
            </w:r>
          </w:p>
          <w:p w14:paraId="399B229D" w14:textId="77777777" w:rsidR="00157038" w:rsidRPr="00234605" w:rsidRDefault="00157038" w:rsidP="00287863">
            <w:pPr>
              <w:pStyle w:val="TableRow"/>
              <w:rPr>
                <w:sz w:val="19"/>
                <w:szCs w:val="19"/>
              </w:rPr>
            </w:pPr>
            <w:r w:rsidRPr="00234605">
              <w:rPr>
                <w:sz w:val="19"/>
                <w:szCs w:val="19"/>
              </w:rPr>
              <w:t xml:space="preserve">MNO Ltd, a parent that is a charity, prepares partially consolidated special purpose financial statements that: </w:t>
            </w:r>
          </w:p>
          <w:p w14:paraId="0F8BB5EF" w14:textId="77777777" w:rsidR="00157038" w:rsidRPr="00234605" w:rsidRDefault="00157038" w:rsidP="00A743FA">
            <w:pPr>
              <w:pStyle w:val="TableRow"/>
              <w:numPr>
                <w:ilvl w:val="0"/>
                <w:numId w:val="17"/>
              </w:numPr>
              <w:rPr>
                <w:i/>
                <w:iCs/>
                <w:sz w:val="19"/>
                <w:szCs w:val="19"/>
              </w:rPr>
            </w:pPr>
            <w:r w:rsidRPr="00234605">
              <w:rPr>
                <w:sz w:val="19"/>
                <w:szCs w:val="19"/>
              </w:rPr>
              <w:t xml:space="preserve">consolidate some but not all of its subsidiaries (and are therefore inconsistent with the requirements set out in AASB 10); </w:t>
            </w:r>
          </w:p>
          <w:p w14:paraId="7DCF3D94" w14:textId="77777777" w:rsidR="00157038" w:rsidRPr="00234605" w:rsidRDefault="00157038" w:rsidP="00A743FA">
            <w:pPr>
              <w:pStyle w:val="TableRow"/>
              <w:numPr>
                <w:ilvl w:val="0"/>
                <w:numId w:val="17"/>
              </w:numPr>
              <w:rPr>
                <w:i/>
                <w:iCs/>
                <w:sz w:val="19"/>
                <w:szCs w:val="19"/>
              </w:rPr>
            </w:pPr>
            <w:r w:rsidRPr="00234605">
              <w:rPr>
                <w:sz w:val="19"/>
                <w:szCs w:val="19"/>
              </w:rPr>
              <w:t xml:space="preserve">do not equity account all its investments in associates and investments in joint ventures in a manner consistent with the requirements set out in AASB 128; and </w:t>
            </w:r>
          </w:p>
          <w:p w14:paraId="127A59F8" w14:textId="77777777" w:rsidR="00157038" w:rsidRPr="00234605" w:rsidRDefault="00157038" w:rsidP="00A743FA">
            <w:pPr>
              <w:pStyle w:val="TableRow"/>
              <w:numPr>
                <w:ilvl w:val="0"/>
                <w:numId w:val="17"/>
              </w:numPr>
              <w:rPr>
                <w:i/>
                <w:sz w:val="19"/>
                <w:szCs w:val="19"/>
              </w:rPr>
            </w:pPr>
            <w:r w:rsidRPr="00234605">
              <w:rPr>
                <w:sz w:val="19"/>
                <w:szCs w:val="19"/>
              </w:rPr>
              <w:t>apply accounting policies to those partially consolidated financial statements that comply with all the recognition and measurement requirements in Australian Accounting Standards (except for requirements set out in AASB 10 or AASB 128).</w:t>
            </w:r>
          </w:p>
        </w:tc>
        <w:tc>
          <w:tcPr>
            <w:tcW w:w="5245" w:type="dxa"/>
            <w:shd w:val="clear" w:color="auto" w:fill="auto"/>
          </w:tcPr>
          <w:p w14:paraId="7ADA34AA" w14:textId="77777777" w:rsidR="00157038" w:rsidRPr="00234605" w:rsidRDefault="00157038" w:rsidP="00287863">
            <w:pPr>
              <w:pStyle w:val="TableRow"/>
              <w:rPr>
                <w:sz w:val="19"/>
                <w:szCs w:val="19"/>
              </w:rPr>
            </w:pPr>
            <w:r w:rsidRPr="00234605">
              <w:rPr>
                <w:sz w:val="19"/>
                <w:szCs w:val="19"/>
              </w:rPr>
              <w:t>MNO Ltd, a not-for-profit entity, has prepared special purpose financial statements as, in the opinion of the Directors, it is unlikely there are users of these financial statements who are not in a position to require the preparation of reports tailored to their information needs. Accordingly, these financial statements have been prepared to satisfy the Directors’ reporting requirements under the [</w:t>
            </w:r>
            <w:r w:rsidRPr="00234605">
              <w:rPr>
                <w:i/>
                <w:iCs/>
                <w:sz w:val="19"/>
                <w:szCs w:val="19"/>
              </w:rPr>
              <w:t xml:space="preserve">Australian Charities and Not-for-profits Commission Act 2012 / </w:t>
            </w:r>
            <w:r w:rsidRPr="00234605">
              <w:rPr>
                <w:sz w:val="19"/>
                <w:szCs w:val="19"/>
              </w:rPr>
              <w:t xml:space="preserve">insert further details of the not-for-profit reporting framework under which the financial statements are prepared]. </w:t>
            </w:r>
          </w:p>
          <w:p w14:paraId="20235918" w14:textId="77777777" w:rsidR="00157038" w:rsidRPr="00234605" w:rsidRDefault="00157038" w:rsidP="00287863">
            <w:pPr>
              <w:pStyle w:val="TableRow"/>
              <w:rPr>
                <w:sz w:val="19"/>
                <w:szCs w:val="19"/>
              </w:rPr>
            </w:pPr>
            <w:r w:rsidRPr="00234605">
              <w:rPr>
                <w:sz w:val="19"/>
                <w:szCs w:val="19"/>
              </w:rPr>
              <w:t xml:space="preserve">These financial statements do not consolidate all of MNO Ltd’s subsidiaries or equity account all its investments in associates and investments in joint ventures as the Directors [did not perform a detailed assessment of all of MNO Ltd’s relationships with other entities, and instead elected to only consolidate those entities MNO Ltd has a 100% ownership interest in / insert an explanation of why some subsidiaries, associates and joint ventures are not consolidated / equity accounted.] </w:t>
            </w:r>
          </w:p>
          <w:p w14:paraId="071DA099" w14:textId="77777777" w:rsidR="00157038" w:rsidRPr="00234605" w:rsidRDefault="00157038" w:rsidP="00287863">
            <w:pPr>
              <w:pStyle w:val="TableRow"/>
              <w:rPr>
                <w:sz w:val="19"/>
                <w:szCs w:val="19"/>
              </w:rPr>
            </w:pPr>
            <w:r w:rsidRPr="00234605">
              <w:rPr>
                <w:sz w:val="19"/>
                <w:szCs w:val="19"/>
              </w:rPr>
              <w:t xml:space="preserve">MNO Ltd’s partially consolidated special purpose financial statements comply with all the recognition and measurement requirements in Australian Accounting Standards (except for the requirements set out in AASB 10 </w:t>
            </w:r>
            <w:r w:rsidRPr="00234605">
              <w:rPr>
                <w:i/>
                <w:sz w:val="19"/>
                <w:szCs w:val="19"/>
              </w:rPr>
              <w:t>Consolidated Financial Statements</w:t>
            </w:r>
            <w:r w:rsidRPr="00234605">
              <w:rPr>
                <w:sz w:val="19"/>
                <w:szCs w:val="19"/>
              </w:rPr>
              <w:t xml:space="preserve"> or AASB 128 </w:t>
            </w:r>
            <w:r w:rsidRPr="00234605">
              <w:rPr>
                <w:i/>
                <w:sz w:val="19"/>
                <w:szCs w:val="19"/>
              </w:rPr>
              <w:t>Investments in Associates and Joint Ventures</w:t>
            </w:r>
            <w:r w:rsidRPr="00234605">
              <w:rPr>
                <w:sz w:val="19"/>
                <w:szCs w:val="19"/>
              </w:rPr>
              <w:t xml:space="preserve">). </w:t>
            </w:r>
          </w:p>
        </w:tc>
      </w:tr>
      <w:bookmarkEnd w:id="25"/>
      <w:tr w:rsidR="00157038" w:rsidRPr="00234605" w14:paraId="3D2A267D" w14:textId="77777777" w:rsidTr="009510D4">
        <w:tc>
          <w:tcPr>
            <w:tcW w:w="421" w:type="dxa"/>
          </w:tcPr>
          <w:p w14:paraId="1834B802" w14:textId="77777777" w:rsidR="00157038" w:rsidRPr="00234605" w:rsidRDefault="00157038" w:rsidP="00287863">
            <w:pPr>
              <w:pStyle w:val="TableRow"/>
              <w:rPr>
                <w:sz w:val="19"/>
                <w:szCs w:val="19"/>
              </w:rPr>
            </w:pPr>
            <w:r w:rsidRPr="00234605">
              <w:rPr>
                <w:sz w:val="19"/>
                <w:szCs w:val="19"/>
              </w:rPr>
              <w:t xml:space="preserve">4 </w:t>
            </w:r>
          </w:p>
        </w:tc>
        <w:tc>
          <w:tcPr>
            <w:tcW w:w="3543" w:type="dxa"/>
            <w:shd w:val="clear" w:color="auto" w:fill="auto"/>
          </w:tcPr>
          <w:p w14:paraId="3983EFF5" w14:textId="77777777" w:rsidR="00157038" w:rsidRPr="00234605" w:rsidRDefault="00157038" w:rsidP="00287863">
            <w:pPr>
              <w:pStyle w:val="TableRow"/>
              <w:rPr>
                <w:i/>
                <w:iCs/>
                <w:sz w:val="19"/>
                <w:szCs w:val="19"/>
              </w:rPr>
            </w:pPr>
            <w:r w:rsidRPr="00234605">
              <w:rPr>
                <w:i/>
                <w:iCs/>
                <w:sz w:val="19"/>
                <w:szCs w:val="19"/>
              </w:rPr>
              <w:t xml:space="preserve">Known non-compliance with all recognition and measurement requirements in Australian Accounting Standards that is </w:t>
            </w:r>
            <w:r w:rsidRPr="00234605">
              <w:rPr>
                <w:b/>
                <w:bCs/>
                <w:i/>
                <w:iCs/>
                <w:sz w:val="19"/>
                <w:szCs w:val="19"/>
              </w:rPr>
              <w:t>not</w:t>
            </w:r>
            <w:r w:rsidRPr="00234605">
              <w:rPr>
                <w:i/>
                <w:iCs/>
                <w:sz w:val="19"/>
                <w:szCs w:val="19"/>
              </w:rPr>
              <w:t xml:space="preserve"> extensive </w:t>
            </w:r>
          </w:p>
          <w:p w14:paraId="15994B92" w14:textId="77777777" w:rsidR="00157038" w:rsidRPr="00234605" w:rsidRDefault="00157038" w:rsidP="00287863">
            <w:pPr>
              <w:pStyle w:val="TableRow"/>
              <w:rPr>
                <w:sz w:val="19"/>
                <w:szCs w:val="19"/>
              </w:rPr>
            </w:pPr>
            <w:r w:rsidRPr="00234605">
              <w:rPr>
                <w:sz w:val="19"/>
                <w:szCs w:val="19"/>
              </w:rPr>
              <w:t xml:space="preserve">XYZ Ltd, a not-for-profit entity that is not a charity, determined that it does not have any subsidiaries, associates or joint ventures (and therefore requirements set out in AASB 10 and AASB 128 are not applicable) and prepares special purpose financial statements that apply material </w:t>
            </w:r>
            <w:r w:rsidRPr="00234605">
              <w:rPr>
                <w:sz w:val="19"/>
                <w:szCs w:val="19"/>
              </w:rPr>
              <w:lastRenderedPageBreak/>
              <w:t>accounting policies that do not comply with all the recognition and measurement requirements in Australian Accounting Standards. The differences are not extensive.</w:t>
            </w:r>
          </w:p>
        </w:tc>
        <w:tc>
          <w:tcPr>
            <w:tcW w:w="5245" w:type="dxa"/>
            <w:shd w:val="clear" w:color="auto" w:fill="auto"/>
          </w:tcPr>
          <w:p w14:paraId="34F4D10B" w14:textId="77777777" w:rsidR="00157038" w:rsidRPr="00234605" w:rsidRDefault="00157038" w:rsidP="00287863">
            <w:pPr>
              <w:pStyle w:val="TableRow"/>
              <w:rPr>
                <w:sz w:val="19"/>
                <w:szCs w:val="19"/>
              </w:rPr>
            </w:pPr>
            <w:r w:rsidRPr="00234605">
              <w:rPr>
                <w:sz w:val="19"/>
                <w:szCs w:val="19"/>
              </w:rPr>
              <w:lastRenderedPageBreak/>
              <w:t xml:space="preserve">XYZ Ltd, a not-for-profit entity, has prepared special purpose financial statements as, in the opinion of the Directors, it is unlikely there are users of these financial statements who are not in a position to require the preparation of reports tailored to their information needs. Accordingly, these financial statements have been prepared to satisfy the Directors’ reporting requirements under the </w:t>
            </w:r>
            <w:r w:rsidRPr="00234605">
              <w:rPr>
                <w:i/>
                <w:sz w:val="19"/>
                <w:szCs w:val="19"/>
              </w:rPr>
              <w:t>Corporations Act 2001</w:t>
            </w:r>
            <w:r w:rsidRPr="00234605">
              <w:rPr>
                <w:sz w:val="19"/>
                <w:szCs w:val="19"/>
              </w:rPr>
              <w:t>.</w:t>
            </w:r>
          </w:p>
          <w:p w14:paraId="2F0464E5" w14:textId="77777777" w:rsidR="00157038" w:rsidRPr="00234605" w:rsidRDefault="00157038" w:rsidP="00287863">
            <w:pPr>
              <w:pStyle w:val="TableRow"/>
              <w:widowControl w:val="0"/>
              <w:rPr>
                <w:sz w:val="19"/>
                <w:szCs w:val="19"/>
              </w:rPr>
            </w:pPr>
            <w:r w:rsidRPr="00234605">
              <w:rPr>
                <w:sz w:val="19"/>
                <w:szCs w:val="19"/>
              </w:rPr>
              <w:t>These special purpose financial statements do not comply with all the recognition and measurement requirements in Australian Accounting Standards.</w:t>
            </w:r>
          </w:p>
          <w:p w14:paraId="569F6D1F" w14:textId="77777777" w:rsidR="00157038" w:rsidRPr="00234605" w:rsidRDefault="00157038" w:rsidP="00287863">
            <w:pPr>
              <w:pStyle w:val="TableRow"/>
              <w:rPr>
                <w:sz w:val="19"/>
                <w:szCs w:val="19"/>
              </w:rPr>
            </w:pPr>
            <w:r w:rsidRPr="00234605">
              <w:rPr>
                <w:sz w:val="19"/>
                <w:szCs w:val="19"/>
              </w:rPr>
              <w:lastRenderedPageBreak/>
              <w:t xml:space="preserve">The recognition and measurement requirements that have not been complied with are those specified in AASB 15 </w:t>
            </w:r>
            <w:r w:rsidRPr="00234605">
              <w:rPr>
                <w:i/>
                <w:iCs/>
                <w:sz w:val="19"/>
                <w:szCs w:val="19"/>
              </w:rPr>
              <w:t>Revenue from Contracts with Customers</w:t>
            </w:r>
            <w:r w:rsidRPr="00234605">
              <w:rPr>
                <w:sz w:val="19"/>
                <w:szCs w:val="19"/>
              </w:rPr>
              <w:t xml:space="preserve"> and AASB 1058</w:t>
            </w:r>
            <w:r w:rsidRPr="00234605">
              <w:rPr>
                <w:i/>
                <w:sz w:val="19"/>
                <w:szCs w:val="19"/>
              </w:rPr>
              <w:t xml:space="preserve"> Income of Not-for-Profit Entities</w:t>
            </w:r>
            <w:r w:rsidRPr="00234605">
              <w:rPr>
                <w:sz w:val="19"/>
                <w:szCs w:val="19"/>
              </w:rPr>
              <w:t xml:space="preserve"> as, in accounting for income, recognition of all grant income has been deferred [[until the related expenses are incurred without assessing whether there are enforceable performance obligations to transfer a good or service to a third party which are sufficiently specific to know when the performance obligation has been satisfied] / [where the grant is for multi-years without assessing whether there is a performance obligation or the grantor retains control of the remainder of the grant at the end of each year] / insert further details including an indication of how material recognition and measurement requirements in Australian Accounting Standards have not been complied with].  </w:t>
            </w:r>
          </w:p>
        </w:tc>
      </w:tr>
      <w:tr w:rsidR="00157038" w:rsidRPr="00234605" w14:paraId="6010B078" w14:textId="77777777" w:rsidTr="009510D4">
        <w:tc>
          <w:tcPr>
            <w:tcW w:w="421" w:type="dxa"/>
          </w:tcPr>
          <w:p w14:paraId="1513564A" w14:textId="77777777" w:rsidR="00157038" w:rsidRPr="00234605" w:rsidRDefault="00157038" w:rsidP="00287863">
            <w:pPr>
              <w:pStyle w:val="TableRow"/>
              <w:rPr>
                <w:sz w:val="19"/>
                <w:szCs w:val="19"/>
              </w:rPr>
            </w:pPr>
            <w:r w:rsidRPr="00234605">
              <w:rPr>
                <w:sz w:val="19"/>
                <w:szCs w:val="19"/>
              </w:rPr>
              <w:lastRenderedPageBreak/>
              <w:t>5</w:t>
            </w:r>
          </w:p>
        </w:tc>
        <w:tc>
          <w:tcPr>
            <w:tcW w:w="3543" w:type="dxa"/>
            <w:shd w:val="clear" w:color="auto" w:fill="auto"/>
          </w:tcPr>
          <w:p w14:paraId="21E2164C" w14:textId="77777777" w:rsidR="00157038" w:rsidRPr="00234605" w:rsidRDefault="00157038" w:rsidP="00287863">
            <w:pPr>
              <w:pStyle w:val="TableRow"/>
              <w:rPr>
                <w:i/>
                <w:iCs/>
                <w:sz w:val="19"/>
                <w:szCs w:val="19"/>
              </w:rPr>
            </w:pPr>
            <w:r w:rsidRPr="00234605">
              <w:rPr>
                <w:i/>
                <w:iCs/>
                <w:sz w:val="19"/>
                <w:szCs w:val="19"/>
              </w:rPr>
              <w:t xml:space="preserve">Known non-compliance with all recognition and measurement requirements in Australian Accounting Standards that </w:t>
            </w:r>
            <w:r w:rsidRPr="00234605">
              <w:rPr>
                <w:b/>
                <w:bCs/>
                <w:i/>
                <w:iCs/>
                <w:sz w:val="19"/>
                <w:szCs w:val="19"/>
              </w:rPr>
              <w:t>is</w:t>
            </w:r>
            <w:r w:rsidRPr="00234605">
              <w:rPr>
                <w:i/>
                <w:iCs/>
                <w:sz w:val="19"/>
                <w:szCs w:val="19"/>
              </w:rPr>
              <w:t xml:space="preserve"> extensive </w:t>
            </w:r>
          </w:p>
          <w:p w14:paraId="797E2B09" w14:textId="77777777" w:rsidR="00157038" w:rsidRPr="00234605" w:rsidRDefault="00157038" w:rsidP="00287863">
            <w:pPr>
              <w:pStyle w:val="TableRow"/>
              <w:rPr>
                <w:sz w:val="19"/>
                <w:szCs w:val="19"/>
              </w:rPr>
            </w:pPr>
            <w:r w:rsidRPr="00234605">
              <w:rPr>
                <w:sz w:val="19"/>
                <w:szCs w:val="19"/>
              </w:rPr>
              <w:t>Charity D Inc, a not-for-profit entity, does not have any subsidiaries, associates or joint ventures (and therefore requirements set out in AASB 10 and AASB 128 are not applicable) and prepares special purpose financial statements that apply material accounting policies that do not comply with all the recognition and measurement requirements in Australian Accounting Standards. Although the differences have not been quantified, they are extensive and an indication of the differences are presented with the appropriate note disclosing the accounting policy.</w:t>
            </w:r>
          </w:p>
        </w:tc>
        <w:tc>
          <w:tcPr>
            <w:tcW w:w="5245" w:type="dxa"/>
            <w:shd w:val="clear" w:color="auto" w:fill="auto"/>
          </w:tcPr>
          <w:p w14:paraId="7845F8C5" w14:textId="77777777" w:rsidR="00157038" w:rsidRPr="00234605" w:rsidRDefault="00157038" w:rsidP="00287863">
            <w:pPr>
              <w:pStyle w:val="TableRow"/>
              <w:rPr>
                <w:sz w:val="19"/>
                <w:szCs w:val="19"/>
              </w:rPr>
            </w:pPr>
            <w:r w:rsidRPr="00234605">
              <w:rPr>
                <w:sz w:val="19"/>
                <w:szCs w:val="19"/>
              </w:rPr>
              <w:t>Charity D Inc, a not-for-profit entity, has prepared special purpose financial statements as, in the opinion of the Management Committee, it is unlikely there are users of these financial statements who are not in a position to require the preparation of reports tailored to their information needs.  Accordingly, these financial statements have been prepared to satisfy the Management Committee’s reporting requirements under the [</w:t>
            </w:r>
            <w:r w:rsidRPr="00234605">
              <w:rPr>
                <w:i/>
                <w:sz w:val="19"/>
                <w:szCs w:val="19"/>
              </w:rPr>
              <w:t xml:space="preserve">Australian Charities and Not-for-profits Commission Act 2012 </w:t>
            </w:r>
            <w:r w:rsidRPr="00234605">
              <w:rPr>
                <w:iCs/>
                <w:sz w:val="19"/>
                <w:szCs w:val="19"/>
              </w:rPr>
              <w:t xml:space="preserve">/ </w:t>
            </w:r>
            <w:r w:rsidRPr="00234605">
              <w:rPr>
                <w:sz w:val="19"/>
                <w:szCs w:val="19"/>
              </w:rPr>
              <w:t>insert further details of the not-for-profit reporting framework under which the financial statements are prepared].</w:t>
            </w:r>
          </w:p>
          <w:p w14:paraId="2F658B30" w14:textId="77777777" w:rsidR="00157038" w:rsidRPr="00234605" w:rsidRDefault="00157038" w:rsidP="00287863">
            <w:pPr>
              <w:pStyle w:val="TableRow"/>
              <w:rPr>
                <w:sz w:val="19"/>
                <w:szCs w:val="19"/>
              </w:rPr>
            </w:pPr>
            <w:r w:rsidRPr="00234605">
              <w:rPr>
                <w:sz w:val="19"/>
                <w:szCs w:val="19"/>
              </w:rPr>
              <w:t>These special purpose financial statements do not comply with all the recognition and measurement requirements in Australian Accounting Standards.</w:t>
            </w:r>
          </w:p>
          <w:p w14:paraId="65998062" w14:textId="77777777" w:rsidR="00157038" w:rsidRPr="00234605" w:rsidRDefault="00157038" w:rsidP="00287863">
            <w:pPr>
              <w:pStyle w:val="TableRow"/>
              <w:rPr>
                <w:sz w:val="19"/>
                <w:szCs w:val="19"/>
              </w:rPr>
            </w:pPr>
            <w:r w:rsidRPr="00234605">
              <w:rPr>
                <w:sz w:val="19"/>
                <w:szCs w:val="19"/>
              </w:rPr>
              <w:t>[The material accounting policies adopted in the special purpose financial statements are set out in notes X-Y and indicate how the recognition and measurement requirements in Australian Accounting Standards have not been complied with.</w:t>
            </w:r>
          </w:p>
          <w:p w14:paraId="4CDF2889" w14:textId="77777777" w:rsidR="00157038" w:rsidRPr="00234605" w:rsidRDefault="00157038" w:rsidP="00287863">
            <w:pPr>
              <w:pStyle w:val="TableRow"/>
              <w:rPr>
                <w:sz w:val="19"/>
                <w:szCs w:val="19"/>
              </w:rPr>
            </w:pPr>
            <w:r w:rsidRPr="00234605">
              <w:rPr>
                <w:sz w:val="19"/>
                <w:szCs w:val="19"/>
              </w:rPr>
              <w:t>…</w:t>
            </w:r>
          </w:p>
          <w:p w14:paraId="2822F00E" w14:textId="77777777" w:rsidR="00157038" w:rsidRPr="00234605" w:rsidRDefault="00157038" w:rsidP="00287863">
            <w:pPr>
              <w:pStyle w:val="TableRow"/>
              <w:rPr>
                <w:sz w:val="19"/>
                <w:szCs w:val="19"/>
              </w:rPr>
            </w:pPr>
            <w:r w:rsidRPr="00234605">
              <w:rPr>
                <w:sz w:val="19"/>
                <w:szCs w:val="19"/>
              </w:rPr>
              <w:t>Note X: Revenue</w:t>
            </w:r>
          </w:p>
          <w:p w14:paraId="5F600C38" w14:textId="77777777" w:rsidR="00157038" w:rsidRPr="00234605" w:rsidRDefault="00157038" w:rsidP="00287863">
            <w:pPr>
              <w:pStyle w:val="TableRow"/>
              <w:rPr>
                <w:sz w:val="19"/>
                <w:szCs w:val="19"/>
              </w:rPr>
            </w:pPr>
            <w:r w:rsidRPr="00234605">
              <w:rPr>
                <w:sz w:val="19"/>
                <w:szCs w:val="19"/>
              </w:rPr>
              <w:t>…</w:t>
            </w:r>
          </w:p>
          <w:p w14:paraId="02C1B6F6" w14:textId="77777777" w:rsidR="00157038" w:rsidRPr="00234605" w:rsidRDefault="00157038" w:rsidP="00287863">
            <w:pPr>
              <w:pStyle w:val="TableRow"/>
              <w:rPr>
                <w:i/>
                <w:sz w:val="19"/>
                <w:szCs w:val="19"/>
              </w:rPr>
            </w:pPr>
            <w:r w:rsidRPr="00234605">
              <w:rPr>
                <w:sz w:val="19"/>
                <w:szCs w:val="19"/>
              </w:rPr>
              <w:t xml:space="preserve">All grant income has been deferred upon receipt and not recognised as revenue until the related expenses are incurred, without assessing whether enforceable performance obligations exist. This does not comply with AASB 15 </w:t>
            </w:r>
            <w:r w:rsidRPr="00234605">
              <w:rPr>
                <w:i/>
                <w:iCs/>
                <w:sz w:val="19"/>
                <w:szCs w:val="19"/>
              </w:rPr>
              <w:t>Revenue from Contracts with Customers</w:t>
            </w:r>
            <w:r w:rsidRPr="00234605">
              <w:rPr>
                <w:sz w:val="19"/>
                <w:szCs w:val="19"/>
              </w:rPr>
              <w:t xml:space="preserve"> or AASB 1058 </w:t>
            </w:r>
            <w:r w:rsidRPr="00234605">
              <w:rPr>
                <w:i/>
                <w:sz w:val="19"/>
                <w:szCs w:val="19"/>
              </w:rPr>
              <w:t>Income of Not-for-Profit Entities.</w:t>
            </w:r>
          </w:p>
          <w:p w14:paraId="5C949D15" w14:textId="77777777" w:rsidR="00157038" w:rsidRPr="00234605" w:rsidRDefault="00157038" w:rsidP="00287863">
            <w:pPr>
              <w:pStyle w:val="TableRow"/>
              <w:rPr>
                <w:i/>
                <w:sz w:val="19"/>
                <w:szCs w:val="19"/>
              </w:rPr>
            </w:pPr>
            <w:r w:rsidRPr="00234605">
              <w:rPr>
                <w:i/>
                <w:sz w:val="19"/>
                <w:szCs w:val="19"/>
              </w:rPr>
              <w:t>…</w:t>
            </w:r>
          </w:p>
          <w:p w14:paraId="4C5B24CB" w14:textId="77777777" w:rsidR="00157038" w:rsidRPr="00234605" w:rsidRDefault="00157038" w:rsidP="00287863">
            <w:pPr>
              <w:pStyle w:val="TableRow"/>
              <w:rPr>
                <w:sz w:val="19"/>
                <w:szCs w:val="19"/>
              </w:rPr>
            </w:pPr>
            <w:r w:rsidRPr="00234605">
              <w:rPr>
                <w:sz w:val="19"/>
                <w:szCs w:val="19"/>
              </w:rPr>
              <w:t>Note Y: Employee Benefits</w:t>
            </w:r>
          </w:p>
          <w:p w14:paraId="5F9F5B62" w14:textId="77777777" w:rsidR="00157038" w:rsidRPr="00234605" w:rsidRDefault="00157038" w:rsidP="00287863">
            <w:pPr>
              <w:pStyle w:val="TableRow"/>
              <w:rPr>
                <w:sz w:val="19"/>
                <w:szCs w:val="19"/>
              </w:rPr>
            </w:pPr>
            <w:r w:rsidRPr="00234605">
              <w:rPr>
                <w:iCs/>
                <w:sz w:val="19"/>
                <w:szCs w:val="19"/>
              </w:rPr>
              <w:t>…</w:t>
            </w:r>
          </w:p>
          <w:p w14:paraId="7F819E0F" w14:textId="77777777" w:rsidR="00157038" w:rsidRPr="00234605" w:rsidRDefault="00157038" w:rsidP="00287863">
            <w:pPr>
              <w:pStyle w:val="TableRow"/>
              <w:rPr>
                <w:iCs/>
                <w:sz w:val="19"/>
                <w:szCs w:val="19"/>
              </w:rPr>
            </w:pPr>
            <w:r w:rsidRPr="00234605">
              <w:rPr>
                <w:iCs/>
                <w:sz w:val="19"/>
                <w:szCs w:val="19"/>
              </w:rPr>
              <w:t xml:space="preserve">Long-term provision recognised for long service leave has been measured on the undiscounted basis which does not comply with </w:t>
            </w:r>
            <w:r w:rsidRPr="00234605">
              <w:rPr>
                <w:sz w:val="19"/>
                <w:szCs w:val="19"/>
              </w:rPr>
              <w:t xml:space="preserve">AASB 119 </w:t>
            </w:r>
            <w:r w:rsidRPr="00234605">
              <w:rPr>
                <w:i/>
                <w:sz w:val="19"/>
                <w:szCs w:val="19"/>
              </w:rPr>
              <w:t>Employee Benefits.</w:t>
            </w:r>
            <w:r w:rsidRPr="00234605">
              <w:rPr>
                <w:iCs/>
                <w:sz w:val="19"/>
                <w:szCs w:val="19"/>
              </w:rPr>
              <w:t xml:space="preserve"> </w:t>
            </w:r>
          </w:p>
          <w:p w14:paraId="2A998F06" w14:textId="77777777" w:rsidR="00157038" w:rsidRPr="00234605" w:rsidRDefault="00157038" w:rsidP="00287863">
            <w:pPr>
              <w:pStyle w:val="TableRow"/>
              <w:rPr>
                <w:sz w:val="19"/>
                <w:szCs w:val="19"/>
              </w:rPr>
            </w:pPr>
            <w:r w:rsidRPr="00234605">
              <w:rPr>
                <w:sz w:val="19"/>
                <w:szCs w:val="19"/>
              </w:rPr>
              <w:t>…]</w:t>
            </w:r>
          </w:p>
        </w:tc>
      </w:tr>
      <w:tr w:rsidR="00157038" w:rsidRPr="00234605" w14:paraId="6E1E222C" w14:textId="77777777" w:rsidTr="009510D4">
        <w:tc>
          <w:tcPr>
            <w:tcW w:w="421" w:type="dxa"/>
          </w:tcPr>
          <w:p w14:paraId="7B4EDCE2" w14:textId="77777777" w:rsidR="00157038" w:rsidRPr="00234605" w:rsidRDefault="00157038" w:rsidP="00287863">
            <w:pPr>
              <w:pStyle w:val="TableRow"/>
              <w:rPr>
                <w:sz w:val="19"/>
                <w:szCs w:val="19"/>
              </w:rPr>
            </w:pPr>
            <w:r w:rsidRPr="00234605">
              <w:rPr>
                <w:sz w:val="19"/>
                <w:szCs w:val="19"/>
              </w:rPr>
              <w:t>6</w:t>
            </w:r>
          </w:p>
        </w:tc>
        <w:tc>
          <w:tcPr>
            <w:tcW w:w="3543" w:type="dxa"/>
            <w:shd w:val="clear" w:color="auto" w:fill="auto"/>
          </w:tcPr>
          <w:p w14:paraId="1B7CBC85" w14:textId="77777777" w:rsidR="00157038" w:rsidRPr="00234605" w:rsidRDefault="00157038" w:rsidP="00287863">
            <w:pPr>
              <w:pStyle w:val="TableRow"/>
              <w:rPr>
                <w:i/>
                <w:iCs/>
                <w:sz w:val="19"/>
                <w:szCs w:val="19"/>
              </w:rPr>
            </w:pPr>
            <w:r w:rsidRPr="00234605">
              <w:rPr>
                <w:i/>
                <w:iCs/>
                <w:sz w:val="19"/>
                <w:szCs w:val="19"/>
              </w:rPr>
              <w:t>At least one material accounting policy not assessed for compliance with recognition and measurement requirements in Australian Accounting Standards (combined with known non-compliance with recognition and measurement requirements in Australian Accounting Standards)</w:t>
            </w:r>
          </w:p>
          <w:p w14:paraId="1B58FBE2" w14:textId="77777777" w:rsidR="00157038" w:rsidRPr="00234605" w:rsidRDefault="00157038" w:rsidP="00287863">
            <w:pPr>
              <w:pStyle w:val="TableRow"/>
              <w:rPr>
                <w:sz w:val="19"/>
                <w:szCs w:val="19"/>
              </w:rPr>
            </w:pPr>
            <w:r w:rsidRPr="00234605">
              <w:rPr>
                <w:sz w:val="19"/>
                <w:szCs w:val="19"/>
              </w:rPr>
              <w:lastRenderedPageBreak/>
              <w:t>MLK Ltd, a not-for-profit entity, does not have any subsidiaries, associates or joint ventures (and therefore requirements set out in AASB 10 and AASB 128 are not applicable) and prepares special purpose financial statements that apply some material accounting policies that do not comply with the recognition and measurement requirements in Australian Accounting Standards and some material accounting policies that have not been assessed for compliance with the recognition and measurement requirements in Australian Accounting Standards.</w:t>
            </w:r>
          </w:p>
        </w:tc>
        <w:tc>
          <w:tcPr>
            <w:tcW w:w="5245" w:type="dxa"/>
            <w:shd w:val="clear" w:color="auto" w:fill="auto"/>
          </w:tcPr>
          <w:p w14:paraId="3FC3BE1B" w14:textId="77777777" w:rsidR="00157038" w:rsidRPr="00234605" w:rsidRDefault="00157038" w:rsidP="00287863">
            <w:pPr>
              <w:pStyle w:val="TableRow"/>
              <w:rPr>
                <w:sz w:val="19"/>
                <w:szCs w:val="19"/>
              </w:rPr>
            </w:pPr>
            <w:r w:rsidRPr="00234605">
              <w:rPr>
                <w:sz w:val="19"/>
                <w:szCs w:val="19"/>
              </w:rPr>
              <w:lastRenderedPageBreak/>
              <w:t xml:space="preserve">MLK Ltd is a not-for-profit entity.  In the opinion of the Directors Charity E Ltd is not a reporting entity as its users may request the financial information they need.  These special purpose financial statements have been prepared for distribution to members and for the purposes of fulfilling the requirements of the </w:t>
            </w:r>
            <w:r w:rsidRPr="00234605">
              <w:rPr>
                <w:i/>
                <w:iCs/>
                <w:sz w:val="19"/>
                <w:szCs w:val="19"/>
              </w:rPr>
              <w:t>Corporations Act 2001</w:t>
            </w:r>
            <w:r w:rsidRPr="00234605">
              <w:rPr>
                <w:sz w:val="19"/>
                <w:szCs w:val="19"/>
              </w:rPr>
              <w:t>.</w:t>
            </w:r>
          </w:p>
          <w:p w14:paraId="5360E3B4" w14:textId="77777777" w:rsidR="00157038" w:rsidRPr="00234605" w:rsidRDefault="00157038" w:rsidP="00287863">
            <w:pPr>
              <w:pStyle w:val="TableRow"/>
              <w:rPr>
                <w:sz w:val="19"/>
                <w:szCs w:val="19"/>
              </w:rPr>
            </w:pPr>
            <w:r w:rsidRPr="00234605">
              <w:rPr>
                <w:sz w:val="19"/>
                <w:szCs w:val="19"/>
              </w:rPr>
              <w:t>These special purpose financial statements do not comply with all the recognition and measurement requirements in Australian Accounting Standards.</w:t>
            </w:r>
          </w:p>
          <w:p w14:paraId="470C5EAF" w14:textId="77777777" w:rsidR="00157038" w:rsidRPr="00234605" w:rsidRDefault="00157038" w:rsidP="00287863">
            <w:pPr>
              <w:pStyle w:val="TableRow"/>
              <w:rPr>
                <w:sz w:val="19"/>
                <w:szCs w:val="19"/>
              </w:rPr>
            </w:pPr>
            <w:r w:rsidRPr="00234605">
              <w:rPr>
                <w:sz w:val="19"/>
                <w:szCs w:val="19"/>
              </w:rPr>
              <w:lastRenderedPageBreak/>
              <w:t>The material accounting policies adopted in the special purpose financial statements include:</w:t>
            </w:r>
          </w:p>
          <w:p w14:paraId="409947CD" w14:textId="77777777" w:rsidR="00157038" w:rsidRPr="00234605" w:rsidRDefault="00157038" w:rsidP="00A743FA">
            <w:pPr>
              <w:pStyle w:val="TableRow"/>
              <w:numPr>
                <w:ilvl w:val="0"/>
                <w:numId w:val="14"/>
              </w:numPr>
              <w:rPr>
                <w:sz w:val="19"/>
                <w:szCs w:val="19"/>
              </w:rPr>
            </w:pPr>
            <w:r w:rsidRPr="00234605">
              <w:rPr>
                <w:sz w:val="19"/>
                <w:szCs w:val="19"/>
              </w:rPr>
              <w:t xml:space="preserve">[deferring all grant income upon receipt and not recognising as revenue until the related expenses are incurred, without assessing whether enforceable performance obligations exist, which does not comply with AASB 15 </w:t>
            </w:r>
            <w:r w:rsidRPr="00234605">
              <w:rPr>
                <w:i/>
                <w:iCs/>
                <w:sz w:val="19"/>
                <w:szCs w:val="19"/>
              </w:rPr>
              <w:t>Revenue from Contracts with Customers</w:t>
            </w:r>
            <w:r w:rsidRPr="00234605">
              <w:rPr>
                <w:sz w:val="19"/>
                <w:szCs w:val="19"/>
              </w:rPr>
              <w:t xml:space="preserve"> or AASB 1058 </w:t>
            </w:r>
            <w:r w:rsidRPr="00234605">
              <w:rPr>
                <w:i/>
                <w:sz w:val="19"/>
                <w:szCs w:val="19"/>
              </w:rPr>
              <w:t>Income of Not-for-Profit Entities</w:t>
            </w:r>
            <w:r w:rsidRPr="00234605">
              <w:rPr>
                <w:sz w:val="19"/>
                <w:szCs w:val="19"/>
              </w:rPr>
              <w:t>;</w:t>
            </w:r>
          </w:p>
          <w:p w14:paraId="53645059" w14:textId="77777777" w:rsidR="00157038" w:rsidRPr="00234605" w:rsidRDefault="00157038" w:rsidP="00A743FA">
            <w:pPr>
              <w:pStyle w:val="TableRow"/>
              <w:numPr>
                <w:ilvl w:val="0"/>
                <w:numId w:val="14"/>
              </w:numPr>
              <w:rPr>
                <w:sz w:val="19"/>
                <w:szCs w:val="19"/>
              </w:rPr>
            </w:pPr>
            <w:r w:rsidRPr="00234605">
              <w:rPr>
                <w:sz w:val="19"/>
                <w:szCs w:val="19"/>
              </w:rPr>
              <w:t>insert further details including an indication of how material recognition and measurement requirements in Australian Accounting Standards have not been complied with].</w:t>
            </w:r>
          </w:p>
          <w:p w14:paraId="4A6B4E1B" w14:textId="77777777" w:rsidR="00157038" w:rsidRPr="00234605" w:rsidRDefault="00157038" w:rsidP="00287863">
            <w:pPr>
              <w:pStyle w:val="TableRow"/>
              <w:rPr>
                <w:sz w:val="19"/>
                <w:szCs w:val="19"/>
              </w:rPr>
            </w:pPr>
            <w:r w:rsidRPr="00234605">
              <w:rPr>
                <w:sz w:val="19"/>
                <w:szCs w:val="19"/>
              </w:rPr>
              <w:t>The material accounting policies disclosed in note X that have not been assessed for compliance with the recognition and measurement requirements of Australian Accounting Standards include:</w:t>
            </w:r>
          </w:p>
          <w:p w14:paraId="11A0519B" w14:textId="77777777" w:rsidR="00157038" w:rsidRPr="00234605" w:rsidRDefault="00157038" w:rsidP="00A743FA">
            <w:pPr>
              <w:pStyle w:val="TableRow"/>
              <w:numPr>
                <w:ilvl w:val="0"/>
                <w:numId w:val="14"/>
              </w:numPr>
              <w:rPr>
                <w:sz w:val="19"/>
                <w:szCs w:val="19"/>
              </w:rPr>
            </w:pPr>
            <w:r w:rsidRPr="00234605">
              <w:rPr>
                <w:sz w:val="19"/>
                <w:szCs w:val="19"/>
              </w:rPr>
              <w:t xml:space="preserve">Long-service leave; and </w:t>
            </w:r>
          </w:p>
          <w:p w14:paraId="4E675B15" w14:textId="77777777" w:rsidR="00157038" w:rsidRPr="00234605" w:rsidRDefault="00157038" w:rsidP="00A743FA">
            <w:pPr>
              <w:pStyle w:val="TableRow"/>
              <w:numPr>
                <w:ilvl w:val="0"/>
                <w:numId w:val="14"/>
              </w:numPr>
              <w:rPr>
                <w:sz w:val="19"/>
                <w:szCs w:val="19"/>
              </w:rPr>
            </w:pPr>
            <w:r w:rsidRPr="00234605">
              <w:rPr>
                <w:sz w:val="19"/>
                <w:szCs w:val="19"/>
              </w:rPr>
              <w:t>Impairment of assets.</w:t>
            </w:r>
          </w:p>
        </w:tc>
      </w:tr>
      <w:tr w:rsidR="00157038" w:rsidRPr="00234605" w14:paraId="4CB8895E" w14:textId="77777777" w:rsidTr="009510D4">
        <w:tc>
          <w:tcPr>
            <w:tcW w:w="421" w:type="dxa"/>
          </w:tcPr>
          <w:p w14:paraId="1511E141" w14:textId="77777777" w:rsidR="00157038" w:rsidRPr="00234605" w:rsidRDefault="00157038" w:rsidP="00287863">
            <w:pPr>
              <w:pStyle w:val="TableRow"/>
              <w:rPr>
                <w:sz w:val="19"/>
                <w:szCs w:val="19"/>
              </w:rPr>
            </w:pPr>
            <w:r w:rsidRPr="00234605">
              <w:rPr>
                <w:sz w:val="19"/>
                <w:szCs w:val="19"/>
              </w:rPr>
              <w:lastRenderedPageBreak/>
              <w:t>7</w:t>
            </w:r>
          </w:p>
        </w:tc>
        <w:tc>
          <w:tcPr>
            <w:tcW w:w="3543" w:type="dxa"/>
            <w:shd w:val="clear" w:color="auto" w:fill="auto"/>
          </w:tcPr>
          <w:p w14:paraId="69FB4A69" w14:textId="77777777" w:rsidR="00157038" w:rsidRPr="00234605" w:rsidRDefault="00157038" w:rsidP="00287863">
            <w:pPr>
              <w:pStyle w:val="TableRow"/>
              <w:rPr>
                <w:i/>
                <w:iCs/>
                <w:sz w:val="19"/>
                <w:szCs w:val="19"/>
              </w:rPr>
            </w:pPr>
            <w:r w:rsidRPr="00234605">
              <w:rPr>
                <w:i/>
                <w:iCs/>
                <w:sz w:val="19"/>
                <w:szCs w:val="19"/>
              </w:rPr>
              <w:t>At least one material accounting policy not assessed for compliance with recognition and measurement requirements in Australian Accounting Standards (all other material accounting policies comply with recognition and measurement requirements in Australian Accounting Standards)</w:t>
            </w:r>
          </w:p>
          <w:p w14:paraId="68628924" w14:textId="77777777" w:rsidR="00157038" w:rsidRPr="00234605" w:rsidRDefault="00157038" w:rsidP="00287863">
            <w:pPr>
              <w:pStyle w:val="TableRow"/>
              <w:rPr>
                <w:sz w:val="19"/>
                <w:szCs w:val="19"/>
              </w:rPr>
            </w:pPr>
            <w:r w:rsidRPr="00234605">
              <w:rPr>
                <w:sz w:val="19"/>
                <w:szCs w:val="19"/>
              </w:rPr>
              <w:t>Charity F Inc, a not-for-profit entity, does not have any subsidiaries, associates or joint ventures (and therefore requirements set out in AASB 10 and AASB 128 are not applicable)  and prepares special purpose financial statements that apply some material accounting policies that have not been assessed for compliance with the recognition and measurement requirements in Australian Accounting Standards. All other material accounting policies comply with the recognition and measurement requirements in Australian Accounting Standards.</w:t>
            </w:r>
          </w:p>
        </w:tc>
        <w:tc>
          <w:tcPr>
            <w:tcW w:w="5245" w:type="dxa"/>
            <w:shd w:val="clear" w:color="auto" w:fill="auto"/>
          </w:tcPr>
          <w:p w14:paraId="2734129B" w14:textId="77777777" w:rsidR="00157038" w:rsidRPr="00234605" w:rsidRDefault="00157038" w:rsidP="00287863">
            <w:pPr>
              <w:pStyle w:val="TableRow"/>
              <w:rPr>
                <w:sz w:val="19"/>
                <w:szCs w:val="19"/>
              </w:rPr>
            </w:pPr>
            <w:r w:rsidRPr="00234605">
              <w:rPr>
                <w:sz w:val="19"/>
                <w:szCs w:val="19"/>
              </w:rPr>
              <w:t xml:space="preserve">Charity F Inc, a not-for-profit entity, has prepared special purpose financial statements as, in the opinion of the Management Committee, it is unlikely there are users of these financial statements who are not in a position to require the preparation of reports tailored to their information needs.  Accordingly, these financial statements have been prepared to satisfy the Management Committee’s reporting requirements under [the </w:t>
            </w:r>
            <w:r w:rsidRPr="00234605">
              <w:rPr>
                <w:i/>
                <w:sz w:val="19"/>
                <w:szCs w:val="19"/>
              </w:rPr>
              <w:t xml:space="preserve">Australian Charities and Not-for-profits Commission Act 2012 </w:t>
            </w:r>
            <w:r w:rsidRPr="00234605">
              <w:rPr>
                <w:sz w:val="19"/>
                <w:szCs w:val="19"/>
              </w:rPr>
              <w:t>/ insert details of the not-for-profit reporting framework under which the financial statements are prepared].</w:t>
            </w:r>
          </w:p>
          <w:p w14:paraId="13BA86B3" w14:textId="77777777" w:rsidR="00157038" w:rsidRPr="00234605" w:rsidRDefault="00157038" w:rsidP="00287863">
            <w:pPr>
              <w:pStyle w:val="TableRow"/>
              <w:rPr>
                <w:sz w:val="19"/>
                <w:szCs w:val="19"/>
              </w:rPr>
            </w:pPr>
            <w:r w:rsidRPr="00234605">
              <w:rPr>
                <w:sz w:val="19"/>
                <w:szCs w:val="19"/>
              </w:rPr>
              <w:t>Charity F Inc has not assessed whether these special purpose financial statements comply with all the recognition and measurement requirements in Australian Accounting Standards.</w:t>
            </w:r>
          </w:p>
          <w:p w14:paraId="75CE31F4" w14:textId="77777777" w:rsidR="00157038" w:rsidRPr="00234605" w:rsidRDefault="00157038" w:rsidP="00287863">
            <w:pPr>
              <w:pStyle w:val="TableRow"/>
              <w:rPr>
                <w:sz w:val="19"/>
                <w:szCs w:val="19"/>
              </w:rPr>
            </w:pPr>
            <w:r w:rsidRPr="00234605">
              <w:rPr>
                <w:sz w:val="19"/>
                <w:szCs w:val="19"/>
              </w:rPr>
              <w:t>[The material accounting policies disclosed in note X that have not been assessed for compliance with Australian Accounting Standards include:</w:t>
            </w:r>
          </w:p>
          <w:p w14:paraId="025F4EF0" w14:textId="77777777" w:rsidR="00157038" w:rsidRPr="00234605" w:rsidRDefault="00157038" w:rsidP="00A743FA">
            <w:pPr>
              <w:pStyle w:val="TableRow"/>
              <w:numPr>
                <w:ilvl w:val="0"/>
                <w:numId w:val="14"/>
              </w:numPr>
              <w:rPr>
                <w:sz w:val="19"/>
                <w:szCs w:val="19"/>
              </w:rPr>
            </w:pPr>
            <w:r w:rsidRPr="00234605">
              <w:rPr>
                <w:sz w:val="19"/>
                <w:szCs w:val="19"/>
              </w:rPr>
              <w:t xml:space="preserve">Recognition of income; and </w:t>
            </w:r>
          </w:p>
          <w:p w14:paraId="1D63F2E1" w14:textId="77777777" w:rsidR="00157038" w:rsidRPr="00234605" w:rsidRDefault="00157038" w:rsidP="00A743FA">
            <w:pPr>
              <w:pStyle w:val="TableRow"/>
              <w:numPr>
                <w:ilvl w:val="0"/>
                <w:numId w:val="14"/>
              </w:numPr>
              <w:rPr>
                <w:sz w:val="19"/>
                <w:szCs w:val="19"/>
              </w:rPr>
            </w:pPr>
            <w:r w:rsidRPr="00234605">
              <w:rPr>
                <w:sz w:val="19"/>
                <w:szCs w:val="19"/>
              </w:rPr>
              <w:t>Long-service leave.]</w:t>
            </w:r>
          </w:p>
          <w:p w14:paraId="1E69633B" w14:textId="77777777" w:rsidR="00157038" w:rsidRPr="00234605" w:rsidRDefault="00157038" w:rsidP="00287863">
            <w:pPr>
              <w:pStyle w:val="TableRow"/>
              <w:rPr>
                <w:sz w:val="19"/>
                <w:szCs w:val="19"/>
              </w:rPr>
            </w:pPr>
            <w:r w:rsidRPr="00234605">
              <w:rPr>
                <w:sz w:val="19"/>
                <w:szCs w:val="19"/>
              </w:rPr>
              <w:t xml:space="preserve">OR </w:t>
            </w:r>
          </w:p>
          <w:p w14:paraId="4C108F79" w14:textId="77777777" w:rsidR="00157038" w:rsidRPr="00234605" w:rsidRDefault="00157038" w:rsidP="00287863">
            <w:pPr>
              <w:pStyle w:val="TableRow"/>
              <w:rPr>
                <w:sz w:val="19"/>
                <w:szCs w:val="19"/>
              </w:rPr>
            </w:pPr>
            <w:r w:rsidRPr="00234605">
              <w:rPr>
                <w:sz w:val="19"/>
                <w:szCs w:val="19"/>
              </w:rPr>
              <w:t>[The material accounting policies adopted in the special purpose financial statements are set out in notes X-Y and indicate how they have not been assessed for compliance with the recognition and measurement requirements in Australian Accounting Standards.</w:t>
            </w:r>
          </w:p>
          <w:p w14:paraId="325CE1E9" w14:textId="77777777" w:rsidR="00157038" w:rsidRPr="00234605" w:rsidRDefault="00157038" w:rsidP="00287863">
            <w:pPr>
              <w:pStyle w:val="TableRow"/>
              <w:rPr>
                <w:sz w:val="19"/>
                <w:szCs w:val="19"/>
              </w:rPr>
            </w:pPr>
            <w:r w:rsidRPr="00234605">
              <w:rPr>
                <w:sz w:val="19"/>
                <w:szCs w:val="19"/>
              </w:rPr>
              <w:t>…</w:t>
            </w:r>
          </w:p>
          <w:p w14:paraId="30537007" w14:textId="77777777" w:rsidR="00157038" w:rsidRPr="00234605" w:rsidRDefault="00157038" w:rsidP="00287863">
            <w:pPr>
              <w:pStyle w:val="TableRow"/>
              <w:rPr>
                <w:sz w:val="19"/>
                <w:szCs w:val="19"/>
              </w:rPr>
            </w:pPr>
            <w:r w:rsidRPr="00234605">
              <w:rPr>
                <w:sz w:val="19"/>
                <w:szCs w:val="19"/>
              </w:rPr>
              <w:t>Note X: Revenue</w:t>
            </w:r>
          </w:p>
          <w:p w14:paraId="0BFD81DB" w14:textId="77777777" w:rsidR="00157038" w:rsidRPr="00234605" w:rsidRDefault="00157038" w:rsidP="00287863">
            <w:pPr>
              <w:pStyle w:val="TableRow"/>
              <w:rPr>
                <w:sz w:val="19"/>
                <w:szCs w:val="19"/>
              </w:rPr>
            </w:pPr>
            <w:r w:rsidRPr="00234605">
              <w:rPr>
                <w:sz w:val="19"/>
                <w:szCs w:val="19"/>
              </w:rPr>
              <w:t>All grant income has been deferred upon receipt and not recognised as revenue until the related expenses are incurred, and has not been assessed for compliance with the recognition and measurement requirements in Australian Accounting Standards.</w:t>
            </w:r>
          </w:p>
          <w:p w14:paraId="176B62B6" w14:textId="77777777" w:rsidR="00157038" w:rsidRPr="00234605" w:rsidRDefault="00157038" w:rsidP="00287863">
            <w:pPr>
              <w:pStyle w:val="TableRow"/>
              <w:rPr>
                <w:i/>
                <w:sz w:val="19"/>
                <w:szCs w:val="19"/>
              </w:rPr>
            </w:pPr>
            <w:r w:rsidRPr="00234605">
              <w:rPr>
                <w:i/>
                <w:sz w:val="19"/>
                <w:szCs w:val="19"/>
              </w:rPr>
              <w:t>…</w:t>
            </w:r>
          </w:p>
          <w:p w14:paraId="0DB6A3C8" w14:textId="77777777" w:rsidR="00157038" w:rsidRPr="00234605" w:rsidRDefault="00157038" w:rsidP="00287863">
            <w:pPr>
              <w:pStyle w:val="TableRow"/>
              <w:rPr>
                <w:iCs/>
                <w:sz w:val="19"/>
                <w:szCs w:val="19"/>
              </w:rPr>
            </w:pPr>
            <w:r w:rsidRPr="00234605">
              <w:rPr>
                <w:iCs/>
                <w:sz w:val="19"/>
                <w:szCs w:val="19"/>
              </w:rPr>
              <w:t>Note Y: Employee Benefits</w:t>
            </w:r>
          </w:p>
          <w:p w14:paraId="32B5E3F5" w14:textId="77777777" w:rsidR="00157038" w:rsidRPr="00234605" w:rsidRDefault="00157038" w:rsidP="00287863">
            <w:pPr>
              <w:pStyle w:val="TableRow"/>
              <w:rPr>
                <w:iCs/>
                <w:sz w:val="19"/>
                <w:szCs w:val="19"/>
              </w:rPr>
            </w:pPr>
            <w:r w:rsidRPr="00234605">
              <w:rPr>
                <w:iCs/>
                <w:sz w:val="19"/>
                <w:szCs w:val="19"/>
              </w:rPr>
              <w:t>…</w:t>
            </w:r>
          </w:p>
          <w:p w14:paraId="06F6FF9B" w14:textId="77777777" w:rsidR="00157038" w:rsidRPr="00234605" w:rsidRDefault="00157038" w:rsidP="00287863">
            <w:pPr>
              <w:pStyle w:val="TableRow"/>
              <w:rPr>
                <w:sz w:val="19"/>
                <w:szCs w:val="19"/>
              </w:rPr>
            </w:pPr>
            <w:r w:rsidRPr="00234605">
              <w:rPr>
                <w:iCs/>
                <w:sz w:val="19"/>
                <w:szCs w:val="19"/>
              </w:rPr>
              <w:t xml:space="preserve">Long-term provision recognised for long service leave has been measured to reflect the directors best estimate of the amounts payable for those employees expected to achieve seven years of service at the reporting date, </w:t>
            </w:r>
            <w:r w:rsidRPr="00234605">
              <w:rPr>
                <w:sz w:val="19"/>
                <w:szCs w:val="19"/>
              </w:rPr>
              <w:t>and has</w:t>
            </w:r>
            <w:r w:rsidRPr="00234605">
              <w:rPr>
                <w:iCs/>
                <w:sz w:val="19"/>
                <w:szCs w:val="19"/>
              </w:rPr>
              <w:t xml:space="preserve"> not </w:t>
            </w:r>
            <w:r w:rsidRPr="00234605">
              <w:rPr>
                <w:sz w:val="19"/>
                <w:szCs w:val="19"/>
              </w:rPr>
              <w:t>been assessed for compliance</w:t>
            </w:r>
            <w:r w:rsidRPr="00234605">
              <w:rPr>
                <w:iCs/>
                <w:sz w:val="19"/>
                <w:szCs w:val="19"/>
              </w:rPr>
              <w:t xml:space="preserve"> with </w:t>
            </w:r>
            <w:r w:rsidRPr="00234605">
              <w:rPr>
                <w:sz w:val="19"/>
                <w:szCs w:val="19"/>
              </w:rPr>
              <w:t>the recognition and measurement requirements in Australian Accounting Standards.]</w:t>
            </w:r>
          </w:p>
        </w:tc>
      </w:tr>
    </w:tbl>
    <w:p w14:paraId="5E7AAD7E" w14:textId="77777777" w:rsidR="00157038" w:rsidRPr="003766A0" w:rsidRDefault="00157038" w:rsidP="00157038">
      <w:pPr>
        <w:sectPr w:rsidR="00157038" w:rsidRPr="003766A0" w:rsidSect="000267D4">
          <w:headerReference w:type="even" r:id="rId27"/>
          <w:headerReference w:type="default" r:id="rId28"/>
          <w:footerReference w:type="default" r:id="rId29"/>
          <w:headerReference w:type="first" r:id="rId30"/>
          <w:footerReference w:type="first" r:id="rId31"/>
          <w:footnotePr>
            <w:numRestart w:val="eachSect"/>
          </w:footnotePr>
          <w:pgSz w:w="11907" w:h="16840" w:code="9"/>
          <w:pgMar w:top="1440" w:right="1440" w:bottom="1440" w:left="1440" w:header="709" w:footer="709" w:gutter="0"/>
          <w:cols w:space="720"/>
          <w:docGrid w:linePitch="258"/>
        </w:sectPr>
      </w:pPr>
    </w:p>
    <w:p w14:paraId="3B59017A" w14:textId="31677D2A" w:rsidR="0045081B" w:rsidRPr="00267D14" w:rsidRDefault="00A958E3" w:rsidP="00267D14">
      <w:pPr>
        <w:pStyle w:val="ConvSectionTitle"/>
        <w:rPr>
          <w:lang w:val="en-US"/>
        </w:rPr>
      </w:pPr>
      <w:r>
        <w:rPr>
          <w:lang w:val="en-US"/>
        </w:rPr>
        <w:lastRenderedPageBreak/>
        <w:t>C</w:t>
      </w:r>
      <w:r w:rsidR="0045081B" w:rsidRPr="00267D14">
        <w:rPr>
          <w:lang w:val="en-US"/>
        </w:rPr>
        <w:t>ompilation details</w:t>
      </w:r>
      <w:r w:rsidR="00267D14">
        <w:br/>
      </w:r>
      <w:r w:rsidR="0045081B" w:rsidRPr="00267D14">
        <w:rPr>
          <w:lang w:val="en-US"/>
        </w:rPr>
        <w:t xml:space="preserve">Accounting Standard AASB </w:t>
      </w:r>
      <w:r w:rsidR="0045081B" w:rsidRPr="00267D14">
        <w:rPr>
          <w:lang w:val="en-US"/>
        </w:rPr>
        <w:fldChar w:fldCharType="begin" w:fldLock="1"/>
      </w:r>
      <w:r w:rsidR="0045081B" w:rsidRPr="00267D14">
        <w:rPr>
          <w:lang w:val="en-US"/>
        </w:rPr>
        <w:instrText xml:space="preserve"> REF DocNo  \* charformat </w:instrText>
      </w:r>
      <w:r w:rsidR="00267D14" w:rsidRPr="00267D14">
        <w:rPr>
          <w:lang w:val="en-US"/>
        </w:rPr>
        <w:instrText xml:space="preserve"> \* MERGEFORMAT </w:instrText>
      </w:r>
      <w:r w:rsidR="0045081B" w:rsidRPr="00267D14">
        <w:rPr>
          <w:lang w:val="en-US"/>
        </w:rPr>
        <w:fldChar w:fldCharType="separate"/>
      </w:r>
      <w:r w:rsidR="0045081B" w:rsidRPr="00267D14">
        <w:rPr>
          <w:lang w:val="en-US"/>
        </w:rPr>
        <w:t>1054</w:t>
      </w:r>
      <w:r w:rsidR="0045081B" w:rsidRPr="00267D14">
        <w:rPr>
          <w:lang w:val="en-US"/>
        </w:rPr>
        <w:fldChar w:fldCharType="end"/>
      </w:r>
      <w:r w:rsidR="0045081B" w:rsidRPr="00267D14">
        <w:rPr>
          <w:lang w:val="en-US"/>
        </w:rPr>
        <w:t xml:space="preserve"> </w:t>
      </w:r>
      <w:r w:rsidR="0045081B" w:rsidRPr="00267D14">
        <w:rPr>
          <w:i/>
          <w:iCs/>
          <w:lang w:val="en-US"/>
        </w:rPr>
        <w:fldChar w:fldCharType="begin" w:fldLock="1"/>
      </w:r>
      <w:r w:rsidR="0045081B" w:rsidRPr="00267D14">
        <w:rPr>
          <w:i/>
          <w:iCs/>
          <w:lang w:val="en-US"/>
        </w:rPr>
        <w:instrText xml:space="preserve"> REF DocTitle \* charformat </w:instrText>
      </w:r>
      <w:r w:rsidR="00267D14" w:rsidRPr="00267D14">
        <w:rPr>
          <w:i/>
          <w:iCs/>
          <w:lang w:val="en-US"/>
        </w:rPr>
        <w:instrText xml:space="preserve"> \* MERGEFORMAT </w:instrText>
      </w:r>
      <w:r w:rsidR="0045081B" w:rsidRPr="00267D14">
        <w:rPr>
          <w:i/>
          <w:iCs/>
          <w:lang w:val="en-US"/>
        </w:rPr>
        <w:fldChar w:fldCharType="separate"/>
      </w:r>
      <w:r w:rsidR="0045081B" w:rsidRPr="00267D14">
        <w:rPr>
          <w:i/>
          <w:iCs/>
          <w:lang w:val="en-US"/>
        </w:rPr>
        <w:t>Australian Additional Disclosures</w:t>
      </w:r>
      <w:r w:rsidR="0045081B" w:rsidRPr="00267D14">
        <w:rPr>
          <w:i/>
          <w:iCs/>
          <w:lang w:val="en-US"/>
        </w:rPr>
        <w:fldChar w:fldCharType="end"/>
      </w:r>
      <w:r w:rsidR="0045081B" w:rsidRPr="00267D14">
        <w:rPr>
          <w:lang w:val="en-US"/>
        </w:rPr>
        <w:t xml:space="preserve"> </w:t>
      </w:r>
      <w:r w:rsidR="00267D14">
        <w:rPr>
          <w:lang w:val="en-US"/>
        </w:rPr>
        <w:t>(</w:t>
      </w:r>
      <w:r w:rsidR="0045081B" w:rsidRPr="00267D14">
        <w:rPr>
          <w:lang w:val="en-US"/>
        </w:rPr>
        <w:t>as amended</w:t>
      </w:r>
      <w:r w:rsidR="00267D14">
        <w:rPr>
          <w:lang w:val="en-US"/>
        </w:rPr>
        <w:t>)</w:t>
      </w:r>
    </w:p>
    <w:p w14:paraId="609A85C0" w14:textId="4C4D3A13" w:rsidR="0045081B" w:rsidRPr="00267D14" w:rsidRDefault="0045081B" w:rsidP="007E0F9F">
      <w:pPr>
        <w:pStyle w:val="NoNumPlain1"/>
        <w:spacing w:before="100" w:after="0" w:line="240" w:lineRule="auto"/>
        <w:jc w:val="both"/>
        <w:rPr>
          <w:sz w:val="19"/>
          <w:szCs w:val="19"/>
        </w:rPr>
      </w:pPr>
      <w:r w:rsidRPr="00267D14">
        <w:rPr>
          <w:sz w:val="19"/>
          <w:szCs w:val="19"/>
        </w:rPr>
        <w:t xml:space="preserve">This compiled Standard applies to annual periods </w:t>
      </w:r>
      <w:r w:rsidRPr="00267D14">
        <w:rPr>
          <w:sz w:val="19"/>
          <w:szCs w:val="19"/>
        </w:rPr>
        <w:fldChar w:fldCharType="begin" w:fldLock="1"/>
      </w:r>
      <w:r w:rsidRPr="00267D14">
        <w:rPr>
          <w:sz w:val="19"/>
          <w:szCs w:val="19"/>
        </w:rPr>
        <w:instrText xml:space="preserve"> REF ApplyTextCompile \* charformat </w:instrText>
      </w:r>
      <w:r w:rsidR="00267D14">
        <w:rPr>
          <w:sz w:val="19"/>
          <w:szCs w:val="19"/>
        </w:rPr>
        <w:instrText xml:space="preserve"> \* MERGEFORMAT </w:instrText>
      </w:r>
      <w:r w:rsidRPr="00267D14">
        <w:rPr>
          <w:sz w:val="19"/>
          <w:szCs w:val="19"/>
        </w:rPr>
        <w:fldChar w:fldCharType="separate"/>
      </w:r>
      <w:r w:rsidRPr="00267D14">
        <w:rPr>
          <w:sz w:val="19"/>
          <w:szCs w:val="19"/>
        </w:rPr>
        <w:t>beginning</w:t>
      </w:r>
      <w:r w:rsidRPr="00267D14">
        <w:rPr>
          <w:sz w:val="19"/>
          <w:szCs w:val="19"/>
        </w:rPr>
        <w:fldChar w:fldCharType="end"/>
      </w:r>
      <w:r w:rsidRPr="00267D14">
        <w:rPr>
          <w:sz w:val="19"/>
          <w:szCs w:val="19"/>
        </w:rPr>
        <w:t xml:space="preserve"> on or after </w:t>
      </w:r>
      <w:r w:rsidRPr="00267D14">
        <w:rPr>
          <w:sz w:val="19"/>
          <w:szCs w:val="19"/>
        </w:rPr>
        <w:fldChar w:fldCharType="begin"/>
      </w:r>
      <w:r w:rsidRPr="00267D14">
        <w:rPr>
          <w:sz w:val="19"/>
          <w:szCs w:val="19"/>
        </w:rPr>
        <w:instrText xml:space="preserve"> REF \* charformat ApplyDateCompile </w:instrText>
      </w:r>
      <w:r w:rsidR="00267D14">
        <w:rPr>
          <w:sz w:val="19"/>
          <w:szCs w:val="19"/>
        </w:rPr>
        <w:instrText xml:space="preserve"> \* MERGEFORMAT </w:instrText>
      </w:r>
      <w:r w:rsidRPr="00267D14">
        <w:rPr>
          <w:sz w:val="19"/>
          <w:szCs w:val="19"/>
        </w:rPr>
        <w:fldChar w:fldCharType="separate"/>
      </w:r>
      <w:r w:rsidR="00E04D7B" w:rsidRPr="00E04D7B">
        <w:rPr>
          <w:sz w:val="19"/>
          <w:szCs w:val="19"/>
        </w:rPr>
        <w:t>1 July 2021</w:t>
      </w:r>
      <w:r w:rsidRPr="00267D14">
        <w:rPr>
          <w:sz w:val="19"/>
          <w:szCs w:val="19"/>
        </w:rPr>
        <w:fldChar w:fldCharType="end"/>
      </w:r>
      <w:r w:rsidRPr="00267D14">
        <w:rPr>
          <w:sz w:val="19"/>
          <w:szCs w:val="19"/>
        </w:rPr>
        <w:t xml:space="preserve">.  It takes into account amendments up to and including </w:t>
      </w:r>
      <w:bookmarkStart w:id="26" w:name="CompileDate"/>
      <w:r w:rsidR="00021347">
        <w:rPr>
          <w:sz w:val="19"/>
          <w:szCs w:val="19"/>
        </w:rPr>
        <w:t xml:space="preserve">6 March </w:t>
      </w:r>
      <w:r w:rsidRPr="00267D14">
        <w:rPr>
          <w:sz w:val="19"/>
          <w:szCs w:val="19"/>
        </w:rPr>
        <w:t>20</w:t>
      </w:r>
      <w:r w:rsidR="00021347">
        <w:rPr>
          <w:sz w:val="19"/>
          <w:szCs w:val="19"/>
        </w:rPr>
        <w:t>2</w:t>
      </w:r>
      <w:r w:rsidR="004A7D39">
        <w:rPr>
          <w:sz w:val="19"/>
          <w:szCs w:val="19"/>
        </w:rPr>
        <w:t>0</w:t>
      </w:r>
      <w:bookmarkEnd w:id="26"/>
      <w:r w:rsidRPr="00267D14">
        <w:rPr>
          <w:sz w:val="19"/>
          <w:szCs w:val="19"/>
        </w:rPr>
        <w:t xml:space="preserve"> and was prepared on </w:t>
      </w:r>
      <w:bookmarkStart w:id="27" w:name="PrepDate"/>
      <w:r w:rsidR="00F35EF3">
        <w:rPr>
          <w:sz w:val="19"/>
          <w:szCs w:val="19"/>
        </w:rPr>
        <w:t>21</w:t>
      </w:r>
      <w:r w:rsidR="0041626F">
        <w:rPr>
          <w:sz w:val="19"/>
          <w:szCs w:val="19"/>
        </w:rPr>
        <w:t xml:space="preserve"> Ju</w:t>
      </w:r>
      <w:r w:rsidR="00F35EF3">
        <w:rPr>
          <w:sz w:val="19"/>
          <w:szCs w:val="19"/>
        </w:rPr>
        <w:t>ly</w:t>
      </w:r>
      <w:r w:rsidR="0041626F">
        <w:rPr>
          <w:sz w:val="19"/>
          <w:szCs w:val="19"/>
        </w:rPr>
        <w:t xml:space="preserve"> </w:t>
      </w:r>
      <w:r w:rsidRPr="00267D14">
        <w:rPr>
          <w:sz w:val="19"/>
          <w:szCs w:val="19"/>
        </w:rPr>
        <w:t>202</w:t>
      </w:r>
      <w:r w:rsidR="00021347">
        <w:rPr>
          <w:sz w:val="19"/>
          <w:szCs w:val="19"/>
        </w:rPr>
        <w:t>1</w:t>
      </w:r>
      <w:bookmarkEnd w:id="27"/>
      <w:r w:rsidRPr="00267D14">
        <w:rPr>
          <w:sz w:val="19"/>
          <w:szCs w:val="19"/>
        </w:rPr>
        <w:t xml:space="preserve"> by the staff of the Australian Accounting Standards Board (AASB).</w:t>
      </w:r>
    </w:p>
    <w:p w14:paraId="230A0E30" w14:textId="2C95A013" w:rsidR="0045081B" w:rsidRPr="00267D14" w:rsidRDefault="0045081B" w:rsidP="007E0F9F">
      <w:pPr>
        <w:pStyle w:val="NoNumPlain1"/>
        <w:spacing w:before="100" w:after="0" w:line="240" w:lineRule="auto"/>
        <w:jc w:val="both"/>
        <w:rPr>
          <w:sz w:val="19"/>
          <w:szCs w:val="19"/>
        </w:rPr>
      </w:pPr>
      <w:r w:rsidRPr="00267D14">
        <w:rPr>
          <w:sz w:val="19"/>
          <w:szCs w:val="19"/>
        </w:rPr>
        <w:t>This compilation is not a separate Accounting Standard made by the AASB.  Instead, it is a representation of AASB </w:t>
      </w:r>
      <w:r w:rsidRPr="00267D14">
        <w:rPr>
          <w:sz w:val="19"/>
          <w:szCs w:val="19"/>
        </w:rPr>
        <w:fldChar w:fldCharType="begin" w:fldLock="1"/>
      </w:r>
      <w:r w:rsidRPr="00267D14">
        <w:rPr>
          <w:sz w:val="19"/>
          <w:szCs w:val="19"/>
        </w:rPr>
        <w:instrText xml:space="preserve"> REF DocNo \* charformat </w:instrText>
      </w:r>
      <w:r w:rsidR="00267D14">
        <w:rPr>
          <w:sz w:val="19"/>
          <w:szCs w:val="19"/>
        </w:rPr>
        <w:instrText xml:space="preserve"> \* MERGEFORMAT </w:instrText>
      </w:r>
      <w:r w:rsidRPr="00267D14">
        <w:rPr>
          <w:sz w:val="19"/>
          <w:szCs w:val="19"/>
        </w:rPr>
        <w:fldChar w:fldCharType="separate"/>
      </w:r>
      <w:r w:rsidRPr="00267D14">
        <w:rPr>
          <w:sz w:val="19"/>
          <w:szCs w:val="19"/>
        </w:rPr>
        <w:t>1054</w:t>
      </w:r>
      <w:r w:rsidRPr="00267D14">
        <w:rPr>
          <w:sz w:val="19"/>
          <w:szCs w:val="19"/>
        </w:rPr>
        <w:fldChar w:fldCharType="end"/>
      </w:r>
      <w:r w:rsidRPr="00267D14">
        <w:rPr>
          <w:sz w:val="19"/>
          <w:szCs w:val="19"/>
        </w:rPr>
        <w:t xml:space="preserve"> (</w:t>
      </w:r>
      <w:bookmarkStart w:id="28" w:name="DocDateOld"/>
      <w:r w:rsidRPr="00267D14">
        <w:rPr>
          <w:sz w:val="19"/>
          <w:szCs w:val="19"/>
        </w:rPr>
        <w:t>May 2011</w:t>
      </w:r>
      <w:bookmarkEnd w:id="28"/>
      <w:r w:rsidRPr="00267D14">
        <w:rPr>
          <w:sz w:val="19"/>
          <w:szCs w:val="19"/>
        </w:rPr>
        <w:t xml:space="preserve">) as amended by other Accounting Standards, which are listed in the </w:t>
      </w:r>
      <w:r w:rsidR="0026160F">
        <w:rPr>
          <w:sz w:val="19"/>
          <w:szCs w:val="19"/>
        </w:rPr>
        <w:t>t</w:t>
      </w:r>
      <w:r w:rsidRPr="00267D14">
        <w:rPr>
          <w:sz w:val="19"/>
          <w:szCs w:val="19"/>
        </w:rPr>
        <w:t>able below.</w:t>
      </w:r>
    </w:p>
    <w:p w14:paraId="53CF0F71" w14:textId="77777777" w:rsidR="0045081B" w:rsidRPr="00A8015E" w:rsidRDefault="0045081B" w:rsidP="00267D14">
      <w:pPr>
        <w:pStyle w:val="IASBSectionTitle2NonInd"/>
      </w:pPr>
      <w:r w:rsidRPr="00A8015E">
        <w:t>Table of Standards</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listing the principal Standard and the subsequent amending Standards"/>
        <w:tblDescription w:val="Details for each principal and amending Standard listed, that is, number of the Standard, date made, FRL identifier, legal commencement date, application (effective) date, and early application note reference or a note that the particular Standard is not incorporated in this version of the compiled Standard."/>
      </w:tblPr>
      <w:tblGrid>
        <w:gridCol w:w="1332"/>
        <w:gridCol w:w="1274"/>
        <w:gridCol w:w="1418"/>
        <w:gridCol w:w="1276"/>
        <w:gridCol w:w="2551"/>
        <w:gridCol w:w="1276"/>
      </w:tblGrid>
      <w:tr w:rsidR="006715F2" w:rsidRPr="00A8015E" w14:paraId="66BDB413" w14:textId="77777777" w:rsidTr="00781045">
        <w:trPr>
          <w:cantSplit/>
          <w:tblHeader/>
        </w:trPr>
        <w:tc>
          <w:tcPr>
            <w:tcW w:w="1332" w:type="dxa"/>
          </w:tcPr>
          <w:p w14:paraId="4990513E" w14:textId="77777777" w:rsidR="00267D14" w:rsidRPr="00267D14" w:rsidRDefault="00267D14" w:rsidP="00267D14">
            <w:pPr>
              <w:pStyle w:val="NoNumBold1"/>
              <w:rPr>
                <w:rFonts w:ascii="Arial" w:hAnsi="Arial" w:cs="Arial"/>
                <w:sz w:val="18"/>
                <w:szCs w:val="18"/>
              </w:rPr>
            </w:pPr>
            <w:r w:rsidRPr="00267D14">
              <w:rPr>
                <w:rFonts w:ascii="Arial" w:hAnsi="Arial" w:cs="Arial"/>
                <w:sz w:val="18"/>
                <w:szCs w:val="18"/>
              </w:rPr>
              <w:t>Standard</w:t>
            </w:r>
          </w:p>
        </w:tc>
        <w:tc>
          <w:tcPr>
            <w:tcW w:w="1274" w:type="dxa"/>
          </w:tcPr>
          <w:p w14:paraId="4089A6A4" w14:textId="77777777" w:rsidR="00267D14" w:rsidRPr="00267D14" w:rsidRDefault="00267D14" w:rsidP="00267D14">
            <w:pPr>
              <w:pStyle w:val="NoNumBold1"/>
              <w:rPr>
                <w:rFonts w:ascii="Arial" w:hAnsi="Arial" w:cs="Arial"/>
                <w:sz w:val="18"/>
                <w:szCs w:val="18"/>
              </w:rPr>
            </w:pPr>
            <w:r w:rsidRPr="00267D14">
              <w:rPr>
                <w:rFonts w:ascii="Arial" w:hAnsi="Arial" w:cs="Arial"/>
                <w:sz w:val="18"/>
                <w:szCs w:val="18"/>
              </w:rPr>
              <w:t>Date made</w:t>
            </w:r>
          </w:p>
        </w:tc>
        <w:tc>
          <w:tcPr>
            <w:tcW w:w="1418" w:type="dxa"/>
          </w:tcPr>
          <w:p w14:paraId="2BEBDF95" w14:textId="5E139141" w:rsidR="00267D14" w:rsidRPr="00267D14" w:rsidRDefault="00267D14" w:rsidP="00267D14">
            <w:pPr>
              <w:pStyle w:val="NoNumBold1"/>
              <w:rPr>
                <w:rFonts w:ascii="Arial" w:hAnsi="Arial" w:cs="Arial"/>
                <w:sz w:val="18"/>
                <w:szCs w:val="18"/>
              </w:rPr>
            </w:pPr>
            <w:r w:rsidRPr="00267D14">
              <w:rPr>
                <w:rFonts w:ascii="Arial" w:hAnsi="Arial" w:cs="Arial"/>
                <w:sz w:val="18"/>
                <w:szCs w:val="18"/>
              </w:rPr>
              <w:t>FRL identifier</w:t>
            </w:r>
          </w:p>
        </w:tc>
        <w:tc>
          <w:tcPr>
            <w:tcW w:w="1276" w:type="dxa"/>
          </w:tcPr>
          <w:p w14:paraId="3CBB0D7C" w14:textId="665F4B3D" w:rsidR="00267D14" w:rsidRPr="00267D14" w:rsidRDefault="00267D14" w:rsidP="00267D14">
            <w:pPr>
              <w:pStyle w:val="NoNumBold1"/>
              <w:rPr>
                <w:rFonts w:ascii="Arial" w:hAnsi="Arial" w:cs="Arial"/>
                <w:sz w:val="18"/>
                <w:szCs w:val="18"/>
              </w:rPr>
            </w:pPr>
            <w:r w:rsidRPr="00267D14">
              <w:rPr>
                <w:rFonts w:ascii="Arial" w:hAnsi="Arial" w:cs="Arial"/>
                <w:sz w:val="18"/>
                <w:szCs w:val="18"/>
              </w:rPr>
              <w:t>Commence</w:t>
            </w:r>
            <w:r w:rsidR="006715F2">
              <w:rPr>
                <w:rFonts w:ascii="Arial" w:hAnsi="Arial" w:cs="Arial"/>
                <w:sz w:val="18"/>
                <w:szCs w:val="18"/>
              </w:rPr>
              <w:t>-</w:t>
            </w:r>
            <w:r w:rsidRPr="00267D14">
              <w:rPr>
                <w:rFonts w:ascii="Arial" w:hAnsi="Arial" w:cs="Arial"/>
                <w:sz w:val="18"/>
                <w:szCs w:val="18"/>
              </w:rPr>
              <w:t>ment date</w:t>
            </w:r>
          </w:p>
        </w:tc>
        <w:tc>
          <w:tcPr>
            <w:tcW w:w="2551" w:type="dxa"/>
          </w:tcPr>
          <w:p w14:paraId="7BCAC9BA" w14:textId="1BC54A0D" w:rsidR="00267D14" w:rsidRPr="00267D14" w:rsidRDefault="00F75C2E" w:rsidP="00F75C2E">
            <w:pPr>
              <w:pStyle w:val="NoNumBold1"/>
              <w:rPr>
                <w:rFonts w:ascii="Arial" w:hAnsi="Arial" w:cs="Arial"/>
                <w:sz w:val="18"/>
                <w:szCs w:val="18"/>
              </w:rPr>
            </w:pPr>
            <w:r>
              <w:rPr>
                <w:rFonts w:ascii="Arial" w:hAnsi="Arial" w:cs="Arial"/>
                <w:sz w:val="18"/>
                <w:szCs w:val="18"/>
              </w:rPr>
              <w:t>Effective</w:t>
            </w:r>
            <w:r w:rsidRPr="009305B8">
              <w:rPr>
                <w:rFonts w:ascii="Arial" w:hAnsi="Arial" w:cs="Arial"/>
                <w:sz w:val="18"/>
                <w:szCs w:val="18"/>
              </w:rPr>
              <w:t xml:space="preserve"> </w:t>
            </w:r>
            <w:r w:rsidR="00267D14" w:rsidRPr="00267D14">
              <w:rPr>
                <w:rFonts w:ascii="Arial" w:hAnsi="Arial" w:cs="Arial"/>
                <w:sz w:val="18"/>
                <w:szCs w:val="18"/>
              </w:rPr>
              <w:t>date</w:t>
            </w:r>
            <w:r w:rsidR="00267D14" w:rsidRPr="00267D14">
              <w:rPr>
                <w:rFonts w:ascii="Arial" w:hAnsi="Arial" w:cs="Arial"/>
                <w:sz w:val="18"/>
                <w:szCs w:val="18"/>
              </w:rPr>
              <w:br/>
            </w:r>
            <w:r w:rsidR="00267D14" w:rsidRPr="00267D14">
              <w:rPr>
                <w:rFonts w:ascii="Arial" w:hAnsi="Arial" w:cs="Arial"/>
                <w:i/>
                <w:sz w:val="18"/>
                <w:szCs w:val="18"/>
              </w:rPr>
              <w:t>(annual periods</w:t>
            </w:r>
            <w:r>
              <w:rPr>
                <w:rFonts w:ascii="Arial" w:hAnsi="Arial" w:cs="Arial"/>
                <w:i/>
                <w:sz w:val="18"/>
                <w:szCs w:val="18"/>
              </w:rPr>
              <w:t xml:space="preserve"> </w:t>
            </w:r>
            <w:r>
              <w:rPr>
                <w:rFonts w:ascii="Arial" w:hAnsi="Arial" w:cs="Arial"/>
                <w:i/>
                <w:sz w:val="18"/>
                <w:szCs w:val="18"/>
              </w:rPr>
              <w:br/>
            </w:r>
            <w:r w:rsidR="00267D14" w:rsidRPr="00267D14">
              <w:rPr>
                <w:rFonts w:ascii="Arial" w:hAnsi="Arial" w:cs="Arial"/>
                <w:i/>
                <w:sz w:val="18"/>
                <w:szCs w:val="18"/>
              </w:rPr>
              <w:t>… on or after …)</w:t>
            </w:r>
          </w:p>
        </w:tc>
        <w:tc>
          <w:tcPr>
            <w:tcW w:w="1276" w:type="dxa"/>
          </w:tcPr>
          <w:p w14:paraId="2DA9D0D8" w14:textId="77777777" w:rsidR="00267D14" w:rsidRPr="00267D14" w:rsidRDefault="00267D14" w:rsidP="00267D14">
            <w:pPr>
              <w:pStyle w:val="NoNumBold1"/>
              <w:rPr>
                <w:rFonts w:ascii="Arial" w:hAnsi="Arial" w:cs="Arial"/>
                <w:sz w:val="18"/>
                <w:szCs w:val="18"/>
              </w:rPr>
            </w:pPr>
            <w:r w:rsidRPr="00267D14">
              <w:rPr>
                <w:rFonts w:ascii="Arial" w:hAnsi="Arial" w:cs="Arial"/>
                <w:sz w:val="18"/>
                <w:szCs w:val="18"/>
              </w:rPr>
              <w:t>Application, saving or transitional provisions</w:t>
            </w:r>
          </w:p>
        </w:tc>
      </w:tr>
      <w:tr w:rsidR="006715F2" w:rsidRPr="00A8015E" w14:paraId="32FFD97A" w14:textId="77777777" w:rsidTr="00781045">
        <w:trPr>
          <w:cantSplit/>
        </w:trPr>
        <w:tc>
          <w:tcPr>
            <w:tcW w:w="1332" w:type="dxa"/>
          </w:tcPr>
          <w:p w14:paraId="16B2334B" w14:textId="17757AB4" w:rsidR="00267D14" w:rsidRPr="00267D14" w:rsidRDefault="00267D14" w:rsidP="0056358B">
            <w:pPr>
              <w:rPr>
                <w:rFonts w:ascii="Arial" w:hAnsi="Arial" w:cs="Arial"/>
                <w:sz w:val="18"/>
                <w:szCs w:val="18"/>
              </w:rPr>
            </w:pPr>
            <w:r w:rsidRPr="00267D14">
              <w:rPr>
                <w:rFonts w:ascii="Arial" w:hAnsi="Arial" w:cs="Arial"/>
                <w:sz w:val="18"/>
                <w:szCs w:val="18"/>
              </w:rPr>
              <w:t xml:space="preserve">AASB </w:t>
            </w:r>
            <w:r w:rsidRPr="00267D14">
              <w:rPr>
                <w:rFonts w:ascii="Arial" w:hAnsi="Arial" w:cs="Arial"/>
                <w:sz w:val="18"/>
                <w:szCs w:val="18"/>
              </w:rPr>
              <w:fldChar w:fldCharType="begin" w:fldLock="1"/>
            </w:r>
            <w:r w:rsidRPr="00267D14">
              <w:rPr>
                <w:rFonts w:ascii="Arial" w:hAnsi="Arial" w:cs="Arial"/>
                <w:sz w:val="18"/>
                <w:szCs w:val="18"/>
              </w:rPr>
              <w:instrText xml:space="preserve"> REF DocNo \* charformat  \* MERGEFORMAT </w:instrText>
            </w:r>
            <w:r w:rsidRPr="00267D14">
              <w:rPr>
                <w:rFonts w:ascii="Arial" w:hAnsi="Arial" w:cs="Arial"/>
                <w:sz w:val="18"/>
                <w:szCs w:val="18"/>
              </w:rPr>
              <w:fldChar w:fldCharType="separate"/>
            </w:r>
            <w:r w:rsidRPr="00267D14">
              <w:rPr>
                <w:rFonts w:ascii="Arial" w:hAnsi="Arial" w:cs="Arial"/>
                <w:sz w:val="18"/>
                <w:szCs w:val="18"/>
              </w:rPr>
              <w:t>1054</w:t>
            </w:r>
            <w:r w:rsidRPr="00267D14">
              <w:rPr>
                <w:rFonts w:ascii="Arial" w:hAnsi="Arial" w:cs="Arial"/>
                <w:sz w:val="18"/>
                <w:szCs w:val="18"/>
              </w:rPr>
              <w:fldChar w:fldCharType="end"/>
            </w:r>
          </w:p>
        </w:tc>
        <w:tc>
          <w:tcPr>
            <w:tcW w:w="1274" w:type="dxa"/>
          </w:tcPr>
          <w:p w14:paraId="4D66776C" w14:textId="77777777" w:rsidR="00267D14" w:rsidRPr="00267D14" w:rsidRDefault="00267D14" w:rsidP="0056358B">
            <w:pPr>
              <w:rPr>
                <w:rFonts w:ascii="Arial" w:hAnsi="Arial" w:cs="Arial"/>
                <w:sz w:val="18"/>
                <w:szCs w:val="18"/>
              </w:rPr>
            </w:pPr>
            <w:r w:rsidRPr="00267D14">
              <w:rPr>
                <w:rFonts w:ascii="Arial" w:hAnsi="Arial" w:cs="Arial"/>
                <w:sz w:val="18"/>
                <w:szCs w:val="18"/>
              </w:rPr>
              <w:t>11 May 2011</w:t>
            </w:r>
          </w:p>
        </w:tc>
        <w:tc>
          <w:tcPr>
            <w:tcW w:w="1418" w:type="dxa"/>
          </w:tcPr>
          <w:p w14:paraId="2CCD9630" w14:textId="4958FF13" w:rsidR="00267D14" w:rsidRPr="00F523E4" w:rsidRDefault="00BB32A5" w:rsidP="0056358B">
            <w:pPr>
              <w:rPr>
                <w:rFonts w:ascii="Arial" w:hAnsi="Arial" w:cs="Arial"/>
                <w:sz w:val="18"/>
                <w:szCs w:val="18"/>
              </w:rPr>
            </w:pPr>
            <w:r>
              <w:rPr>
                <w:rFonts w:ascii="Arial" w:hAnsi="Arial" w:cs="Arial"/>
                <w:sz w:val="18"/>
                <w:szCs w:val="18"/>
              </w:rPr>
              <w:t>F2011L00817</w:t>
            </w:r>
          </w:p>
        </w:tc>
        <w:tc>
          <w:tcPr>
            <w:tcW w:w="1276" w:type="dxa"/>
          </w:tcPr>
          <w:p w14:paraId="185318EF" w14:textId="074468AA" w:rsidR="00267D14" w:rsidRPr="00F523E4" w:rsidRDefault="00F523E4" w:rsidP="0056358B">
            <w:pPr>
              <w:rPr>
                <w:rFonts w:ascii="Arial" w:hAnsi="Arial" w:cs="Arial"/>
                <w:iCs/>
                <w:sz w:val="18"/>
                <w:szCs w:val="18"/>
              </w:rPr>
            </w:pPr>
            <w:r>
              <w:rPr>
                <w:rFonts w:ascii="Arial" w:hAnsi="Arial" w:cs="Arial"/>
                <w:iCs/>
                <w:sz w:val="18"/>
                <w:szCs w:val="18"/>
              </w:rPr>
              <w:t>30 Jun 2011</w:t>
            </w:r>
          </w:p>
        </w:tc>
        <w:tc>
          <w:tcPr>
            <w:tcW w:w="2551" w:type="dxa"/>
          </w:tcPr>
          <w:p w14:paraId="6F004665" w14:textId="6F011A19" w:rsidR="00267D14" w:rsidRPr="00267D14" w:rsidRDefault="00267D14" w:rsidP="0056358B">
            <w:pPr>
              <w:rPr>
                <w:rFonts w:ascii="Arial" w:hAnsi="Arial" w:cs="Arial"/>
                <w:sz w:val="18"/>
                <w:szCs w:val="18"/>
              </w:rPr>
            </w:pPr>
            <w:r w:rsidRPr="00267D14">
              <w:rPr>
                <w:rFonts w:ascii="Arial" w:hAnsi="Arial" w:cs="Arial"/>
                <w:i/>
                <w:sz w:val="18"/>
                <w:szCs w:val="18"/>
              </w:rPr>
              <w:t>(beginning)</w:t>
            </w:r>
            <w:r w:rsidRPr="00267D14">
              <w:rPr>
                <w:rFonts w:ascii="Arial" w:hAnsi="Arial" w:cs="Arial"/>
                <w:sz w:val="18"/>
                <w:szCs w:val="18"/>
              </w:rPr>
              <w:t xml:space="preserve"> 1 Jul 2011</w:t>
            </w:r>
          </w:p>
        </w:tc>
        <w:tc>
          <w:tcPr>
            <w:tcW w:w="1276" w:type="dxa"/>
          </w:tcPr>
          <w:p w14:paraId="78997A90" w14:textId="77777777" w:rsidR="00267D14" w:rsidRPr="00267D14" w:rsidRDefault="00267D14" w:rsidP="0056358B">
            <w:pPr>
              <w:rPr>
                <w:rFonts w:ascii="Arial" w:hAnsi="Arial" w:cs="Arial"/>
                <w:sz w:val="18"/>
                <w:szCs w:val="18"/>
              </w:rPr>
            </w:pPr>
            <w:r w:rsidRPr="00267D14">
              <w:rPr>
                <w:rFonts w:ascii="Arial" w:hAnsi="Arial" w:cs="Arial"/>
                <w:sz w:val="18"/>
                <w:szCs w:val="18"/>
              </w:rPr>
              <w:t>see (a) below</w:t>
            </w:r>
          </w:p>
        </w:tc>
      </w:tr>
      <w:tr w:rsidR="006715F2" w:rsidRPr="00A8015E" w14:paraId="0464AADC" w14:textId="77777777" w:rsidTr="00781045">
        <w:trPr>
          <w:cantSplit/>
        </w:trPr>
        <w:tc>
          <w:tcPr>
            <w:tcW w:w="1332" w:type="dxa"/>
          </w:tcPr>
          <w:p w14:paraId="1C46FE35" w14:textId="77777777" w:rsidR="00267D14" w:rsidRPr="00267D14" w:rsidRDefault="00267D14" w:rsidP="0056358B">
            <w:pPr>
              <w:rPr>
                <w:rFonts w:ascii="Arial" w:hAnsi="Arial" w:cs="Arial"/>
                <w:sz w:val="18"/>
                <w:szCs w:val="18"/>
              </w:rPr>
            </w:pPr>
            <w:r w:rsidRPr="00267D14">
              <w:rPr>
                <w:rFonts w:ascii="Arial" w:hAnsi="Arial" w:cs="Arial"/>
                <w:sz w:val="18"/>
                <w:szCs w:val="18"/>
              </w:rPr>
              <w:t>AASB 2011-2</w:t>
            </w:r>
          </w:p>
        </w:tc>
        <w:tc>
          <w:tcPr>
            <w:tcW w:w="1274" w:type="dxa"/>
          </w:tcPr>
          <w:p w14:paraId="6A92E568" w14:textId="77777777" w:rsidR="00267D14" w:rsidRPr="00267D14" w:rsidRDefault="00267D14" w:rsidP="0056358B">
            <w:pPr>
              <w:rPr>
                <w:rFonts w:ascii="Arial" w:hAnsi="Arial" w:cs="Arial"/>
                <w:sz w:val="18"/>
                <w:szCs w:val="18"/>
              </w:rPr>
            </w:pPr>
            <w:r w:rsidRPr="00267D14">
              <w:rPr>
                <w:rFonts w:ascii="Arial" w:hAnsi="Arial" w:cs="Arial"/>
                <w:sz w:val="18"/>
                <w:szCs w:val="18"/>
              </w:rPr>
              <w:t>11 May 2011</w:t>
            </w:r>
          </w:p>
        </w:tc>
        <w:tc>
          <w:tcPr>
            <w:tcW w:w="1418" w:type="dxa"/>
          </w:tcPr>
          <w:p w14:paraId="45B22DF0" w14:textId="5A4D8D0A" w:rsidR="00267D14" w:rsidRPr="00F523E4" w:rsidRDefault="00897B8B" w:rsidP="0056358B">
            <w:pPr>
              <w:rPr>
                <w:rFonts w:ascii="Arial" w:hAnsi="Arial" w:cs="Arial"/>
                <w:sz w:val="18"/>
                <w:szCs w:val="18"/>
              </w:rPr>
            </w:pPr>
            <w:r w:rsidRPr="00897B8B">
              <w:rPr>
                <w:rFonts w:ascii="Arial" w:hAnsi="Arial" w:cs="Arial"/>
                <w:sz w:val="18"/>
                <w:szCs w:val="18"/>
              </w:rPr>
              <w:t>F2011L00824</w:t>
            </w:r>
          </w:p>
        </w:tc>
        <w:tc>
          <w:tcPr>
            <w:tcW w:w="1276" w:type="dxa"/>
          </w:tcPr>
          <w:p w14:paraId="0DA17578" w14:textId="3E5758B7" w:rsidR="00267D14" w:rsidRPr="00F523E4" w:rsidRDefault="00F523E4" w:rsidP="0056358B">
            <w:pPr>
              <w:rPr>
                <w:rFonts w:ascii="Arial" w:hAnsi="Arial" w:cs="Arial"/>
                <w:iCs/>
                <w:sz w:val="18"/>
                <w:szCs w:val="18"/>
              </w:rPr>
            </w:pPr>
            <w:r>
              <w:rPr>
                <w:rFonts w:ascii="Arial" w:hAnsi="Arial" w:cs="Arial"/>
                <w:iCs/>
                <w:sz w:val="18"/>
                <w:szCs w:val="18"/>
              </w:rPr>
              <w:t>30 Jun 2013</w:t>
            </w:r>
          </w:p>
        </w:tc>
        <w:tc>
          <w:tcPr>
            <w:tcW w:w="2551" w:type="dxa"/>
          </w:tcPr>
          <w:p w14:paraId="2077C2CA" w14:textId="46F0595F" w:rsidR="00267D14" w:rsidRPr="00267D14" w:rsidRDefault="00267D14" w:rsidP="0056358B">
            <w:pPr>
              <w:rPr>
                <w:rFonts w:ascii="Arial" w:hAnsi="Arial" w:cs="Arial"/>
                <w:sz w:val="18"/>
                <w:szCs w:val="18"/>
              </w:rPr>
            </w:pPr>
            <w:r w:rsidRPr="00267D14">
              <w:rPr>
                <w:rFonts w:ascii="Arial" w:hAnsi="Arial" w:cs="Arial"/>
                <w:i/>
                <w:sz w:val="18"/>
                <w:szCs w:val="18"/>
              </w:rPr>
              <w:t>(beginning)</w:t>
            </w:r>
            <w:r w:rsidRPr="00267D14">
              <w:rPr>
                <w:rFonts w:ascii="Arial" w:hAnsi="Arial" w:cs="Arial"/>
                <w:sz w:val="18"/>
                <w:szCs w:val="18"/>
              </w:rPr>
              <w:t xml:space="preserve"> 1 Jul 2013</w:t>
            </w:r>
          </w:p>
        </w:tc>
        <w:tc>
          <w:tcPr>
            <w:tcW w:w="1276" w:type="dxa"/>
          </w:tcPr>
          <w:p w14:paraId="2D788A76" w14:textId="77777777" w:rsidR="00267D14" w:rsidRPr="00267D14" w:rsidRDefault="00267D14" w:rsidP="0056358B">
            <w:pPr>
              <w:rPr>
                <w:rFonts w:ascii="Arial" w:hAnsi="Arial" w:cs="Arial"/>
                <w:sz w:val="18"/>
                <w:szCs w:val="18"/>
              </w:rPr>
            </w:pPr>
            <w:r w:rsidRPr="00267D14">
              <w:rPr>
                <w:rFonts w:ascii="Arial" w:hAnsi="Arial" w:cs="Arial"/>
                <w:sz w:val="18"/>
                <w:szCs w:val="18"/>
              </w:rPr>
              <w:t>see (b) below</w:t>
            </w:r>
          </w:p>
        </w:tc>
      </w:tr>
      <w:tr w:rsidR="006715F2" w:rsidRPr="00A8015E" w14:paraId="68BD7062" w14:textId="77777777" w:rsidTr="00781045">
        <w:trPr>
          <w:cantSplit/>
        </w:trPr>
        <w:tc>
          <w:tcPr>
            <w:tcW w:w="1332" w:type="dxa"/>
          </w:tcPr>
          <w:p w14:paraId="24FB732B" w14:textId="77777777" w:rsidR="00267D14" w:rsidRPr="00267D14" w:rsidRDefault="00267D14" w:rsidP="0056358B">
            <w:pPr>
              <w:rPr>
                <w:rFonts w:ascii="Arial" w:hAnsi="Arial" w:cs="Arial"/>
                <w:sz w:val="18"/>
                <w:szCs w:val="18"/>
              </w:rPr>
            </w:pPr>
            <w:r w:rsidRPr="00267D14">
              <w:rPr>
                <w:rFonts w:ascii="Arial" w:hAnsi="Arial" w:cs="Arial"/>
                <w:sz w:val="18"/>
                <w:szCs w:val="18"/>
              </w:rPr>
              <w:t>AASB 2015-3</w:t>
            </w:r>
          </w:p>
        </w:tc>
        <w:tc>
          <w:tcPr>
            <w:tcW w:w="1274" w:type="dxa"/>
          </w:tcPr>
          <w:p w14:paraId="5D7E09C4" w14:textId="77777777" w:rsidR="00267D14" w:rsidRPr="00267D14" w:rsidRDefault="00267D14" w:rsidP="0056358B">
            <w:pPr>
              <w:rPr>
                <w:rFonts w:ascii="Arial" w:hAnsi="Arial" w:cs="Arial"/>
                <w:sz w:val="18"/>
                <w:szCs w:val="18"/>
              </w:rPr>
            </w:pPr>
            <w:r w:rsidRPr="00267D14">
              <w:rPr>
                <w:rFonts w:ascii="Arial" w:hAnsi="Arial" w:cs="Arial"/>
                <w:sz w:val="18"/>
                <w:szCs w:val="18"/>
              </w:rPr>
              <w:t>28 Jan 2015</w:t>
            </w:r>
          </w:p>
        </w:tc>
        <w:tc>
          <w:tcPr>
            <w:tcW w:w="1418" w:type="dxa"/>
          </w:tcPr>
          <w:p w14:paraId="1072B14A" w14:textId="5E5D0BE9" w:rsidR="00267D14" w:rsidRPr="00F523E4" w:rsidRDefault="00F523E4" w:rsidP="0056358B">
            <w:pPr>
              <w:rPr>
                <w:rFonts w:ascii="Arial" w:hAnsi="Arial" w:cs="Arial"/>
                <w:sz w:val="18"/>
                <w:szCs w:val="18"/>
              </w:rPr>
            </w:pPr>
            <w:r w:rsidRPr="00F523E4">
              <w:rPr>
                <w:rFonts w:ascii="Arial" w:hAnsi="Arial" w:cs="Arial"/>
                <w:sz w:val="18"/>
                <w:szCs w:val="18"/>
              </w:rPr>
              <w:t>F2015L00134 </w:t>
            </w:r>
          </w:p>
        </w:tc>
        <w:tc>
          <w:tcPr>
            <w:tcW w:w="1276" w:type="dxa"/>
          </w:tcPr>
          <w:p w14:paraId="371B1FC7" w14:textId="085443F1" w:rsidR="00267D14" w:rsidRPr="00F523E4" w:rsidRDefault="00F523E4" w:rsidP="0056358B">
            <w:pPr>
              <w:rPr>
                <w:rFonts w:ascii="Arial" w:hAnsi="Arial" w:cs="Arial"/>
                <w:iCs/>
                <w:sz w:val="18"/>
                <w:szCs w:val="18"/>
              </w:rPr>
            </w:pPr>
            <w:r>
              <w:rPr>
                <w:rFonts w:ascii="Arial" w:hAnsi="Arial" w:cs="Arial"/>
                <w:iCs/>
                <w:sz w:val="18"/>
                <w:szCs w:val="18"/>
              </w:rPr>
              <w:t>30 Jun 2015</w:t>
            </w:r>
          </w:p>
        </w:tc>
        <w:tc>
          <w:tcPr>
            <w:tcW w:w="2551" w:type="dxa"/>
          </w:tcPr>
          <w:p w14:paraId="4749998A" w14:textId="06243BE9" w:rsidR="00267D14" w:rsidRPr="00267D14" w:rsidRDefault="00267D14" w:rsidP="0056358B">
            <w:pPr>
              <w:rPr>
                <w:rFonts w:ascii="Arial" w:hAnsi="Arial" w:cs="Arial"/>
                <w:i/>
                <w:sz w:val="18"/>
                <w:szCs w:val="18"/>
              </w:rPr>
            </w:pPr>
            <w:r w:rsidRPr="00267D14">
              <w:rPr>
                <w:rFonts w:ascii="Arial" w:hAnsi="Arial" w:cs="Arial"/>
                <w:i/>
                <w:sz w:val="18"/>
                <w:szCs w:val="18"/>
              </w:rPr>
              <w:t>(beginning)</w:t>
            </w:r>
            <w:r w:rsidRPr="00267D14">
              <w:rPr>
                <w:rFonts w:ascii="Arial" w:hAnsi="Arial" w:cs="Arial"/>
                <w:sz w:val="18"/>
                <w:szCs w:val="18"/>
              </w:rPr>
              <w:t xml:space="preserve"> 1 Jul 2015</w:t>
            </w:r>
          </w:p>
        </w:tc>
        <w:tc>
          <w:tcPr>
            <w:tcW w:w="1276" w:type="dxa"/>
          </w:tcPr>
          <w:p w14:paraId="6D942E34" w14:textId="77777777" w:rsidR="00267D14" w:rsidRPr="00267D14" w:rsidRDefault="00267D14" w:rsidP="0056358B">
            <w:pPr>
              <w:rPr>
                <w:rFonts w:ascii="Arial" w:hAnsi="Arial" w:cs="Arial"/>
                <w:sz w:val="18"/>
                <w:szCs w:val="18"/>
              </w:rPr>
            </w:pPr>
            <w:r w:rsidRPr="00267D14">
              <w:rPr>
                <w:rFonts w:ascii="Arial" w:hAnsi="Arial" w:cs="Arial"/>
                <w:sz w:val="18"/>
                <w:szCs w:val="18"/>
              </w:rPr>
              <w:t>see (c) below</w:t>
            </w:r>
          </w:p>
        </w:tc>
      </w:tr>
      <w:tr w:rsidR="006715F2" w:rsidRPr="00A8015E" w14:paraId="44D5D016" w14:textId="77777777" w:rsidTr="00781045">
        <w:trPr>
          <w:cantSplit/>
        </w:trPr>
        <w:tc>
          <w:tcPr>
            <w:tcW w:w="1332" w:type="dxa"/>
          </w:tcPr>
          <w:p w14:paraId="468D443B" w14:textId="77777777" w:rsidR="00267D14" w:rsidRPr="00267D14" w:rsidRDefault="00267D14" w:rsidP="0056358B">
            <w:pPr>
              <w:rPr>
                <w:rFonts w:ascii="Arial" w:hAnsi="Arial" w:cs="Arial"/>
                <w:sz w:val="18"/>
                <w:szCs w:val="18"/>
              </w:rPr>
            </w:pPr>
            <w:r w:rsidRPr="00267D14">
              <w:rPr>
                <w:rFonts w:ascii="Arial" w:hAnsi="Arial" w:cs="Arial"/>
                <w:sz w:val="18"/>
                <w:szCs w:val="18"/>
              </w:rPr>
              <w:t>AASB 2019-1</w:t>
            </w:r>
          </w:p>
        </w:tc>
        <w:tc>
          <w:tcPr>
            <w:tcW w:w="1274" w:type="dxa"/>
          </w:tcPr>
          <w:p w14:paraId="347F631A" w14:textId="77777777" w:rsidR="00267D14" w:rsidRPr="00267D14" w:rsidRDefault="00267D14" w:rsidP="0056358B">
            <w:pPr>
              <w:rPr>
                <w:rFonts w:ascii="Arial" w:hAnsi="Arial" w:cs="Arial"/>
                <w:sz w:val="18"/>
                <w:szCs w:val="18"/>
              </w:rPr>
            </w:pPr>
            <w:r w:rsidRPr="00267D14">
              <w:rPr>
                <w:rFonts w:ascii="Arial" w:hAnsi="Arial" w:cs="Arial"/>
                <w:sz w:val="18"/>
                <w:szCs w:val="18"/>
              </w:rPr>
              <w:t>21 May 2019</w:t>
            </w:r>
          </w:p>
        </w:tc>
        <w:tc>
          <w:tcPr>
            <w:tcW w:w="1418" w:type="dxa"/>
          </w:tcPr>
          <w:p w14:paraId="216C2AF9" w14:textId="1497B0A2" w:rsidR="00267D14" w:rsidRPr="00F523E4" w:rsidRDefault="00F523E4" w:rsidP="0056358B">
            <w:pPr>
              <w:rPr>
                <w:rFonts w:ascii="Arial" w:hAnsi="Arial" w:cs="Arial"/>
                <w:sz w:val="18"/>
                <w:szCs w:val="18"/>
              </w:rPr>
            </w:pPr>
            <w:r w:rsidRPr="00F523E4">
              <w:rPr>
                <w:rFonts w:ascii="Arial" w:hAnsi="Arial" w:cs="Arial"/>
                <w:sz w:val="18"/>
                <w:szCs w:val="18"/>
              </w:rPr>
              <w:t>F2019L00966</w:t>
            </w:r>
          </w:p>
        </w:tc>
        <w:tc>
          <w:tcPr>
            <w:tcW w:w="1276" w:type="dxa"/>
          </w:tcPr>
          <w:p w14:paraId="3A5FBBFD" w14:textId="6FD3BFDD" w:rsidR="00267D14" w:rsidRPr="00F523E4" w:rsidRDefault="00F523E4" w:rsidP="0056358B">
            <w:pPr>
              <w:rPr>
                <w:rFonts w:ascii="Arial" w:hAnsi="Arial" w:cs="Arial"/>
                <w:iCs/>
                <w:sz w:val="18"/>
                <w:szCs w:val="18"/>
              </w:rPr>
            </w:pPr>
            <w:r>
              <w:rPr>
                <w:rFonts w:ascii="Arial" w:hAnsi="Arial" w:cs="Arial"/>
                <w:iCs/>
                <w:sz w:val="18"/>
                <w:szCs w:val="18"/>
              </w:rPr>
              <w:t>31 Dec 2019</w:t>
            </w:r>
          </w:p>
        </w:tc>
        <w:tc>
          <w:tcPr>
            <w:tcW w:w="2551" w:type="dxa"/>
          </w:tcPr>
          <w:p w14:paraId="1609A3DB" w14:textId="269EEFBC" w:rsidR="00267D14" w:rsidRPr="00267D14" w:rsidRDefault="00267D14" w:rsidP="0056358B">
            <w:pPr>
              <w:rPr>
                <w:rFonts w:ascii="Arial" w:hAnsi="Arial" w:cs="Arial"/>
                <w:i/>
                <w:sz w:val="18"/>
                <w:szCs w:val="18"/>
              </w:rPr>
            </w:pPr>
            <w:r w:rsidRPr="00267D14">
              <w:rPr>
                <w:rFonts w:ascii="Arial" w:hAnsi="Arial" w:cs="Arial"/>
                <w:i/>
                <w:sz w:val="18"/>
                <w:szCs w:val="18"/>
              </w:rPr>
              <w:t>(beginning)</w:t>
            </w:r>
            <w:r w:rsidRPr="00267D14">
              <w:rPr>
                <w:rFonts w:ascii="Arial" w:hAnsi="Arial" w:cs="Arial"/>
                <w:sz w:val="18"/>
                <w:szCs w:val="18"/>
              </w:rPr>
              <w:t xml:space="preserve"> 1 Jan 2020</w:t>
            </w:r>
          </w:p>
        </w:tc>
        <w:tc>
          <w:tcPr>
            <w:tcW w:w="1276" w:type="dxa"/>
          </w:tcPr>
          <w:p w14:paraId="0ADFC002" w14:textId="77777777" w:rsidR="00267D14" w:rsidRPr="00267D14" w:rsidRDefault="00267D14" w:rsidP="0056358B">
            <w:pPr>
              <w:rPr>
                <w:rFonts w:ascii="Arial" w:hAnsi="Arial" w:cs="Arial"/>
                <w:sz w:val="18"/>
                <w:szCs w:val="18"/>
              </w:rPr>
            </w:pPr>
            <w:r w:rsidRPr="00267D14">
              <w:rPr>
                <w:rFonts w:ascii="Arial" w:hAnsi="Arial" w:cs="Arial"/>
                <w:sz w:val="18"/>
                <w:szCs w:val="18"/>
              </w:rPr>
              <w:t>see (d) below</w:t>
            </w:r>
          </w:p>
        </w:tc>
      </w:tr>
      <w:tr w:rsidR="006715F2" w:rsidRPr="00A8015E" w14:paraId="7D6529B9" w14:textId="77777777" w:rsidTr="00781045">
        <w:trPr>
          <w:cantSplit/>
        </w:trPr>
        <w:tc>
          <w:tcPr>
            <w:tcW w:w="1332" w:type="dxa"/>
          </w:tcPr>
          <w:p w14:paraId="3ECCD86B" w14:textId="77777777" w:rsidR="002441EB" w:rsidRPr="00267D14" w:rsidRDefault="002441EB" w:rsidP="0056358B">
            <w:pPr>
              <w:rPr>
                <w:rFonts w:ascii="Arial" w:hAnsi="Arial" w:cs="Arial"/>
                <w:sz w:val="18"/>
                <w:szCs w:val="18"/>
              </w:rPr>
            </w:pPr>
            <w:r>
              <w:rPr>
                <w:rFonts w:ascii="Arial" w:hAnsi="Arial" w:cs="Arial"/>
                <w:sz w:val="18"/>
                <w:szCs w:val="18"/>
              </w:rPr>
              <w:t>AASB 2019-4</w:t>
            </w:r>
          </w:p>
        </w:tc>
        <w:tc>
          <w:tcPr>
            <w:tcW w:w="1274" w:type="dxa"/>
          </w:tcPr>
          <w:p w14:paraId="539765A6" w14:textId="77777777" w:rsidR="002441EB" w:rsidRPr="00267D14" w:rsidRDefault="002441EB" w:rsidP="0056358B">
            <w:pPr>
              <w:rPr>
                <w:rFonts w:ascii="Arial" w:hAnsi="Arial" w:cs="Arial"/>
                <w:sz w:val="18"/>
                <w:szCs w:val="18"/>
              </w:rPr>
            </w:pPr>
            <w:r>
              <w:rPr>
                <w:rFonts w:ascii="Arial" w:hAnsi="Arial" w:cs="Arial"/>
                <w:sz w:val="18"/>
                <w:szCs w:val="18"/>
              </w:rPr>
              <w:t>21 Nov 2019</w:t>
            </w:r>
          </w:p>
        </w:tc>
        <w:tc>
          <w:tcPr>
            <w:tcW w:w="1418" w:type="dxa"/>
          </w:tcPr>
          <w:p w14:paraId="722376E8" w14:textId="5CA36FB2" w:rsidR="002441EB" w:rsidRPr="00F523E4" w:rsidRDefault="00897B8B" w:rsidP="0056358B">
            <w:pPr>
              <w:rPr>
                <w:rFonts w:ascii="Arial" w:hAnsi="Arial" w:cs="Arial"/>
                <w:sz w:val="18"/>
                <w:szCs w:val="18"/>
              </w:rPr>
            </w:pPr>
            <w:r w:rsidRPr="00897B8B">
              <w:rPr>
                <w:rFonts w:ascii="Arial" w:hAnsi="Arial" w:cs="Arial"/>
                <w:sz w:val="18"/>
                <w:szCs w:val="18"/>
              </w:rPr>
              <w:t>F2019L01584</w:t>
            </w:r>
          </w:p>
        </w:tc>
        <w:tc>
          <w:tcPr>
            <w:tcW w:w="1276" w:type="dxa"/>
          </w:tcPr>
          <w:p w14:paraId="559587CF" w14:textId="77777777" w:rsidR="002441EB" w:rsidRPr="00F523E4" w:rsidRDefault="002441EB" w:rsidP="0056358B">
            <w:pPr>
              <w:rPr>
                <w:rFonts w:ascii="Arial" w:hAnsi="Arial" w:cs="Arial"/>
                <w:iCs/>
                <w:sz w:val="18"/>
                <w:szCs w:val="18"/>
              </w:rPr>
            </w:pPr>
            <w:r w:rsidRPr="00F523E4">
              <w:rPr>
                <w:rFonts w:ascii="Arial" w:hAnsi="Arial" w:cs="Arial"/>
                <w:iCs/>
                <w:sz w:val="18"/>
                <w:szCs w:val="18"/>
              </w:rPr>
              <w:t>29 Jun 2020</w:t>
            </w:r>
          </w:p>
        </w:tc>
        <w:tc>
          <w:tcPr>
            <w:tcW w:w="2551" w:type="dxa"/>
          </w:tcPr>
          <w:p w14:paraId="6487EED5" w14:textId="4AC90A8B" w:rsidR="002441EB" w:rsidRPr="00267D14" w:rsidRDefault="002441EB" w:rsidP="0056358B">
            <w:pPr>
              <w:rPr>
                <w:rFonts w:ascii="Arial" w:hAnsi="Arial" w:cs="Arial"/>
                <w:i/>
                <w:sz w:val="18"/>
                <w:szCs w:val="18"/>
              </w:rPr>
            </w:pPr>
            <w:r w:rsidRPr="00267D14">
              <w:rPr>
                <w:rFonts w:ascii="Arial" w:hAnsi="Arial" w:cs="Arial"/>
                <w:i/>
                <w:sz w:val="18"/>
                <w:szCs w:val="18"/>
              </w:rPr>
              <w:t>(</w:t>
            </w:r>
            <w:r w:rsidR="00851212">
              <w:rPr>
                <w:rFonts w:ascii="Arial" w:hAnsi="Arial" w:cs="Arial"/>
                <w:i/>
                <w:sz w:val="18"/>
                <w:szCs w:val="18"/>
              </w:rPr>
              <w:t>ending</w:t>
            </w:r>
            <w:r w:rsidRPr="00267D14">
              <w:rPr>
                <w:rFonts w:ascii="Arial" w:hAnsi="Arial" w:cs="Arial"/>
                <w:i/>
                <w:sz w:val="18"/>
                <w:szCs w:val="18"/>
              </w:rPr>
              <w:t>)</w:t>
            </w:r>
            <w:r w:rsidRPr="00267D14">
              <w:rPr>
                <w:rFonts w:ascii="Arial" w:hAnsi="Arial" w:cs="Arial"/>
                <w:sz w:val="18"/>
                <w:szCs w:val="18"/>
              </w:rPr>
              <w:t xml:space="preserve"> </w:t>
            </w:r>
            <w:r w:rsidR="00851212">
              <w:rPr>
                <w:rFonts w:ascii="Arial" w:hAnsi="Arial" w:cs="Arial"/>
                <w:sz w:val="18"/>
                <w:szCs w:val="18"/>
              </w:rPr>
              <w:t>30</w:t>
            </w:r>
            <w:r w:rsidR="005722C9">
              <w:rPr>
                <w:rFonts w:ascii="Arial" w:hAnsi="Arial" w:cs="Arial"/>
                <w:sz w:val="18"/>
                <w:szCs w:val="18"/>
              </w:rPr>
              <w:t xml:space="preserve"> </w:t>
            </w:r>
            <w:r w:rsidR="00851212">
              <w:rPr>
                <w:rFonts w:ascii="Arial" w:hAnsi="Arial" w:cs="Arial"/>
                <w:sz w:val="18"/>
                <w:szCs w:val="18"/>
              </w:rPr>
              <w:t>Jun</w:t>
            </w:r>
            <w:r w:rsidR="003E1C48">
              <w:rPr>
                <w:rFonts w:ascii="Arial" w:hAnsi="Arial" w:cs="Arial"/>
                <w:sz w:val="18"/>
                <w:szCs w:val="18"/>
              </w:rPr>
              <w:t xml:space="preserve"> 2020</w:t>
            </w:r>
          </w:p>
        </w:tc>
        <w:tc>
          <w:tcPr>
            <w:tcW w:w="1276" w:type="dxa"/>
          </w:tcPr>
          <w:p w14:paraId="4DE24B07" w14:textId="546E63B4" w:rsidR="002441EB" w:rsidRPr="00267D14" w:rsidRDefault="00E123BD" w:rsidP="0056358B">
            <w:pPr>
              <w:rPr>
                <w:rFonts w:ascii="Arial" w:hAnsi="Arial" w:cs="Arial"/>
                <w:sz w:val="18"/>
                <w:szCs w:val="18"/>
              </w:rPr>
            </w:pPr>
            <w:r>
              <w:rPr>
                <w:rFonts w:ascii="Arial" w:hAnsi="Arial" w:cs="Arial"/>
                <w:sz w:val="18"/>
                <w:szCs w:val="18"/>
              </w:rPr>
              <w:t>see (e) below</w:t>
            </w:r>
          </w:p>
        </w:tc>
      </w:tr>
      <w:tr w:rsidR="006715F2" w:rsidRPr="00A8015E" w14:paraId="5C6C7D4F" w14:textId="77777777" w:rsidTr="00781045">
        <w:trPr>
          <w:cantSplit/>
        </w:trPr>
        <w:tc>
          <w:tcPr>
            <w:tcW w:w="1332" w:type="dxa"/>
          </w:tcPr>
          <w:p w14:paraId="599CC125" w14:textId="77777777" w:rsidR="00267D14" w:rsidRPr="00267D14" w:rsidRDefault="00267D14" w:rsidP="0056358B">
            <w:pPr>
              <w:rPr>
                <w:rFonts w:ascii="Arial" w:hAnsi="Arial" w:cs="Arial"/>
                <w:sz w:val="18"/>
                <w:szCs w:val="18"/>
              </w:rPr>
            </w:pPr>
            <w:r w:rsidRPr="00267D14">
              <w:rPr>
                <w:rFonts w:ascii="Arial" w:hAnsi="Arial" w:cs="Arial"/>
                <w:sz w:val="18"/>
                <w:szCs w:val="18"/>
              </w:rPr>
              <w:t>AASB 2019-5</w:t>
            </w:r>
          </w:p>
        </w:tc>
        <w:tc>
          <w:tcPr>
            <w:tcW w:w="1274" w:type="dxa"/>
          </w:tcPr>
          <w:p w14:paraId="6DAA8A85" w14:textId="77777777" w:rsidR="00267D14" w:rsidRPr="00267D14" w:rsidRDefault="00267D14" w:rsidP="0056358B">
            <w:pPr>
              <w:rPr>
                <w:rFonts w:ascii="Arial" w:hAnsi="Arial" w:cs="Arial"/>
                <w:sz w:val="18"/>
                <w:szCs w:val="18"/>
              </w:rPr>
            </w:pPr>
            <w:r w:rsidRPr="00267D14">
              <w:rPr>
                <w:rFonts w:ascii="Arial" w:hAnsi="Arial" w:cs="Arial"/>
                <w:sz w:val="18"/>
                <w:szCs w:val="18"/>
              </w:rPr>
              <w:t>21 Nov 2019</w:t>
            </w:r>
          </w:p>
        </w:tc>
        <w:tc>
          <w:tcPr>
            <w:tcW w:w="1418" w:type="dxa"/>
          </w:tcPr>
          <w:p w14:paraId="5C0C81D5" w14:textId="02EC340F" w:rsidR="00267D14" w:rsidRPr="00F523E4" w:rsidRDefault="00F523E4" w:rsidP="0056358B">
            <w:pPr>
              <w:rPr>
                <w:rFonts w:ascii="Arial" w:hAnsi="Arial" w:cs="Arial"/>
                <w:sz w:val="18"/>
                <w:szCs w:val="18"/>
              </w:rPr>
            </w:pPr>
            <w:r w:rsidRPr="00F523E4">
              <w:rPr>
                <w:rFonts w:ascii="Arial" w:hAnsi="Arial" w:cs="Arial"/>
                <w:sz w:val="18"/>
                <w:szCs w:val="18"/>
              </w:rPr>
              <w:t>F2019L01585</w:t>
            </w:r>
          </w:p>
        </w:tc>
        <w:tc>
          <w:tcPr>
            <w:tcW w:w="1276" w:type="dxa"/>
          </w:tcPr>
          <w:p w14:paraId="0D82F8E4" w14:textId="446BD3B7" w:rsidR="00267D14" w:rsidRPr="00F523E4" w:rsidRDefault="00F523E4" w:rsidP="0056358B">
            <w:pPr>
              <w:rPr>
                <w:rFonts w:ascii="Arial" w:hAnsi="Arial" w:cs="Arial"/>
                <w:iCs/>
                <w:sz w:val="18"/>
                <w:szCs w:val="18"/>
              </w:rPr>
            </w:pPr>
            <w:r>
              <w:rPr>
                <w:rFonts w:ascii="Arial" w:hAnsi="Arial" w:cs="Arial"/>
                <w:iCs/>
                <w:sz w:val="18"/>
                <w:szCs w:val="18"/>
              </w:rPr>
              <w:t>31 Dec 2019</w:t>
            </w:r>
          </w:p>
        </w:tc>
        <w:tc>
          <w:tcPr>
            <w:tcW w:w="2551" w:type="dxa"/>
          </w:tcPr>
          <w:p w14:paraId="4291079A" w14:textId="05BBB7B3" w:rsidR="00267D14" w:rsidRPr="00267D14" w:rsidRDefault="00267D14" w:rsidP="0056358B">
            <w:pPr>
              <w:rPr>
                <w:rFonts w:ascii="Arial" w:hAnsi="Arial" w:cs="Arial"/>
                <w:i/>
                <w:sz w:val="18"/>
                <w:szCs w:val="18"/>
              </w:rPr>
            </w:pPr>
            <w:r w:rsidRPr="00267D14">
              <w:rPr>
                <w:rFonts w:ascii="Arial" w:hAnsi="Arial" w:cs="Arial"/>
                <w:i/>
                <w:sz w:val="18"/>
                <w:szCs w:val="18"/>
              </w:rPr>
              <w:t>(beginning)</w:t>
            </w:r>
            <w:r w:rsidRPr="00267D14">
              <w:rPr>
                <w:rFonts w:ascii="Arial" w:hAnsi="Arial" w:cs="Arial"/>
                <w:sz w:val="18"/>
                <w:szCs w:val="18"/>
              </w:rPr>
              <w:t xml:space="preserve"> 1 Jan 2020</w:t>
            </w:r>
          </w:p>
        </w:tc>
        <w:tc>
          <w:tcPr>
            <w:tcW w:w="1276" w:type="dxa"/>
          </w:tcPr>
          <w:p w14:paraId="50DD7F61" w14:textId="7CD7B6DB" w:rsidR="00267D14" w:rsidRPr="00267D14" w:rsidRDefault="00267D14" w:rsidP="0056358B">
            <w:pPr>
              <w:rPr>
                <w:rFonts w:ascii="Arial" w:hAnsi="Arial" w:cs="Arial"/>
                <w:sz w:val="18"/>
                <w:szCs w:val="18"/>
              </w:rPr>
            </w:pPr>
            <w:r w:rsidRPr="00267D14">
              <w:rPr>
                <w:rFonts w:ascii="Arial" w:hAnsi="Arial" w:cs="Arial"/>
                <w:sz w:val="18"/>
                <w:szCs w:val="18"/>
              </w:rPr>
              <w:t>see (</w:t>
            </w:r>
            <w:r>
              <w:rPr>
                <w:rFonts w:ascii="Arial" w:hAnsi="Arial" w:cs="Arial"/>
                <w:sz w:val="18"/>
                <w:szCs w:val="18"/>
              </w:rPr>
              <w:t>d</w:t>
            </w:r>
            <w:r w:rsidRPr="00267D14">
              <w:rPr>
                <w:rFonts w:ascii="Arial" w:hAnsi="Arial" w:cs="Arial"/>
                <w:sz w:val="18"/>
                <w:szCs w:val="18"/>
              </w:rPr>
              <w:t>) below</w:t>
            </w:r>
          </w:p>
        </w:tc>
      </w:tr>
      <w:tr w:rsidR="00962ABB" w:rsidRPr="00A8015E" w14:paraId="32E154E4" w14:textId="77777777" w:rsidTr="00781045">
        <w:trPr>
          <w:cantSplit/>
        </w:trPr>
        <w:tc>
          <w:tcPr>
            <w:tcW w:w="1332" w:type="dxa"/>
          </w:tcPr>
          <w:p w14:paraId="2119F88E" w14:textId="687C05E1" w:rsidR="00962ABB" w:rsidRPr="00267D14" w:rsidRDefault="00962ABB" w:rsidP="0056358B">
            <w:pPr>
              <w:rPr>
                <w:rFonts w:ascii="Arial" w:hAnsi="Arial" w:cs="Arial"/>
                <w:sz w:val="18"/>
                <w:szCs w:val="18"/>
              </w:rPr>
            </w:pPr>
            <w:r>
              <w:rPr>
                <w:rFonts w:ascii="Arial" w:hAnsi="Arial" w:cs="Arial"/>
                <w:sz w:val="18"/>
                <w:szCs w:val="18"/>
              </w:rPr>
              <w:t>AASB 1060</w:t>
            </w:r>
          </w:p>
        </w:tc>
        <w:tc>
          <w:tcPr>
            <w:tcW w:w="1274" w:type="dxa"/>
          </w:tcPr>
          <w:p w14:paraId="7C611635" w14:textId="78FA6499" w:rsidR="00962ABB" w:rsidRPr="00267D14" w:rsidRDefault="00962ABB" w:rsidP="0056358B">
            <w:pPr>
              <w:rPr>
                <w:rFonts w:ascii="Arial" w:hAnsi="Arial" w:cs="Arial"/>
                <w:sz w:val="18"/>
                <w:szCs w:val="18"/>
              </w:rPr>
            </w:pPr>
            <w:r>
              <w:rPr>
                <w:rFonts w:ascii="Arial" w:hAnsi="Arial" w:cs="Arial"/>
                <w:sz w:val="18"/>
                <w:szCs w:val="18"/>
              </w:rPr>
              <w:t>6 Mar 2020</w:t>
            </w:r>
          </w:p>
        </w:tc>
        <w:tc>
          <w:tcPr>
            <w:tcW w:w="1418" w:type="dxa"/>
          </w:tcPr>
          <w:p w14:paraId="339DD90E" w14:textId="59201DD6" w:rsidR="00962ABB" w:rsidRPr="00F523E4" w:rsidRDefault="00F13F0B" w:rsidP="0056358B">
            <w:pPr>
              <w:rPr>
                <w:rFonts w:ascii="Arial" w:hAnsi="Arial" w:cs="Arial"/>
                <w:sz w:val="18"/>
                <w:szCs w:val="18"/>
              </w:rPr>
            </w:pPr>
            <w:r>
              <w:rPr>
                <w:rFonts w:ascii="Arial" w:hAnsi="Arial" w:cs="Arial"/>
                <w:sz w:val="18"/>
                <w:szCs w:val="18"/>
              </w:rPr>
              <w:t>F2020L00288</w:t>
            </w:r>
          </w:p>
        </w:tc>
        <w:tc>
          <w:tcPr>
            <w:tcW w:w="1276" w:type="dxa"/>
          </w:tcPr>
          <w:p w14:paraId="499CB3D8" w14:textId="1514043E" w:rsidR="00962ABB" w:rsidRDefault="00F13F0B" w:rsidP="0056358B">
            <w:pPr>
              <w:rPr>
                <w:rFonts w:ascii="Arial" w:hAnsi="Arial" w:cs="Arial"/>
                <w:iCs/>
                <w:sz w:val="18"/>
                <w:szCs w:val="18"/>
              </w:rPr>
            </w:pPr>
            <w:r>
              <w:rPr>
                <w:rFonts w:ascii="Arial" w:hAnsi="Arial" w:cs="Arial"/>
                <w:iCs/>
                <w:sz w:val="18"/>
                <w:szCs w:val="18"/>
              </w:rPr>
              <w:t>30 Jun 2021</w:t>
            </w:r>
          </w:p>
        </w:tc>
        <w:tc>
          <w:tcPr>
            <w:tcW w:w="2551" w:type="dxa"/>
          </w:tcPr>
          <w:p w14:paraId="1BAC436E" w14:textId="6395C626" w:rsidR="00962ABB" w:rsidRPr="00267D14" w:rsidRDefault="00F13F0B" w:rsidP="00F13F0B">
            <w:pPr>
              <w:rPr>
                <w:rFonts w:ascii="Arial" w:hAnsi="Arial" w:cs="Arial"/>
                <w:i/>
                <w:sz w:val="18"/>
                <w:szCs w:val="18"/>
              </w:rPr>
            </w:pPr>
            <w:r w:rsidRPr="00267D14">
              <w:rPr>
                <w:rFonts w:ascii="Arial" w:hAnsi="Arial" w:cs="Arial"/>
                <w:i/>
                <w:sz w:val="18"/>
                <w:szCs w:val="18"/>
              </w:rPr>
              <w:t>(beginning)</w:t>
            </w:r>
            <w:r w:rsidRPr="00267D14">
              <w:rPr>
                <w:rFonts w:ascii="Arial" w:hAnsi="Arial" w:cs="Arial"/>
                <w:sz w:val="18"/>
                <w:szCs w:val="18"/>
              </w:rPr>
              <w:t xml:space="preserve"> 1 Jul 20</w:t>
            </w:r>
            <w:r>
              <w:rPr>
                <w:rFonts w:ascii="Arial" w:hAnsi="Arial" w:cs="Arial"/>
                <w:sz w:val="18"/>
                <w:szCs w:val="18"/>
              </w:rPr>
              <w:t>2</w:t>
            </w:r>
            <w:r w:rsidRPr="00267D14">
              <w:rPr>
                <w:rFonts w:ascii="Arial" w:hAnsi="Arial" w:cs="Arial"/>
                <w:sz w:val="18"/>
                <w:szCs w:val="18"/>
              </w:rPr>
              <w:t>1</w:t>
            </w:r>
          </w:p>
        </w:tc>
        <w:tc>
          <w:tcPr>
            <w:tcW w:w="1276" w:type="dxa"/>
          </w:tcPr>
          <w:p w14:paraId="3AA3A442" w14:textId="032AD0A6" w:rsidR="00962ABB" w:rsidRPr="00267D14" w:rsidRDefault="00021347" w:rsidP="0056358B">
            <w:pPr>
              <w:rPr>
                <w:rFonts w:ascii="Arial" w:hAnsi="Arial" w:cs="Arial"/>
                <w:sz w:val="18"/>
                <w:szCs w:val="18"/>
              </w:rPr>
            </w:pPr>
            <w:r>
              <w:rPr>
                <w:rFonts w:ascii="Arial" w:hAnsi="Arial" w:cs="Arial"/>
                <w:sz w:val="18"/>
                <w:szCs w:val="18"/>
              </w:rPr>
              <w:t>see (</w:t>
            </w:r>
            <w:r w:rsidR="00FB198A">
              <w:rPr>
                <w:rFonts w:ascii="Arial" w:hAnsi="Arial" w:cs="Arial"/>
                <w:sz w:val="18"/>
                <w:szCs w:val="18"/>
              </w:rPr>
              <w:t>f</w:t>
            </w:r>
            <w:r>
              <w:rPr>
                <w:rFonts w:ascii="Arial" w:hAnsi="Arial" w:cs="Arial"/>
                <w:sz w:val="18"/>
                <w:szCs w:val="18"/>
              </w:rPr>
              <w:t>) below</w:t>
            </w:r>
          </w:p>
        </w:tc>
      </w:tr>
    </w:tbl>
    <w:p w14:paraId="0CC4315F" w14:textId="01C60935" w:rsidR="0045081B" w:rsidRPr="00A8015E" w:rsidRDefault="0045081B" w:rsidP="00021347">
      <w:pPr>
        <w:pStyle w:val="NoNumPlain1"/>
        <w:spacing w:before="240" w:after="0" w:line="240" w:lineRule="auto"/>
        <w:ind w:left="510" w:hanging="510"/>
        <w:jc w:val="both"/>
      </w:pPr>
      <w:r w:rsidRPr="00A8015E">
        <w:rPr>
          <w:sz w:val="16"/>
          <w:szCs w:val="16"/>
        </w:rPr>
        <w:t>(a)</w:t>
      </w:r>
      <w:r w:rsidRPr="00A8015E">
        <w:rPr>
          <w:sz w:val="16"/>
          <w:szCs w:val="16"/>
        </w:rPr>
        <w:tab/>
      </w:r>
      <w:r w:rsidRPr="00A945C6">
        <w:rPr>
          <w:sz w:val="16"/>
          <w:szCs w:val="16"/>
        </w:rPr>
        <w:t>Entities may elect to apply this Standard</w:t>
      </w:r>
      <w:r>
        <w:rPr>
          <w:sz w:val="16"/>
          <w:szCs w:val="16"/>
        </w:rPr>
        <w:t>, or individual disclosure requirements,</w:t>
      </w:r>
      <w:r w:rsidRPr="00A945C6">
        <w:rPr>
          <w:sz w:val="16"/>
          <w:szCs w:val="16"/>
        </w:rPr>
        <w:t xml:space="preserve"> to annual reporting periods beginning on or after 1</w:t>
      </w:r>
      <w:r w:rsidR="003646FE">
        <w:rPr>
          <w:sz w:val="16"/>
          <w:szCs w:val="16"/>
        </w:rPr>
        <w:t> </w:t>
      </w:r>
      <w:r w:rsidRPr="00A945C6">
        <w:rPr>
          <w:sz w:val="16"/>
          <w:szCs w:val="16"/>
        </w:rPr>
        <w:t>J</w:t>
      </w:r>
      <w:r>
        <w:rPr>
          <w:sz w:val="16"/>
          <w:szCs w:val="16"/>
        </w:rPr>
        <w:t>anuary</w:t>
      </w:r>
      <w:r w:rsidRPr="00A945C6">
        <w:rPr>
          <w:sz w:val="16"/>
          <w:szCs w:val="16"/>
        </w:rPr>
        <w:t xml:space="preserve"> 200</w:t>
      </w:r>
      <w:r>
        <w:rPr>
          <w:sz w:val="16"/>
          <w:szCs w:val="16"/>
        </w:rPr>
        <w:t>5</w:t>
      </w:r>
      <w:r w:rsidRPr="00A945C6">
        <w:rPr>
          <w:sz w:val="16"/>
          <w:szCs w:val="16"/>
        </w:rPr>
        <w:t xml:space="preserve"> but before 1 July 201</w:t>
      </w:r>
      <w:r>
        <w:rPr>
          <w:sz w:val="16"/>
          <w:szCs w:val="16"/>
        </w:rPr>
        <w:t>1</w:t>
      </w:r>
      <w:r w:rsidRPr="00A945C6">
        <w:rPr>
          <w:sz w:val="16"/>
          <w:szCs w:val="16"/>
        </w:rPr>
        <w:t xml:space="preserve">, provided that </w:t>
      </w:r>
      <w:r>
        <w:rPr>
          <w:sz w:val="16"/>
          <w:szCs w:val="16"/>
        </w:rPr>
        <w:t>AASB </w:t>
      </w:r>
      <w:r w:rsidRPr="00A945C6">
        <w:rPr>
          <w:sz w:val="16"/>
          <w:szCs w:val="16"/>
        </w:rPr>
        <w:t xml:space="preserve">2011-1 </w:t>
      </w:r>
      <w:r w:rsidRPr="00A945C6">
        <w:rPr>
          <w:i/>
          <w:sz w:val="16"/>
          <w:szCs w:val="16"/>
        </w:rPr>
        <w:t>Amendments to Australian Accounting Standards arising from the Trans-Tasman Convergence Project</w:t>
      </w:r>
      <w:r>
        <w:rPr>
          <w:sz w:val="16"/>
          <w:szCs w:val="16"/>
        </w:rPr>
        <w:t>,</w:t>
      </w:r>
      <w:r w:rsidRPr="00A5051E">
        <w:rPr>
          <w:sz w:val="16"/>
          <w:szCs w:val="16"/>
        </w:rPr>
        <w:t xml:space="preserve"> </w:t>
      </w:r>
      <w:r>
        <w:rPr>
          <w:sz w:val="16"/>
          <w:szCs w:val="16"/>
        </w:rPr>
        <w:t>or the relevant individual amendments, is</w:t>
      </w:r>
      <w:r w:rsidRPr="00A945C6">
        <w:rPr>
          <w:sz w:val="16"/>
          <w:szCs w:val="16"/>
        </w:rPr>
        <w:t xml:space="preserve"> also applied to such periods.</w:t>
      </w:r>
    </w:p>
    <w:p w14:paraId="5DA6D244" w14:textId="77777777" w:rsidR="0045081B" w:rsidRDefault="0045081B" w:rsidP="00E13964">
      <w:pPr>
        <w:pStyle w:val="NoNumPlain1"/>
        <w:spacing w:before="60" w:after="0" w:line="240" w:lineRule="auto"/>
        <w:ind w:left="510" w:hanging="510"/>
        <w:jc w:val="both"/>
        <w:rPr>
          <w:sz w:val="16"/>
          <w:szCs w:val="16"/>
        </w:rPr>
      </w:pPr>
      <w:r w:rsidRPr="00A8015E">
        <w:rPr>
          <w:sz w:val="16"/>
          <w:szCs w:val="16"/>
        </w:rPr>
        <w:t>(</w:t>
      </w:r>
      <w:r>
        <w:rPr>
          <w:sz w:val="16"/>
          <w:szCs w:val="16"/>
        </w:rPr>
        <w:t>b</w:t>
      </w:r>
      <w:r w:rsidRPr="00A8015E">
        <w:rPr>
          <w:sz w:val="16"/>
          <w:szCs w:val="16"/>
        </w:rPr>
        <w:t>)</w:t>
      </w:r>
      <w:r w:rsidRPr="00A8015E">
        <w:rPr>
          <w:sz w:val="16"/>
          <w:szCs w:val="16"/>
        </w:rPr>
        <w:tab/>
      </w:r>
      <w:r w:rsidRPr="00A945C6">
        <w:rPr>
          <w:sz w:val="16"/>
          <w:szCs w:val="16"/>
        </w:rPr>
        <w:t xml:space="preserve">Entities may elect to apply this Standard to annual reporting periods beginning on or after 1 July 2009 but before 1 July 2013, provided that AASB 1053 </w:t>
      </w:r>
      <w:r w:rsidRPr="00A945C6">
        <w:rPr>
          <w:i/>
          <w:sz w:val="16"/>
          <w:szCs w:val="16"/>
        </w:rPr>
        <w:t>Application of Tiers of Australian Accounting Standards</w:t>
      </w:r>
      <w:r w:rsidRPr="00A945C6">
        <w:rPr>
          <w:sz w:val="16"/>
          <w:szCs w:val="16"/>
        </w:rPr>
        <w:t xml:space="preserve">, AASB 1054 </w:t>
      </w:r>
      <w:r w:rsidRPr="00A945C6">
        <w:rPr>
          <w:i/>
          <w:sz w:val="16"/>
          <w:szCs w:val="16"/>
        </w:rPr>
        <w:t>Australian Additional Disclosures</w:t>
      </w:r>
      <w:r w:rsidRPr="00A945C6">
        <w:rPr>
          <w:sz w:val="16"/>
          <w:szCs w:val="16"/>
        </w:rPr>
        <w:t xml:space="preserve"> and</w:t>
      </w:r>
      <w:r>
        <w:rPr>
          <w:sz w:val="16"/>
          <w:szCs w:val="16"/>
        </w:rPr>
        <w:t xml:space="preserve"> AASB </w:t>
      </w:r>
      <w:r w:rsidRPr="00A945C6">
        <w:rPr>
          <w:sz w:val="16"/>
          <w:szCs w:val="16"/>
        </w:rPr>
        <w:t xml:space="preserve">2011-1 </w:t>
      </w:r>
      <w:r w:rsidRPr="00A945C6">
        <w:rPr>
          <w:i/>
          <w:sz w:val="16"/>
          <w:szCs w:val="16"/>
        </w:rPr>
        <w:t xml:space="preserve">Amendments to Australian Accounting Standards arising from the Trans-Tasman Convergence Project </w:t>
      </w:r>
      <w:r w:rsidRPr="00A945C6">
        <w:rPr>
          <w:sz w:val="16"/>
          <w:szCs w:val="16"/>
        </w:rPr>
        <w:t>are also applied to such periods.</w:t>
      </w:r>
    </w:p>
    <w:p w14:paraId="63DD62DA" w14:textId="1D86197F" w:rsidR="0045081B" w:rsidRDefault="0045081B" w:rsidP="00E13964">
      <w:pPr>
        <w:pStyle w:val="NoNumPlain1"/>
        <w:spacing w:before="60" w:after="0" w:line="240" w:lineRule="auto"/>
        <w:ind w:left="510" w:hanging="510"/>
        <w:jc w:val="both"/>
        <w:rPr>
          <w:sz w:val="16"/>
          <w:szCs w:val="16"/>
        </w:rPr>
      </w:pPr>
      <w:r>
        <w:rPr>
          <w:sz w:val="16"/>
          <w:szCs w:val="16"/>
        </w:rPr>
        <w:t>(c)</w:t>
      </w:r>
      <w:r>
        <w:rPr>
          <w:sz w:val="16"/>
          <w:szCs w:val="16"/>
        </w:rPr>
        <w:tab/>
      </w:r>
      <w:r w:rsidRPr="009B0CD8">
        <w:rPr>
          <w:sz w:val="16"/>
          <w:szCs w:val="16"/>
        </w:rPr>
        <w:t>Entities may elect to apply this Standard to annual periods beginning on or after 1 January 2014 but before 1 July 2015.</w:t>
      </w:r>
    </w:p>
    <w:p w14:paraId="37448E21" w14:textId="47E6D3A5" w:rsidR="0045081B" w:rsidRDefault="0045081B" w:rsidP="00E13964">
      <w:pPr>
        <w:pStyle w:val="NoNumPlain1"/>
        <w:spacing w:before="60" w:after="0" w:line="240" w:lineRule="auto"/>
        <w:ind w:left="510" w:hanging="510"/>
        <w:jc w:val="both"/>
        <w:rPr>
          <w:sz w:val="16"/>
          <w:szCs w:val="16"/>
        </w:rPr>
      </w:pPr>
      <w:r>
        <w:rPr>
          <w:sz w:val="16"/>
          <w:szCs w:val="16"/>
        </w:rPr>
        <w:t>(d)</w:t>
      </w:r>
      <w:r>
        <w:rPr>
          <w:sz w:val="16"/>
          <w:szCs w:val="16"/>
        </w:rPr>
        <w:tab/>
      </w:r>
      <w:r w:rsidRPr="009B0CD8">
        <w:rPr>
          <w:sz w:val="16"/>
          <w:szCs w:val="16"/>
        </w:rPr>
        <w:t xml:space="preserve">Entities may elect to apply this Standard to annual periods beginning </w:t>
      </w:r>
      <w:r w:rsidR="00FF0881">
        <w:rPr>
          <w:sz w:val="16"/>
          <w:szCs w:val="16"/>
        </w:rPr>
        <w:t>before</w:t>
      </w:r>
      <w:r w:rsidRPr="009B0CD8">
        <w:rPr>
          <w:sz w:val="16"/>
          <w:szCs w:val="16"/>
        </w:rPr>
        <w:t xml:space="preserve"> 1 January </w:t>
      </w:r>
      <w:r w:rsidR="00BB32A5">
        <w:rPr>
          <w:sz w:val="16"/>
          <w:szCs w:val="16"/>
        </w:rPr>
        <w:t>2020</w:t>
      </w:r>
      <w:r>
        <w:rPr>
          <w:sz w:val="16"/>
          <w:szCs w:val="16"/>
        </w:rPr>
        <w:t>.</w:t>
      </w:r>
    </w:p>
    <w:p w14:paraId="6E453D95" w14:textId="5B3CB415" w:rsidR="00FB198A" w:rsidRDefault="00E123BD" w:rsidP="00E13964">
      <w:pPr>
        <w:pStyle w:val="NoNumPlain1"/>
        <w:spacing w:before="60" w:after="0" w:line="240" w:lineRule="auto"/>
        <w:ind w:left="510" w:hanging="510"/>
        <w:jc w:val="both"/>
        <w:rPr>
          <w:sz w:val="16"/>
          <w:szCs w:val="16"/>
        </w:rPr>
      </w:pPr>
      <w:r>
        <w:rPr>
          <w:sz w:val="16"/>
          <w:szCs w:val="16"/>
        </w:rPr>
        <w:t>(e)</w:t>
      </w:r>
      <w:r>
        <w:rPr>
          <w:sz w:val="16"/>
          <w:szCs w:val="16"/>
        </w:rPr>
        <w:tab/>
        <w:t xml:space="preserve">Entities may elect to apply this Standard to annual periods </w:t>
      </w:r>
      <w:r w:rsidR="00A17696">
        <w:rPr>
          <w:sz w:val="16"/>
          <w:szCs w:val="16"/>
        </w:rPr>
        <w:t>ending before 30 June 2020.</w:t>
      </w:r>
    </w:p>
    <w:p w14:paraId="42D55DD9" w14:textId="4CF6E440" w:rsidR="00FB198A" w:rsidRPr="0011328A" w:rsidRDefault="00FB198A" w:rsidP="00E13964">
      <w:pPr>
        <w:pStyle w:val="NoNumPlain1"/>
        <w:spacing w:before="60" w:after="0" w:line="240" w:lineRule="auto"/>
        <w:ind w:left="510" w:hanging="510"/>
        <w:jc w:val="both"/>
        <w:rPr>
          <w:sz w:val="16"/>
          <w:szCs w:val="16"/>
        </w:rPr>
      </w:pPr>
      <w:r>
        <w:rPr>
          <w:sz w:val="16"/>
          <w:szCs w:val="16"/>
        </w:rPr>
        <w:t>(f)</w:t>
      </w:r>
      <w:r>
        <w:rPr>
          <w:sz w:val="16"/>
          <w:szCs w:val="16"/>
        </w:rPr>
        <w:tab/>
        <w:t xml:space="preserve">Entities may elect to apply this Standard to annual periods </w:t>
      </w:r>
      <w:r w:rsidR="00600832">
        <w:rPr>
          <w:sz w:val="16"/>
          <w:szCs w:val="16"/>
        </w:rPr>
        <w:t xml:space="preserve">beginning </w:t>
      </w:r>
      <w:r>
        <w:rPr>
          <w:sz w:val="16"/>
          <w:szCs w:val="16"/>
        </w:rPr>
        <w:t>before 1 July 2021.</w:t>
      </w:r>
    </w:p>
    <w:p w14:paraId="5C0D510B" w14:textId="29F3CD14" w:rsidR="0045081B" w:rsidRPr="00A8015E" w:rsidRDefault="0045081B" w:rsidP="00267D14">
      <w:pPr>
        <w:pStyle w:val="IASBSectionTitle2NonInd"/>
      </w:pPr>
      <w:r w:rsidRPr="00A8015E">
        <w:t xml:space="preserve">Table of </w:t>
      </w:r>
      <w:r w:rsidR="00267D14">
        <w:t>a</w:t>
      </w:r>
      <w:r w:rsidRPr="00A8015E">
        <w:t>mendments</w:t>
      </w:r>
      <w:r w:rsidR="00287863">
        <w:t xml:space="preserve"> to Standard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w:tblPr>
      <w:tblGrid>
        <w:gridCol w:w="3005"/>
        <w:gridCol w:w="3004"/>
        <w:gridCol w:w="3008"/>
      </w:tblGrid>
      <w:tr w:rsidR="0045081B" w:rsidRPr="00A8015E" w14:paraId="6161061F" w14:textId="77777777" w:rsidTr="00A958E3">
        <w:trPr>
          <w:cantSplit/>
          <w:tblHeader/>
        </w:trPr>
        <w:tc>
          <w:tcPr>
            <w:tcW w:w="1666" w:type="pct"/>
          </w:tcPr>
          <w:p w14:paraId="05EAF0A9" w14:textId="77777777" w:rsidR="0045081B" w:rsidRPr="00930C26" w:rsidRDefault="0045081B" w:rsidP="0056358B">
            <w:pPr>
              <w:pStyle w:val="NoNumBold1"/>
              <w:rPr>
                <w:rFonts w:ascii="Arial" w:hAnsi="Arial" w:cs="Arial"/>
                <w:sz w:val="18"/>
                <w:szCs w:val="18"/>
              </w:rPr>
            </w:pPr>
            <w:r w:rsidRPr="00930C26">
              <w:rPr>
                <w:rFonts w:ascii="Arial" w:hAnsi="Arial" w:cs="Arial"/>
                <w:sz w:val="18"/>
                <w:szCs w:val="18"/>
              </w:rPr>
              <w:t>Paragraph affected</w:t>
            </w:r>
          </w:p>
        </w:tc>
        <w:tc>
          <w:tcPr>
            <w:tcW w:w="1666" w:type="pct"/>
          </w:tcPr>
          <w:p w14:paraId="211F38D2" w14:textId="77777777" w:rsidR="0045081B" w:rsidRPr="00930C26" w:rsidRDefault="0045081B" w:rsidP="0056358B">
            <w:pPr>
              <w:pStyle w:val="NoNumBold1"/>
              <w:rPr>
                <w:rFonts w:ascii="Arial" w:hAnsi="Arial" w:cs="Arial"/>
                <w:sz w:val="18"/>
                <w:szCs w:val="18"/>
              </w:rPr>
            </w:pPr>
            <w:r w:rsidRPr="00930C26">
              <w:rPr>
                <w:rFonts w:ascii="Arial" w:hAnsi="Arial" w:cs="Arial"/>
                <w:sz w:val="18"/>
                <w:szCs w:val="18"/>
              </w:rPr>
              <w:t>How affected</w:t>
            </w:r>
          </w:p>
        </w:tc>
        <w:tc>
          <w:tcPr>
            <w:tcW w:w="1668" w:type="pct"/>
          </w:tcPr>
          <w:p w14:paraId="45D39752" w14:textId="746DFD45" w:rsidR="0045081B" w:rsidRPr="00930C26" w:rsidRDefault="0045081B" w:rsidP="0056358B">
            <w:pPr>
              <w:pStyle w:val="NoNumBold1"/>
              <w:rPr>
                <w:rFonts w:ascii="Arial" w:hAnsi="Arial" w:cs="Arial"/>
                <w:sz w:val="18"/>
                <w:szCs w:val="18"/>
              </w:rPr>
            </w:pPr>
            <w:r w:rsidRPr="00930C26">
              <w:rPr>
                <w:rFonts w:ascii="Arial" w:hAnsi="Arial" w:cs="Arial"/>
                <w:sz w:val="18"/>
                <w:szCs w:val="18"/>
              </w:rPr>
              <w:t>By … [paragraph</w:t>
            </w:r>
            <w:r w:rsidR="00267D14" w:rsidRPr="00930C26">
              <w:rPr>
                <w:rFonts w:ascii="Arial" w:hAnsi="Arial" w:cs="Arial"/>
                <w:sz w:val="18"/>
                <w:szCs w:val="18"/>
              </w:rPr>
              <w:t>/page</w:t>
            </w:r>
            <w:r w:rsidRPr="00930C26">
              <w:rPr>
                <w:rFonts w:ascii="Arial" w:hAnsi="Arial" w:cs="Arial"/>
                <w:sz w:val="18"/>
                <w:szCs w:val="18"/>
              </w:rPr>
              <w:t>]</w:t>
            </w:r>
          </w:p>
        </w:tc>
      </w:tr>
      <w:tr w:rsidR="0045081B" w:rsidRPr="00A8015E" w14:paraId="7A6B1809" w14:textId="77777777" w:rsidTr="00A958E3">
        <w:trPr>
          <w:cantSplit/>
        </w:trPr>
        <w:tc>
          <w:tcPr>
            <w:tcW w:w="1666" w:type="pct"/>
          </w:tcPr>
          <w:p w14:paraId="6234AB3A" w14:textId="77777777" w:rsidR="0045081B" w:rsidRPr="00930C26" w:rsidRDefault="0045081B" w:rsidP="0056358B">
            <w:pPr>
              <w:ind w:left="142" w:hanging="142"/>
              <w:rPr>
                <w:rFonts w:ascii="Arial" w:hAnsi="Arial" w:cs="Arial"/>
                <w:sz w:val="18"/>
                <w:szCs w:val="18"/>
              </w:rPr>
            </w:pPr>
            <w:r w:rsidRPr="00930C26">
              <w:rPr>
                <w:rFonts w:ascii="Arial" w:hAnsi="Arial" w:cs="Arial"/>
                <w:sz w:val="18"/>
                <w:szCs w:val="18"/>
              </w:rPr>
              <w:t>2</w:t>
            </w:r>
          </w:p>
        </w:tc>
        <w:tc>
          <w:tcPr>
            <w:tcW w:w="1666" w:type="pct"/>
          </w:tcPr>
          <w:p w14:paraId="1999B35A" w14:textId="77777777" w:rsidR="0045081B" w:rsidRPr="00930C26" w:rsidRDefault="0045081B" w:rsidP="0056358B">
            <w:pPr>
              <w:rPr>
                <w:rFonts w:ascii="Arial" w:hAnsi="Arial" w:cs="Arial"/>
                <w:sz w:val="18"/>
                <w:szCs w:val="18"/>
              </w:rPr>
            </w:pPr>
            <w:r w:rsidRPr="00930C26">
              <w:rPr>
                <w:rFonts w:ascii="Arial" w:hAnsi="Arial" w:cs="Arial"/>
                <w:sz w:val="18"/>
                <w:szCs w:val="18"/>
              </w:rPr>
              <w:t>deleted</w:t>
            </w:r>
          </w:p>
        </w:tc>
        <w:tc>
          <w:tcPr>
            <w:tcW w:w="1668" w:type="pct"/>
          </w:tcPr>
          <w:p w14:paraId="38825106" w14:textId="77777777" w:rsidR="0045081B" w:rsidRPr="00930C26" w:rsidRDefault="0045081B" w:rsidP="0056358B">
            <w:pPr>
              <w:rPr>
                <w:rFonts w:ascii="Arial" w:hAnsi="Arial" w:cs="Arial"/>
                <w:sz w:val="18"/>
                <w:szCs w:val="18"/>
              </w:rPr>
            </w:pPr>
            <w:r w:rsidRPr="00930C26">
              <w:rPr>
                <w:rFonts w:ascii="Arial" w:hAnsi="Arial" w:cs="Arial"/>
                <w:sz w:val="18"/>
                <w:szCs w:val="18"/>
              </w:rPr>
              <w:t>AASB 2019-1 [page 28]</w:t>
            </w:r>
          </w:p>
        </w:tc>
      </w:tr>
      <w:tr w:rsidR="0045081B" w:rsidRPr="00A8015E" w14:paraId="68B5371C" w14:textId="77777777" w:rsidTr="00A958E3">
        <w:trPr>
          <w:cantSplit/>
        </w:trPr>
        <w:tc>
          <w:tcPr>
            <w:tcW w:w="1666" w:type="pct"/>
          </w:tcPr>
          <w:p w14:paraId="79860EB2" w14:textId="77777777" w:rsidR="0045081B" w:rsidRPr="00930C26" w:rsidRDefault="0045081B" w:rsidP="0056358B">
            <w:pPr>
              <w:ind w:left="142" w:hanging="142"/>
              <w:rPr>
                <w:rFonts w:ascii="Arial" w:hAnsi="Arial" w:cs="Arial"/>
                <w:sz w:val="18"/>
                <w:szCs w:val="18"/>
              </w:rPr>
            </w:pPr>
            <w:r w:rsidRPr="00930C26">
              <w:rPr>
                <w:rFonts w:ascii="Arial" w:hAnsi="Arial" w:cs="Arial"/>
                <w:sz w:val="18"/>
                <w:szCs w:val="18"/>
              </w:rPr>
              <w:t>5</w:t>
            </w:r>
          </w:p>
        </w:tc>
        <w:tc>
          <w:tcPr>
            <w:tcW w:w="1666" w:type="pct"/>
          </w:tcPr>
          <w:p w14:paraId="26EEC591" w14:textId="77777777" w:rsidR="0045081B" w:rsidRPr="00930C26" w:rsidRDefault="0045081B" w:rsidP="0056358B">
            <w:pPr>
              <w:rPr>
                <w:rFonts w:ascii="Arial" w:hAnsi="Arial" w:cs="Arial"/>
                <w:sz w:val="18"/>
                <w:szCs w:val="18"/>
              </w:rPr>
            </w:pPr>
            <w:r w:rsidRPr="00930C26">
              <w:rPr>
                <w:rFonts w:ascii="Arial" w:hAnsi="Arial" w:cs="Arial"/>
                <w:sz w:val="18"/>
                <w:szCs w:val="18"/>
              </w:rPr>
              <w:t>deleted</w:t>
            </w:r>
          </w:p>
        </w:tc>
        <w:tc>
          <w:tcPr>
            <w:tcW w:w="1668" w:type="pct"/>
          </w:tcPr>
          <w:p w14:paraId="311E0BBE" w14:textId="77777777" w:rsidR="0045081B" w:rsidRPr="00930C26" w:rsidRDefault="0045081B" w:rsidP="0056358B">
            <w:pPr>
              <w:rPr>
                <w:rFonts w:ascii="Arial" w:hAnsi="Arial" w:cs="Arial"/>
                <w:sz w:val="18"/>
                <w:szCs w:val="18"/>
              </w:rPr>
            </w:pPr>
            <w:r w:rsidRPr="00930C26">
              <w:rPr>
                <w:rFonts w:ascii="Arial" w:hAnsi="Arial" w:cs="Arial"/>
                <w:sz w:val="18"/>
                <w:szCs w:val="18"/>
              </w:rPr>
              <w:t>AASB 2015-3 [13, 14]</w:t>
            </w:r>
          </w:p>
        </w:tc>
      </w:tr>
      <w:tr w:rsidR="0045081B" w:rsidRPr="00A8015E" w14:paraId="046E4297" w14:textId="77777777" w:rsidTr="00A958E3">
        <w:trPr>
          <w:cantSplit/>
        </w:trPr>
        <w:tc>
          <w:tcPr>
            <w:tcW w:w="1666" w:type="pct"/>
          </w:tcPr>
          <w:p w14:paraId="3FF1BD01" w14:textId="1D8E297F" w:rsidR="0045081B" w:rsidRPr="00930C26" w:rsidRDefault="0045081B" w:rsidP="00303BF6">
            <w:pPr>
              <w:ind w:left="142" w:hanging="142"/>
              <w:rPr>
                <w:rFonts w:ascii="Arial" w:hAnsi="Arial" w:cs="Arial"/>
                <w:sz w:val="18"/>
                <w:szCs w:val="18"/>
              </w:rPr>
            </w:pPr>
            <w:r w:rsidRPr="00930C26">
              <w:rPr>
                <w:rFonts w:ascii="Arial" w:hAnsi="Arial" w:cs="Arial"/>
                <w:sz w:val="18"/>
                <w:szCs w:val="18"/>
              </w:rPr>
              <w:t>5A-5C (and heading)</w:t>
            </w:r>
          </w:p>
        </w:tc>
        <w:tc>
          <w:tcPr>
            <w:tcW w:w="1666" w:type="pct"/>
          </w:tcPr>
          <w:p w14:paraId="777E64D9" w14:textId="4C26BB5A" w:rsidR="0045081B" w:rsidRDefault="00C56DFF" w:rsidP="0056358B">
            <w:pPr>
              <w:rPr>
                <w:rFonts w:ascii="Arial" w:hAnsi="Arial" w:cs="Arial"/>
                <w:sz w:val="18"/>
                <w:szCs w:val="18"/>
              </w:rPr>
            </w:pPr>
            <w:r>
              <w:rPr>
                <w:rFonts w:ascii="Arial" w:hAnsi="Arial" w:cs="Arial"/>
                <w:sz w:val="18"/>
                <w:szCs w:val="18"/>
              </w:rPr>
              <w:t>a</w:t>
            </w:r>
            <w:r w:rsidR="0045081B" w:rsidRPr="00930C26">
              <w:rPr>
                <w:rFonts w:ascii="Arial" w:hAnsi="Arial" w:cs="Arial"/>
                <w:sz w:val="18"/>
                <w:szCs w:val="18"/>
              </w:rPr>
              <w:t>dded</w:t>
            </w:r>
          </w:p>
          <w:p w14:paraId="37EC9FB0" w14:textId="248AD3E3" w:rsidR="00C56DFF" w:rsidRPr="00930C26" w:rsidRDefault="00C56DFF" w:rsidP="0056358B">
            <w:pPr>
              <w:rPr>
                <w:rFonts w:ascii="Arial" w:hAnsi="Arial" w:cs="Arial"/>
                <w:sz w:val="18"/>
                <w:szCs w:val="18"/>
              </w:rPr>
            </w:pPr>
            <w:r>
              <w:rPr>
                <w:rFonts w:ascii="Arial" w:hAnsi="Arial" w:cs="Arial"/>
                <w:sz w:val="18"/>
                <w:szCs w:val="18"/>
              </w:rPr>
              <w:t>deleted</w:t>
            </w:r>
          </w:p>
        </w:tc>
        <w:tc>
          <w:tcPr>
            <w:tcW w:w="1668" w:type="pct"/>
          </w:tcPr>
          <w:p w14:paraId="79FD2513" w14:textId="77777777" w:rsidR="0045081B" w:rsidRDefault="0045081B" w:rsidP="0056358B">
            <w:pPr>
              <w:rPr>
                <w:rFonts w:ascii="Arial" w:hAnsi="Arial" w:cs="Arial"/>
                <w:sz w:val="18"/>
                <w:szCs w:val="18"/>
              </w:rPr>
            </w:pPr>
            <w:r w:rsidRPr="00930C26">
              <w:rPr>
                <w:rFonts w:ascii="Arial" w:hAnsi="Arial" w:cs="Arial"/>
                <w:sz w:val="18"/>
                <w:szCs w:val="18"/>
              </w:rPr>
              <w:t>AASB 2011-2 [8]</w:t>
            </w:r>
          </w:p>
          <w:p w14:paraId="0BB6F1FE" w14:textId="506C9408" w:rsidR="00C56DFF" w:rsidRPr="00930C26" w:rsidRDefault="00C56DFF" w:rsidP="0056358B">
            <w:pPr>
              <w:rPr>
                <w:rFonts w:ascii="Arial" w:hAnsi="Arial" w:cs="Arial"/>
                <w:sz w:val="18"/>
                <w:szCs w:val="18"/>
              </w:rPr>
            </w:pPr>
            <w:r>
              <w:rPr>
                <w:rFonts w:ascii="Arial" w:hAnsi="Arial" w:cs="Arial"/>
                <w:sz w:val="18"/>
                <w:szCs w:val="18"/>
              </w:rPr>
              <w:t xml:space="preserve">AASB </w:t>
            </w:r>
            <w:r w:rsidR="00665D27">
              <w:rPr>
                <w:rFonts w:ascii="Arial" w:hAnsi="Arial" w:cs="Arial"/>
                <w:sz w:val="18"/>
                <w:szCs w:val="18"/>
              </w:rPr>
              <w:t xml:space="preserve">1060 [page </w:t>
            </w:r>
            <w:r w:rsidR="00246E4E">
              <w:rPr>
                <w:rFonts w:ascii="Arial" w:hAnsi="Arial" w:cs="Arial"/>
                <w:sz w:val="18"/>
                <w:szCs w:val="18"/>
              </w:rPr>
              <w:t>68]</w:t>
            </w:r>
          </w:p>
        </w:tc>
      </w:tr>
      <w:tr w:rsidR="00A958E3" w:rsidRPr="00A8015E" w14:paraId="3BD47005" w14:textId="77777777" w:rsidTr="00A958E3">
        <w:trPr>
          <w:cantSplit/>
        </w:trPr>
        <w:tc>
          <w:tcPr>
            <w:tcW w:w="1666" w:type="pct"/>
          </w:tcPr>
          <w:p w14:paraId="7D71542B" w14:textId="77777777" w:rsidR="00A958E3" w:rsidRPr="00930C26" w:rsidRDefault="00A958E3" w:rsidP="0056358B">
            <w:pPr>
              <w:ind w:left="142" w:hanging="142"/>
              <w:rPr>
                <w:rFonts w:ascii="Arial" w:hAnsi="Arial" w:cs="Arial"/>
                <w:sz w:val="18"/>
                <w:szCs w:val="18"/>
              </w:rPr>
            </w:pPr>
            <w:r w:rsidRPr="00930C26">
              <w:rPr>
                <w:rFonts w:ascii="Arial" w:hAnsi="Arial" w:cs="Arial"/>
                <w:sz w:val="18"/>
                <w:szCs w:val="18"/>
              </w:rPr>
              <w:t>5A</w:t>
            </w:r>
          </w:p>
        </w:tc>
        <w:tc>
          <w:tcPr>
            <w:tcW w:w="1666" w:type="pct"/>
          </w:tcPr>
          <w:p w14:paraId="7FB6E2DD" w14:textId="77777777" w:rsidR="00A958E3" w:rsidRPr="00930C26" w:rsidRDefault="00A958E3" w:rsidP="0056358B">
            <w:pPr>
              <w:rPr>
                <w:rFonts w:ascii="Arial" w:hAnsi="Arial" w:cs="Arial"/>
                <w:sz w:val="18"/>
                <w:szCs w:val="18"/>
              </w:rPr>
            </w:pPr>
            <w:r w:rsidRPr="00930C26">
              <w:rPr>
                <w:rFonts w:ascii="Arial" w:hAnsi="Arial" w:cs="Arial"/>
                <w:sz w:val="18"/>
                <w:szCs w:val="18"/>
              </w:rPr>
              <w:t>amended</w:t>
            </w:r>
          </w:p>
        </w:tc>
        <w:tc>
          <w:tcPr>
            <w:tcW w:w="1668" w:type="pct"/>
          </w:tcPr>
          <w:p w14:paraId="262A3232" w14:textId="77777777" w:rsidR="00A958E3" w:rsidRPr="00930C26" w:rsidRDefault="00A958E3" w:rsidP="0056358B">
            <w:pPr>
              <w:rPr>
                <w:rFonts w:ascii="Arial" w:hAnsi="Arial" w:cs="Arial"/>
                <w:sz w:val="18"/>
                <w:szCs w:val="18"/>
              </w:rPr>
            </w:pPr>
            <w:r w:rsidRPr="00930C26">
              <w:rPr>
                <w:rFonts w:ascii="Arial" w:hAnsi="Arial" w:cs="Arial"/>
                <w:sz w:val="18"/>
                <w:szCs w:val="18"/>
              </w:rPr>
              <w:t>AASB 2019-5 [5]</w:t>
            </w:r>
          </w:p>
        </w:tc>
      </w:tr>
      <w:tr w:rsidR="0045081B" w:rsidRPr="00A8015E" w14:paraId="34227AB5" w14:textId="77777777" w:rsidTr="00A958E3">
        <w:trPr>
          <w:cantSplit/>
        </w:trPr>
        <w:tc>
          <w:tcPr>
            <w:tcW w:w="1666" w:type="pct"/>
          </w:tcPr>
          <w:p w14:paraId="14FD5FDE" w14:textId="77777777" w:rsidR="0045081B" w:rsidRPr="00930C26" w:rsidRDefault="0045081B" w:rsidP="0056358B">
            <w:pPr>
              <w:rPr>
                <w:rFonts w:ascii="Arial" w:hAnsi="Arial" w:cs="Arial"/>
                <w:sz w:val="18"/>
                <w:szCs w:val="18"/>
              </w:rPr>
            </w:pPr>
            <w:r w:rsidRPr="00930C26">
              <w:rPr>
                <w:rFonts w:ascii="Arial" w:hAnsi="Arial" w:cs="Arial"/>
                <w:sz w:val="18"/>
                <w:szCs w:val="18"/>
              </w:rPr>
              <w:t>RDR7.1</w:t>
            </w:r>
          </w:p>
        </w:tc>
        <w:tc>
          <w:tcPr>
            <w:tcW w:w="1666" w:type="pct"/>
          </w:tcPr>
          <w:p w14:paraId="087B2886" w14:textId="04EE4A55" w:rsidR="0045081B" w:rsidRDefault="004147DD" w:rsidP="0056358B">
            <w:pPr>
              <w:rPr>
                <w:rFonts w:ascii="Arial" w:hAnsi="Arial" w:cs="Arial"/>
                <w:sz w:val="18"/>
                <w:szCs w:val="18"/>
              </w:rPr>
            </w:pPr>
            <w:r>
              <w:rPr>
                <w:rFonts w:ascii="Arial" w:hAnsi="Arial" w:cs="Arial"/>
                <w:sz w:val="18"/>
                <w:szCs w:val="18"/>
              </w:rPr>
              <w:t>a</w:t>
            </w:r>
            <w:r w:rsidR="0045081B" w:rsidRPr="00930C26">
              <w:rPr>
                <w:rFonts w:ascii="Arial" w:hAnsi="Arial" w:cs="Arial"/>
                <w:sz w:val="18"/>
                <w:szCs w:val="18"/>
              </w:rPr>
              <w:t>dded</w:t>
            </w:r>
          </w:p>
          <w:p w14:paraId="5753864A" w14:textId="16DD6FF2" w:rsidR="004147DD" w:rsidRPr="00930C26" w:rsidRDefault="004147DD" w:rsidP="0056358B">
            <w:pPr>
              <w:rPr>
                <w:rFonts w:ascii="Arial" w:hAnsi="Arial" w:cs="Arial"/>
                <w:sz w:val="18"/>
                <w:szCs w:val="18"/>
              </w:rPr>
            </w:pPr>
            <w:r>
              <w:rPr>
                <w:rFonts w:ascii="Arial" w:hAnsi="Arial" w:cs="Arial"/>
                <w:sz w:val="18"/>
                <w:szCs w:val="18"/>
              </w:rPr>
              <w:t xml:space="preserve">deleted </w:t>
            </w:r>
          </w:p>
        </w:tc>
        <w:tc>
          <w:tcPr>
            <w:tcW w:w="1668" w:type="pct"/>
          </w:tcPr>
          <w:p w14:paraId="4705F251" w14:textId="77777777" w:rsidR="0045081B" w:rsidRDefault="0045081B" w:rsidP="0056358B">
            <w:pPr>
              <w:rPr>
                <w:rFonts w:ascii="Arial" w:hAnsi="Arial" w:cs="Arial"/>
                <w:sz w:val="18"/>
                <w:szCs w:val="18"/>
              </w:rPr>
            </w:pPr>
            <w:r w:rsidRPr="00930C26">
              <w:rPr>
                <w:rFonts w:ascii="Arial" w:hAnsi="Arial" w:cs="Arial"/>
                <w:sz w:val="18"/>
                <w:szCs w:val="18"/>
              </w:rPr>
              <w:t>AASB 2011-2 [8]</w:t>
            </w:r>
          </w:p>
          <w:p w14:paraId="3A539907" w14:textId="7C9CC3ED" w:rsidR="004147DD" w:rsidRPr="00930C26" w:rsidRDefault="004147DD" w:rsidP="0056358B">
            <w:pPr>
              <w:rPr>
                <w:rFonts w:ascii="Arial" w:hAnsi="Arial" w:cs="Arial"/>
                <w:sz w:val="18"/>
                <w:szCs w:val="18"/>
              </w:rPr>
            </w:pPr>
            <w:r>
              <w:rPr>
                <w:rFonts w:ascii="Arial" w:hAnsi="Arial" w:cs="Arial"/>
                <w:sz w:val="18"/>
                <w:szCs w:val="18"/>
              </w:rPr>
              <w:t>AASB 1060 [page 68]</w:t>
            </w:r>
          </w:p>
        </w:tc>
      </w:tr>
      <w:tr w:rsidR="00ED406D" w:rsidRPr="00A8015E" w14:paraId="79DF65A8" w14:textId="77777777" w:rsidTr="00A958E3">
        <w:trPr>
          <w:cantSplit/>
        </w:trPr>
        <w:tc>
          <w:tcPr>
            <w:tcW w:w="1666" w:type="pct"/>
          </w:tcPr>
          <w:p w14:paraId="4B0C5E07" w14:textId="3AF3298F" w:rsidR="00ED406D" w:rsidRPr="00930C26" w:rsidRDefault="00ED406D" w:rsidP="0056358B">
            <w:pPr>
              <w:rPr>
                <w:rFonts w:ascii="Arial" w:hAnsi="Arial" w:cs="Arial"/>
                <w:sz w:val="18"/>
                <w:szCs w:val="18"/>
              </w:rPr>
            </w:pPr>
            <w:r>
              <w:rPr>
                <w:rFonts w:ascii="Arial" w:hAnsi="Arial" w:cs="Arial"/>
                <w:sz w:val="18"/>
                <w:szCs w:val="18"/>
              </w:rPr>
              <w:t>9A</w:t>
            </w:r>
            <w:r w:rsidR="00B46619">
              <w:rPr>
                <w:rFonts w:ascii="Arial" w:hAnsi="Arial" w:cs="Arial"/>
                <w:sz w:val="18"/>
                <w:szCs w:val="18"/>
              </w:rPr>
              <w:t>-</w:t>
            </w:r>
            <w:r w:rsidR="00B47FEF">
              <w:rPr>
                <w:rFonts w:ascii="Arial" w:hAnsi="Arial" w:cs="Arial"/>
                <w:sz w:val="18"/>
                <w:szCs w:val="18"/>
              </w:rPr>
              <w:t>9B</w:t>
            </w:r>
            <w:r w:rsidR="00303BF6">
              <w:rPr>
                <w:rFonts w:ascii="Arial" w:hAnsi="Arial" w:cs="Arial"/>
                <w:sz w:val="18"/>
                <w:szCs w:val="18"/>
              </w:rPr>
              <w:t xml:space="preserve"> (and heading)</w:t>
            </w:r>
          </w:p>
        </w:tc>
        <w:tc>
          <w:tcPr>
            <w:tcW w:w="1666" w:type="pct"/>
          </w:tcPr>
          <w:p w14:paraId="348005A4" w14:textId="13030F5B" w:rsidR="00ED406D" w:rsidRPr="00930C26" w:rsidRDefault="00B47FEF" w:rsidP="0056358B">
            <w:pPr>
              <w:rPr>
                <w:rFonts w:ascii="Arial" w:hAnsi="Arial" w:cs="Arial"/>
                <w:sz w:val="18"/>
                <w:szCs w:val="18"/>
              </w:rPr>
            </w:pPr>
            <w:r>
              <w:rPr>
                <w:rFonts w:ascii="Arial" w:hAnsi="Arial" w:cs="Arial"/>
                <w:sz w:val="18"/>
                <w:szCs w:val="18"/>
              </w:rPr>
              <w:t>added</w:t>
            </w:r>
          </w:p>
        </w:tc>
        <w:tc>
          <w:tcPr>
            <w:tcW w:w="1668" w:type="pct"/>
          </w:tcPr>
          <w:p w14:paraId="2E6528EA" w14:textId="6FFE3EBE" w:rsidR="00ED406D" w:rsidRPr="00930C26" w:rsidRDefault="00B47FEF" w:rsidP="0056358B">
            <w:pPr>
              <w:rPr>
                <w:rFonts w:ascii="Arial" w:hAnsi="Arial" w:cs="Arial"/>
                <w:sz w:val="18"/>
                <w:szCs w:val="18"/>
              </w:rPr>
            </w:pPr>
            <w:r>
              <w:rPr>
                <w:rFonts w:ascii="Arial" w:hAnsi="Arial" w:cs="Arial"/>
                <w:sz w:val="18"/>
                <w:szCs w:val="18"/>
              </w:rPr>
              <w:t>AASB 2019-4 [</w:t>
            </w:r>
            <w:r w:rsidR="008A06B8">
              <w:rPr>
                <w:rFonts w:ascii="Arial" w:hAnsi="Arial" w:cs="Arial"/>
                <w:sz w:val="18"/>
                <w:szCs w:val="18"/>
              </w:rPr>
              <w:t>6]</w:t>
            </w:r>
          </w:p>
        </w:tc>
      </w:tr>
      <w:tr w:rsidR="0045081B" w:rsidRPr="00A8015E" w14:paraId="21B7E563" w14:textId="77777777" w:rsidTr="00A958E3">
        <w:trPr>
          <w:cantSplit/>
        </w:trPr>
        <w:tc>
          <w:tcPr>
            <w:tcW w:w="1666" w:type="pct"/>
          </w:tcPr>
          <w:p w14:paraId="29CA5170" w14:textId="77777777" w:rsidR="0045081B" w:rsidRPr="00930C26" w:rsidRDefault="0045081B" w:rsidP="0056358B">
            <w:pPr>
              <w:rPr>
                <w:rFonts w:ascii="Arial" w:hAnsi="Arial" w:cs="Arial"/>
                <w:sz w:val="18"/>
                <w:szCs w:val="18"/>
              </w:rPr>
            </w:pPr>
            <w:r w:rsidRPr="00930C26">
              <w:rPr>
                <w:rFonts w:ascii="Arial" w:hAnsi="Arial" w:cs="Arial"/>
                <w:sz w:val="18"/>
                <w:szCs w:val="18"/>
              </w:rPr>
              <w:t>17 (and heading)</w:t>
            </w:r>
          </w:p>
        </w:tc>
        <w:tc>
          <w:tcPr>
            <w:tcW w:w="1666" w:type="pct"/>
          </w:tcPr>
          <w:p w14:paraId="51A30DCD" w14:textId="77777777" w:rsidR="0045081B" w:rsidRPr="00930C26" w:rsidRDefault="0045081B" w:rsidP="0056358B">
            <w:pPr>
              <w:rPr>
                <w:rFonts w:ascii="Arial" w:hAnsi="Arial" w:cs="Arial"/>
                <w:sz w:val="18"/>
                <w:szCs w:val="18"/>
              </w:rPr>
            </w:pPr>
            <w:r w:rsidRPr="00930C26">
              <w:rPr>
                <w:rFonts w:ascii="Arial" w:hAnsi="Arial" w:cs="Arial"/>
                <w:sz w:val="18"/>
                <w:szCs w:val="18"/>
              </w:rPr>
              <w:t>added</w:t>
            </w:r>
          </w:p>
        </w:tc>
        <w:tc>
          <w:tcPr>
            <w:tcW w:w="1668" w:type="pct"/>
          </w:tcPr>
          <w:p w14:paraId="775562B0" w14:textId="77777777" w:rsidR="0045081B" w:rsidRPr="00930C26" w:rsidRDefault="0045081B" w:rsidP="0056358B">
            <w:pPr>
              <w:rPr>
                <w:rFonts w:ascii="Arial" w:hAnsi="Arial" w:cs="Arial"/>
                <w:sz w:val="18"/>
                <w:szCs w:val="18"/>
              </w:rPr>
            </w:pPr>
            <w:r w:rsidRPr="00930C26">
              <w:rPr>
                <w:rFonts w:ascii="Arial" w:hAnsi="Arial" w:cs="Arial"/>
                <w:sz w:val="18"/>
                <w:szCs w:val="18"/>
              </w:rPr>
              <w:t>AASB 2019-5 [6]</w:t>
            </w:r>
          </w:p>
        </w:tc>
      </w:tr>
      <w:tr w:rsidR="00021347" w:rsidRPr="00A8015E" w14:paraId="7A1DD951" w14:textId="77777777" w:rsidTr="00A958E3">
        <w:trPr>
          <w:cantSplit/>
        </w:trPr>
        <w:tc>
          <w:tcPr>
            <w:tcW w:w="1666" w:type="pct"/>
          </w:tcPr>
          <w:p w14:paraId="749E8D6B" w14:textId="535C23AA" w:rsidR="00021347" w:rsidRPr="00930C26" w:rsidRDefault="008D469B" w:rsidP="0056358B">
            <w:pPr>
              <w:rPr>
                <w:rFonts w:ascii="Arial" w:hAnsi="Arial" w:cs="Arial"/>
                <w:sz w:val="18"/>
                <w:szCs w:val="18"/>
              </w:rPr>
            </w:pPr>
            <w:r>
              <w:rPr>
                <w:rFonts w:ascii="Arial" w:hAnsi="Arial" w:cs="Arial"/>
                <w:sz w:val="18"/>
                <w:szCs w:val="18"/>
              </w:rPr>
              <w:t>Appendix A</w:t>
            </w:r>
          </w:p>
        </w:tc>
        <w:tc>
          <w:tcPr>
            <w:tcW w:w="1666" w:type="pct"/>
          </w:tcPr>
          <w:p w14:paraId="01A441A1" w14:textId="621C8A87" w:rsidR="00021347" w:rsidRPr="00930C26" w:rsidRDefault="008D469B" w:rsidP="0056358B">
            <w:pPr>
              <w:rPr>
                <w:rFonts w:ascii="Arial" w:hAnsi="Arial" w:cs="Arial"/>
                <w:sz w:val="18"/>
                <w:szCs w:val="18"/>
              </w:rPr>
            </w:pPr>
            <w:r>
              <w:rPr>
                <w:rFonts w:ascii="Arial" w:hAnsi="Arial" w:cs="Arial"/>
                <w:sz w:val="18"/>
                <w:szCs w:val="18"/>
              </w:rPr>
              <w:t>added</w:t>
            </w:r>
          </w:p>
        </w:tc>
        <w:tc>
          <w:tcPr>
            <w:tcW w:w="1668" w:type="pct"/>
          </w:tcPr>
          <w:p w14:paraId="1576656E" w14:textId="20A26D37" w:rsidR="00021347" w:rsidRPr="00930C26" w:rsidRDefault="008D469B" w:rsidP="0056358B">
            <w:pPr>
              <w:rPr>
                <w:rFonts w:ascii="Arial" w:hAnsi="Arial" w:cs="Arial"/>
                <w:sz w:val="18"/>
                <w:szCs w:val="18"/>
              </w:rPr>
            </w:pPr>
            <w:r>
              <w:rPr>
                <w:rFonts w:ascii="Arial" w:hAnsi="Arial" w:cs="Arial"/>
                <w:sz w:val="18"/>
                <w:szCs w:val="18"/>
              </w:rPr>
              <w:t>AASB 1060 [page 68]</w:t>
            </w:r>
          </w:p>
        </w:tc>
      </w:tr>
    </w:tbl>
    <w:p w14:paraId="0A2572D9" w14:textId="700A6BC0" w:rsidR="00287863" w:rsidRPr="00A8015E" w:rsidRDefault="00287863" w:rsidP="00287863">
      <w:pPr>
        <w:pStyle w:val="IASBSectionTitle2NonInd"/>
      </w:pPr>
      <w:r w:rsidRPr="00A8015E">
        <w:t xml:space="preserve">Table of </w:t>
      </w:r>
      <w:r>
        <w:t>a</w:t>
      </w:r>
      <w:r w:rsidRPr="00A8015E">
        <w:t>mendments</w:t>
      </w:r>
      <w:r>
        <w:t xml:space="preserve"> to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w:tblPr>
      <w:tblGrid>
        <w:gridCol w:w="3005"/>
        <w:gridCol w:w="3004"/>
        <w:gridCol w:w="3008"/>
      </w:tblGrid>
      <w:tr w:rsidR="00287863" w:rsidRPr="00A8015E" w14:paraId="0EC2391A" w14:textId="77777777" w:rsidTr="00287863">
        <w:trPr>
          <w:cantSplit/>
          <w:tblHeader/>
        </w:trPr>
        <w:tc>
          <w:tcPr>
            <w:tcW w:w="1666" w:type="pct"/>
          </w:tcPr>
          <w:p w14:paraId="59B3ABE6" w14:textId="77777777" w:rsidR="00287863" w:rsidRPr="00930C26" w:rsidRDefault="00287863" w:rsidP="00287863">
            <w:pPr>
              <w:pStyle w:val="NoNumBold1"/>
              <w:rPr>
                <w:rFonts w:ascii="Arial" w:hAnsi="Arial" w:cs="Arial"/>
                <w:sz w:val="18"/>
                <w:szCs w:val="18"/>
              </w:rPr>
            </w:pPr>
            <w:r w:rsidRPr="00930C26">
              <w:rPr>
                <w:rFonts w:ascii="Arial" w:hAnsi="Arial" w:cs="Arial"/>
                <w:sz w:val="18"/>
                <w:szCs w:val="18"/>
              </w:rPr>
              <w:t>Paragraph affected</w:t>
            </w:r>
          </w:p>
        </w:tc>
        <w:tc>
          <w:tcPr>
            <w:tcW w:w="1666" w:type="pct"/>
          </w:tcPr>
          <w:p w14:paraId="5CD671D1" w14:textId="77777777" w:rsidR="00287863" w:rsidRPr="00930C26" w:rsidRDefault="00287863" w:rsidP="00287863">
            <w:pPr>
              <w:pStyle w:val="NoNumBold1"/>
              <w:rPr>
                <w:rFonts w:ascii="Arial" w:hAnsi="Arial" w:cs="Arial"/>
                <w:sz w:val="18"/>
                <w:szCs w:val="18"/>
              </w:rPr>
            </w:pPr>
            <w:r w:rsidRPr="00930C26">
              <w:rPr>
                <w:rFonts w:ascii="Arial" w:hAnsi="Arial" w:cs="Arial"/>
                <w:sz w:val="18"/>
                <w:szCs w:val="18"/>
              </w:rPr>
              <w:t>How affected</w:t>
            </w:r>
          </w:p>
        </w:tc>
        <w:tc>
          <w:tcPr>
            <w:tcW w:w="1668" w:type="pct"/>
          </w:tcPr>
          <w:p w14:paraId="29D941E8" w14:textId="77777777" w:rsidR="00287863" w:rsidRPr="00930C26" w:rsidRDefault="00287863" w:rsidP="00287863">
            <w:pPr>
              <w:pStyle w:val="NoNumBold1"/>
              <w:rPr>
                <w:rFonts w:ascii="Arial" w:hAnsi="Arial" w:cs="Arial"/>
                <w:sz w:val="18"/>
                <w:szCs w:val="18"/>
              </w:rPr>
            </w:pPr>
            <w:r w:rsidRPr="00930C26">
              <w:rPr>
                <w:rFonts w:ascii="Arial" w:hAnsi="Arial" w:cs="Arial"/>
                <w:sz w:val="18"/>
                <w:szCs w:val="18"/>
              </w:rPr>
              <w:t>By … [paragraph/page]</w:t>
            </w:r>
          </w:p>
        </w:tc>
      </w:tr>
      <w:tr w:rsidR="00287863" w:rsidRPr="00A8015E" w14:paraId="3630658B" w14:textId="77777777" w:rsidTr="00287863">
        <w:trPr>
          <w:cantSplit/>
        </w:trPr>
        <w:tc>
          <w:tcPr>
            <w:tcW w:w="1666" w:type="pct"/>
          </w:tcPr>
          <w:p w14:paraId="7D930FA3" w14:textId="7FAAACEB" w:rsidR="00287863" w:rsidRPr="00930C26" w:rsidRDefault="00287863" w:rsidP="00AC388F">
            <w:pPr>
              <w:rPr>
                <w:rFonts w:ascii="Arial" w:hAnsi="Arial" w:cs="Arial"/>
                <w:sz w:val="18"/>
                <w:szCs w:val="18"/>
              </w:rPr>
            </w:pPr>
            <w:r w:rsidRPr="002F3C8A">
              <w:rPr>
                <w:rFonts w:ascii="Arial" w:hAnsi="Arial" w:cs="Arial"/>
                <w:sz w:val="18"/>
                <w:szCs w:val="18"/>
              </w:rPr>
              <w:t>I</w:t>
            </w:r>
            <w:r w:rsidR="009D3125" w:rsidRPr="002F3C8A">
              <w:rPr>
                <w:rFonts w:ascii="Arial" w:hAnsi="Arial" w:cs="Arial"/>
                <w:sz w:val="18"/>
                <w:szCs w:val="18"/>
              </w:rPr>
              <w:t>G1-IG14</w:t>
            </w:r>
            <w:r w:rsidR="00AC388F" w:rsidRPr="002F3C8A">
              <w:rPr>
                <w:rFonts w:ascii="Arial" w:hAnsi="Arial" w:cs="Arial"/>
                <w:sz w:val="18"/>
                <w:szCs w:val="18"/>
              </w:rPr>
              <w:t xml:space="preserve"> (and headings)</w:t>
            </w:r>
          </w:p>
        </w:tc>
        <w:tc>
          <w:tcPr>
            <w:tcW w:w="1666" w:type="pct"/>
          </w:tcPr>
          <w:p w14:paraId="0DCBEA29" w14:textId="7ECA1807" w:rsidR="00287863" w:rsidRPr="00930C26" w:rsidRDefault="00287863" w:rsidP="00287863">
            <w:pPr>
              <w:rPr>
                <w:rFonts w:ascii="Arial" w:hAnsi="Arial" w:cs="Arial"/>
                <w:sz w:val="18"/>
                <w:szCs w:val="18"/>
              </w:rPr>
            </w:pPr>
            <w:r>
              <w:rPr>
                <w:rFonts w:ascii="Arial" w:hAnsi="Arial" w:cs="Arial"/>
                <w:sz w:val="18"/>
                <w:szCs w:val="18"/>
              </w:rPr>
              <w:t>added</w:t>
            </w:r>
          </w:p>
        </w:tc>
        <w:tc>
          <w:tcPr>
            <w:tcW w:w="1668" w:type="pct"/>
          </w:tcPr>
          <w:p w14:paraId="62E2E9CE" w14:textId="77777777" w:rsidR="00287863" w:rsidRPr="00930C26" w:rsidRDefault="00287863" w:rsidP="00287863">
            <w:pPr>
              <w:rPr>
                <w:rFonts w:ascii="Arial" w:hAnsi="Arial" w:cs="Arial"/>
                <w:sz w:val="18"/>
                <w:szCs w:val="18"/>
              </w:rPr>
            </w:pPr>
            <w:r>
              <w:rPr>
                <w:rFonts w:ascii="Arial" w:hAnsi="Arial" w:cs="Arial"/>
                <w:sz w:val="18"/>
                <w:szCs w:val="18"/>
              </w:rPr>
              <w:t>AASB 2019-4 [7]</w:t>
            </w:r>
          </w:p>
        </w:tc>
      </w:tr>
    </w:tbl>
    <w:p w14:paraId="69555832" w14:textId="77777777" w:rsidR="00287863" w:rsidRDefault="00287863" w:rsidP="007046A7">
      <w:pPr>
        <w:pStyle w:val="NumPlain1"/>
        <w:numPr>
          <w:ilvl w:val="0"/>
          <w:numId w:val="0"/>
        </w:numPr>
        <w:rPr>
          <w:lang w:eastAsia="en-NZ"/>
        </w:rPr>
      </w:pPr>
    </w:p>
    <w:p w14:paraId="68BE4C1C" w14:textId="77777777" w:rsidR="00287863" w:rsidRPr="00A8015E" w:rsidRDefault="00287863" w:rsidP="007046A7">
      <w:pPr>
        <w:pStyle w:val="NumPlain1"/>
        <w:numPr>
          <w:ilvl w:val="0"/>
          <w:numId w:val="0"/>
        </w:numPr>
        <w:rPr>
          <w:lang w:eastAsia="en-NZ"/>
        </w:rPr>
        <w:sectPr w:rsidR="00287863" w:rsidRPr="00A8015E" w:rsidSect="00A958E3">
          <w:footerReference w:type="default" r:id="rId32"/>
          <w:pgSz w:w="11907" w:h="16840" w:code="9"/>
          <w:pgMar w:top="1440" w:right="1440" w:bottom="1440" w:left="1440" w:header="709" w:footer="709" w:gutter="0"/>
          <w:cols w:space="720"/>
          <w:docGrid w:linePitch="272"/>
        </w:sectPr>
      </w:pPr>
    </w:p>
    <w:p w14:paraId="017C990E" w14:textId="7285BB1A" w:rsidR="00BA3B38" w:rsidRPr="00A8015E" w:rsidRDefault="00A958E3" w:rsidP="00A958E3">
      <w:pPr>
        <w:pStyle w:val="ConvSectionTitle"/>
      </w:pPr>
      <w:r w:rsidRPr="00A8015E">
        <w:lastRenderedPageBreak/>
        <w:t xml:space="preserve">Basis </w:t>
      </w:r>
      <w:r>
        <w:t>f</w:t>
      </w:r>
      <w:r w:rsidRPr="00A8015E">
        <w:t>or Conclusions</w:t>
      </w:r>
    </w:p>
    <w:p w14:paraId="017C990F" w14:textId="77777777" w:rsidR="00BA3B38" w:rsidRPr="00A8015E" w:rsidRDefault="00BA3B38" w:rsidP="00A958E3">
      <w:pPr>
        <w:pStyle w:val="IASBNote"/>
      </w:pPr>
      <w:r w:rsidRPr="00A8015E">
        <w:t>Th</w:t>
      </w:r>
      <w:r w:rsidR="00A9464E" w:rsidRPr="00A8015E">
        <w:t>is</w:t>
      </w:r>
      <w:r w:rsidRPr="00A8015E">
        <w:t xml:space="preserve"> Basis for Conclusions accompanies, but is not part of,</w:t>
      </w:r>
      <w:r w:rsidR="00176A34" w:rsidRPr="00A8015E">
        <w:t xml:space="preserve"> AASB 1054</w:t>
      </w:r>
      <w:r w:rsidRPr="00A8015E">
        <w:t>.</w:t>
      </w:r>
    </w:p>
    <w:p w14:paraId="017C9910" w14:textId="77777777" w:rsidR="00BA3B38" w:rsidRPr="00A8015E" w:rsidRDefault="00BA3B38" w:rsidP="00A958E3">
      <w:pPr>
        <w:pStyle w:val="IASBSectionTitle1NonInd"/>
      </w:pPr>
      <w:r w:rsidRPr="00A8015E">
        <w:t>Background</w:t>
      </w:r>
    </w:p>
    <w:p w14:paraId="017C9911" w14:textId="77777777" w:rsidR="00BA3B38" w:rsidRPr="00A958E3" w:rsidRDefault="00BA3B38" w:rsidP="005C6DDF">
      <w:pPr>
        <w:pStyle w:val="NumBC1"/>
        <w:spacing w:before="100" w:after="0"/>
      </w:pPr>
      <w:r w:rsidRPr="00A958E3">
        <w:t xml:space="preserve">This Basis for Conclusions summarises the </w:t>
      </w:r>
      <w:r w:rsidR="00901985" w:rsidRPr="00A958E3">
        <w:t xml:space="preserve">considerations of the </w:t>
      </w:r>
      <w:r w:rsidRPr="00A958E3">
        <w:t xml:space="preserve">Australian Accounting Standards Board </w:t>
      </w:r>
      <w:r w:rsidR="0083362C" w:rsidRPr="00A958E3">
        <w:t xml:space="preserve">and </w:t>
      </w:r>
      <w:r w:rsidR="002B0D87" w:rsidRPr="00A958E3">
        <w:t>the</w:t>
      </w:r>
      <w:r w:rsidR="0083362C" w:rsidRPr="00A958E3">
        <w:t xml:space="preserve"> Financial Reporting Standards Board</w:t>
      </w:r>
      <w:r w:rsidR="002B0D87" w:rsidRPr="00A958E3">
        <w:t xml:space="preserve"> </w:t>
      </w:r>
      <w:r w:rsidR="00D5213B" w:rsidRPr="00A958E3">
        <w:t xml:space="preserve">(FRSB) </w:t>
      </w:r>
      <w:r w:rsidR="002B0D87" w:rsidRPr="00A958E3">
        <w:t>of the New Zealand Institute of Chartered Accountant</w:t>
      </w:r>
      <w:r w:rsidR="0083362C" w:rsidRPr="00A958E3">
        <w:t>s</w:t>
      </w:r>
      <w:r w:rsidR="002B0D87" w:rsidRPr="00A958E3">
        <w:t xml:space="preserve"> </w:t>
      </w:r>
      <w:r w:rsidR="00D5213B" w:rsidRPr="00A958E3">
        <w:t xml:space="preserve">(NZICA) </w:t>
      </w:r>
      <w:r w:rsidRPr="00A958E3">
        <w:t>in reaching the conc</w:t>
      </w:r>
      <w:r w:rsidR="000A536A" w:rsidRPr="00A958E3">
        <w:t xml:space="preserve">lusions in </w:t>
      </w:r>
      <w:r w:rsidR="0083362C" w:rsidRPr="00A958E3">
        <w:t>AASB </w:t>
      </w:r>
      <w:r w:rsidR="00F94ED9" w:rsidRPr="00A958E3">
        <w:t>1054</w:t>
      </w:r>
      <w:r w:rsidRPr="00A958E3">
        <w:t xml:space="preserve">.  </w:t>
      </w:r>
      <w:r w:rsidR="00901985" w:rsidRPr="00A958E3">
        <w:t>It also provides a context for</w:t>
      </w:r>
      <w:r w:rsidR="002244B1" w:rsidRPr="00A958E3">
        <w:t xml:space="preserve"> the Boards’</w:t>
      </w:r>
      <w:r w:rsidR="00A12C49" w:rsidRPr="00A958E3">
        <w:t xml:space="preserve"> decisions about harmonising the disclosure requirements.  It focuses on the issues that the Boards consider to be of greatest significance.  </w:t>
      </w:r>
      <w:r w:rsidRPr="00A958E3">
        <w:t>Individual Board members gave greater weight to some factors than to others.</w:t>
      </w:r>
    </w:p>
    <w:p w14:paraId="017C9912" w14:textId="77777777" w:rsidR="00135362" w:rsidRPr="00A8015E" w:rsidRDefault="00135362" w:rsidP="00A958E3">
      <w:pPr>
        <w:pStyle w:val="IASBSectionTitle1NonInd"/>
      </w:pPr>
      <w:r w:rsidRPr="00A8015E">
        <w:t>Location of Additional Disclosures</w:t>
      </w:r>
    </w:p>
    <w:p w14:paraId="017C9913" w14:textId="77777777" w:rsidR="00135362" w:rsidRPr="00A8015E" w:rsidRDefault="00135362" w:rsidP="005C6DDF">
      <w:pPr>
        <w:pStyle w:val="NumBC1"/>
        <w:spacing w:before="100" w:after="0"/>
      </w:pPr>
      <w:r w:rsidRPr="00A8015E">
        <w:t xml:space="preserve">The Boards discussed the merits of locating the additional domestic disclosure requirements in a separate disclosure standard compared with locating them within topic-based standards, which is the current practice.  Some members supported a separate disclosure standard largely on the basis that it would facilitate the topic-based standards being identical to </w:t>
      </w:r>
      <w:r w:rsidR="00827087" w:rsidRPr="00A8015E">
        <w:t>International Financial Reporting Standards (</w:t>
      </w:r>
      <w:r w:rsidRPr="00A8015E">
        <w:t>IFRSs</w:t>
      </w:r>
      <w:r w:rsidR="00827087" w:rsidRPr="00A8015E">
        <w:t>)</w:t>
      </w:r>
      <w:r w:rsidRPr="00A8015E">
        <w:t xml:space="preserve">.  Other members expressed a preference for locating additional disclosures within topic-based standards for ease of use.  On balance, </w:t>
      </w:r>
      <w:r w:rsidR="00983D60" w:rsidRPr="00A8015E">
        <w:t xml:space="preserve">with the benefit of constituent responses to AASB ED 200B / FRSB ED 122 </w:t>
      </w:r>
      <w:r w:rsidR="00983D60" w:rsidRPr="00A8015E">
        <w:rPr>
          <w:i/>
        </w:rPr>
        <w:t>Proposed Separate Disclosure Standards</w:t>
      </w:r>
      <w:r w:rsidR="00983D60" w:rsidRPr="00A8015E">
        <w:t xml:space="preserve">, </w:t>
      </w:r>
      <w:r w:rsidRPr="00A8015E">
        <w:t>the Boards decided to locate the additional disclosures in separate disclosure standards on the basis that they view bringing the wording of Australian and New Zealand Standards closer to IFRSs as one of the greatest benefits of the Trans-Tasman Convergence project.</w:t>
      </w:r>
    </w:p>
    <w:p w14:paraId="017C9914" w14:textId="77777777" w:rsidR="00BA3B38" w:rsidRPr="00A8015E" w:rsidRDefault="007D4E3A" w:rsidP="00A958E3">
      <w:pPr>
        <w:pStyle w:val="IASBSectionTitle1NonInd"/>
      </w:pPr>
      <w:r w:rsidRPr="00A8015E">
        <w:t>Definitions</w:t>
      </w:r>
    </w:p>
    <w:p w14:paraId="017C9915" w14:textId="77777777" w:rsidR="00464D66" w:rsidRPr="00A8015E" w:rsidRDefault="00464D66" w:rsidP="005C6DDF">
      <w:pPr>
        <w:pStyle w:val="NumBC1"/>
        <w:spacing w:before="100" w:after="0"/>
      </w:pPr>
      <w:r w:rsidRPr="00A8015E">
        <w:t xml:space="preserve">The definition of ‘annual reporting period’ </w:t>
      </w:r>
      <w:r w:rsidR="00B62067" w:rsidRPr="00A8015E">
        <w:t>has been retained</w:t>
      </w:r>
      <w:r w:rsidRPr="00A8015E">
        <w:t xml:space="preserve"> on the basis that it is used in application paragraphs of AASB Standards, consistent with terminology in the Australian </w:t>
      </w:r>
      <w:r w:rsidRPr="00A8015E">
        <w:rPr>
          <w:i/>
        </w:rPr>
        <w:t>Corporations Act 2001</w:t>
      </w:r>
      <w:r w:rsidRPr="00A8015E">
        <w:t>.</w:t>
      </w:r>
    </w:p>
    <w:p w14:paraId="017C9916" w14:textId="77777777" w:rsidR="00464D66" w:rsidRPr="00A8015E" w:rsidRDefault="00464D66" w:rsidP="005C6DDF">
      <w:pPr>
        <w:pStyle w:val="NumBC1"/>
        <w:spacing w:before="100" w:after="0"/>
      </w:pPr>
      <w:r w:rsidRPr="00A8015E">
        <w:t xml:space="preserve">The definition of ‘special purpose financial statements’ </w:t>
      </w:r>
      <w:r w:rsidR="00B62067" w:rsidRPr="00A8015E">
        <w:t>has been retained</w:t>
      </w:r>
      <w:r w:rsidRPr="00A8015E">
        <w:t xml:space="preserve"> on the basis that it is used in a disclosure requireme</w:t>
      </w:r>
      <w:r w:rsidR="005E3E39" w:rsidRPr="00A8015E">
        <w:t>nt</w:t>
      </w:r>
      <w:r w:rsidRPr="00A8015E">
        <w:t xml:space="preserve"> related to the AASB’s differential reporting framework.</w:t>
      </w:r>
    </w:p>
    <w:p w14:paraId="017C9917" w14:textId="77777777" w:rsidR="00BA3B38" w:rsidRPr="00A8015E" w:rsidRDefault="00FD25ED" w:rsidP="00A958E3">
      <w:pPr>
        <w:pStyle w:val="IASBSectionTitle1NonInd"/>
      </w:pPr>
      <w:r w:rsidRPr="00A8015E">
        <w:t>Audit F</w:t>
      </w:r>
      <w:r w:rsidR="007D4E3A" w:rsidRPr="00A8015E">
        <w:t>ees</w:t>
      </w:r>
    </w:p>
    <w:p w14:paraId="017C9918" w14:textId="77777777" w:rsidR="00464D66" w:rsidRPr="00A8015E" w:rsidRDefault="00464D66" w:rsidP="005C6DDF">
      <w:pPr>
        <w:pStyle w:val="NumBC1"/>
        <w:spacing w:before="100" w:after="0"/>
      </w:pPr>
      <w:r w:rsidRPr="00A8015E">
        <w:t xml:space="preserve">The AASB and the FRSB </w:t>
      </w:r>
      <w:r w:rsidR="006978F9" w:rsidRPr="00A8015E">
        <w:t>have</w:t>
      </w:r>
      <w:r w:rsidRPr="00A8015E">
        <w:t xml:space="preserve"> relocate</w:t>
      </w:r>
      <w:r w:rsidR="006978F9" w:rsidRPr="00A8015E">
        <w:t>d</w:t>
      </w:r>
      <w:r w:rsidRPr="00A8015E">
        <w:t xml:space="preserve"> and amend</w:t>
      </w:r>
      <w:r w:rsidR="006978F9" w:rsidRPr="00A8015E">
        <w:t>ed</w:t>
      </w:r>
      <w:r w:rsidRPr="00A8015E">
        <w:t xml:space="preserve"> the audit fee disclosure requirements contained in AASB 101 </w:t>
      </w:r>
      <w:r w:rsidR="00A54174" w:rsidRPr="00A8015E">
        <w:rPr>
          <w:i/>
        </w:rPr>
        <w:t>Presentation of Financial Statements</w:t>
      </w:r>
      <w:r w:rsidR="00A54174" w:rsidRPr="00A8015E">
        <w:t xml:space="preserve"> </w:t>
      </w:r>
      <w:r w:rsidRPr="00A8015E">
        <w:t xml:space="preserve">and NZ IAS 1 </w:t>
      </w:r>
      <w:r w:rsidRPr="00A8015E">
        <w:rPr>
          <w:i/>
        </w:rPr>
        <w:t>Presentation of Financial Statements</w:t>
      </w:r>
      <w:r w:rsidRPr="00A8015E">
        <w:t xml:space="preserve"> to their respective sepa</w:t>
      </w:r>
      <w:r w:rsidR="008541DD" w:rsidRPr="00A8015E">
        <w:t>rate disclosure S</w:t>
      </w:r>
      <w:r w:rsidR="006978F9" w:rsidRPr="00A8015E">
        <w:t>tandards and</w:t>
      </w:r>
      <w:r w:rsidRPr="00A8015E">
        <w:t xml:space="preserve"> harmonise</w:t>
      </w:r>
      <w:r w:rsidR="006978F9" w:rsidRPr="00A8015E">
        <w:t>d</w:t>
      </w:r>
      <w:r w:rsidRPr="00A8015E">
        <w:t xml:space="preserve"> the disclosure requirements across both jurisdictions.</w:t>
      </w:r>
    </w:p>
    <w:p w14:paraId="017C9919" w14:textId="77777777" w:rsidR="00464D66" w:rsidRPr="00A8015E" w:rsidRDefault="00464D66" w:rsidP="005C6DDF">
      <w:pPr>
        <w:pStyle w:val="NumBC1"/>
        <w:spacing w:before="100" w:after="0"/>
      </w:pPr>
      <w:r w:rsidRPr="00A8015E">
        <w:t xml:space="preserve">The AASB and </w:t>
      </w:r>
      <w:r w:rsidR="00602B3E" w:rsidRPr="00A8015E">
        <w:t xml:space="preserve">the </w:t>
      </w:r>
      <w:r w:rsidRPr="00A8015E">
        <w:t>FRSB consider that the disclosure of audit fees is a matter of accountability and, given that the accountability environment is similar in both jurisdictions, they should have the same audit fee disclosure requirements.</w:t>
      </w:r>
      <w:r w:rsidR="005D4C7C">
        <w:t xml:space="preserve"> </w:t>
      </w:r>
      <w:r w:rsidRPr="00A8015E">
        <w:t xml:space="preserve"> The Boards also took the opportunity to simplify the disclosure</w:t>
      </w:r>
      <w:r w:rsidR="006E0571" w:rsidRPr="00A8015E">
        <w:t xml:space="preserve"> requirements on the basis that</w:t>
      </w:r>
      <w:r w:rsidRPr="00A8015E">
        <w:t xml:space="preserve"> in recent times both preparers and users have indicated that disclosures in financial statements have become overly complex.</w:t>
      </w:r>
    </w:p>
    <w:p w14:paraId="017C991A" w14:textId="77777777" w:rsidR="00710C61" w:rsidRPr="00A8015E" w:rsidRDefault="00710C61" w:rsidP="005C6DDF">
      <w:pPr>
        <w:pStyle w:val="NumBC1"/>
        <w:spacing w:before="100" w:after="0"/>
      </w:pPr>
      <w:r w:rsidRPr="00A8015E">
        <w:t>The AASB and FRSB noted the usefulness of the notion of ‘related practice’ in audit fee disclosures in AASB 101 and decided to incorporate a similar notion that is common to both jurisdictions</w:t>
      </w:r>
      <w:r w:rsidR="005D4C7C">
        <w:t xml:space="preserve"> in the harmonised disclosures. </w:t>
      </w:r>
      <w:r w:rsidRPr="00A8015E">
        <w:t xml:space="preserve"> Accordingly, the Boards decided to include the notion of ‘network firm’ from APES 110 </w:t>
      </w:r>
      <w:r w:rsidRPr="00A8015E">
        <w:rPr>
          <w:i/>
        </w:rPr>
        <w:t>Code of Ethics for Professional Accountants</w:t>
      </w:r>
      <w:r w:rsidRPr="00A8015E">
        <w:t xml:space="preserve"> issued by Accounting and Professional Ethical Standards Board (APESB) (February 2008) and </w:t>
      </w:r>
      <w:r w:rsidRPr="00A8015E">
        <w:rPr>
          <w:i/>
        </w:rPr>
        <w:t xml:space="preserve">Code of Ethics: Independence in Assurance Engagements </w:t>
      </w:r>
      <w:r w:rsidRPr="00A8015E">
        <w:t xml:space="preserve">issued by </w:t>
      </w:r>
      <w:r w:rsidR="00827087" w:rsidRPr="00A8015E">
        <w:t xml:space="preserve">the </w:t>
      </w:r>
      <w:r w:rsidR="005D4C7C">
        <w:t xml:space="preserve">NZICA (September 2008). </w:t>
      </w:r>
      <w:r w:rsidRPr="00A8015E">
        <w:t xml:space="preserve"> The Boards also decided not to define or provide explanatory material for ‘network firm’ on the basis that the notion is generally understood and preparers and auditors could refer to the relevant APESB and NZICA pronouncements.</w:t>
      </w:r>
    </w:p>
    <w:p w14:paraId="017C991B" w14:textId="77777777" w:rsidR="00710C61" w:rsidRPr="00A8015E" w:rsidRDefault="00710C61" w:rsidP="005C6DDF">
      <w:pPr>
        <w:pStyle w:val="NumBC1"/>
        <w:spacing w:before="100" w:after="0"/>
      </w:pPr>
      <w:r w:rsidRPr="00A8015E">
        <w:t>The AASB and FRSB note that disclosures are made in the context of the scope of the entity reporting.</w:t>
      </w:r>
      <w:r w:rsidR="005D4C7C">
        <w:t xml:space="preserve"> </w:t>
      </w:r>
      <w:r w:rsidRPr="00A8015E">
        <w:t xml:space="preserve"> Accordingly, in the case of a group, disclosures mad</w:t>
      </w:r>
      <w:r w:rsidR="001C0C81" w:rsidRPr="00A8015E">
        <w:t>e in accordance with paragraph 10</w:t>
      </w:r>
      <w:r w:rsidRPr="00A8015E">
        <w:t xml:space="preserve"> would include fees paid by the parent and its subsidiaries for each of the parent and its subsidiaries.</w:t>
      </w:r>
    </w:p>
    <w:p w14:paraId="017C991C" w14:textId="77777777" w:rsidR="00464D66" w:rsidRPr="00A8015E" w:rsidRDefault="006C00C1" w:rsidP="00A958E3">
      <w:pPr>
        <w:pStyle w:val="IASBSectionTitle1NonInd"/>
      </w:pPr>
      <w:r w:rsidRPr="00A8015E">
        <w:lastRenderedPageBreak/>
        <w:t>Imputation</w:t>
      </w:r>
      <w:r w:rsidR="007D4E3A" w:rsidRPr="00A8015E">
        <w:t xml:space="preserve"> </w:t>
      </w:r>
      <w:r w:rsidR="00FD25ED" w:rsidRPr="00A8015E">
        <w:t>C</w:t>
      </w:r>
      <w:r w:rsidR="007D4E3A" w:rsidRPr="00A8015E">
        <w:t>redits</w:t>
      </w:r>
    </w:p>
    <w:p w14:paraId="017C991D" w14:textId="4D5DF173" w:rsidR="00464D66" w:rsidRPr="00A8015E" w:rsidRDefault="00464D66" w:rsidP="005C6DDF">
      <w:pPr>
        <w:pStyle w:val="NumBC1"/>
        <w:spacing w:before="100" w:after="0"/>
      </w:pPr>
      <w:r w:rsidRPr="00A8015E">
        <w:t xml:space="preserve">The AASB and </w:t>
      </w:r>
      <w:r w:rsidR="00774DE4" w:rsidRPr="00A8015E">
        <w:t xml:space="preserve">the </w:t>
      </w:r>
      <w:r w:rsidRPr="00A8015E">
        <w:t xml:space="preserve">FRSB </w:t>
      </w:r>
      <w:r w:rsidR="006978F9" w:rsidRPr="00A8015E">
        <w:t>have</w:t>
      </w:r>
      <w:r w:rsidRPr="00A8015E">
        <w:t xml:space="preserve"> relocate</w:t>
      </w:r>
      <w:r w:rsidR="006978F9" w:rsidRPr="00A8015E">
        <w:t>d</w:t>
      </w:r>
      <w:r w:rsidRPr="00A8015E">
        <w:t xml:space="preserve"> the imputation credit discl</w:t>
      </w:r>
      <w:r w:rsidR="005D4C7C">
        <w:t xml:space="preserve">osure requirements contained in </w:t>
      </w:r>
      <w:r w:rsidRPr="00A8015E">
        <w:t>AASB</w:t>
      </w:r>
      <w:r w:rsidR="00025AF1">
        <w:t> </w:t>
      </w:r>
      <w:r w:rsidRPr="00A8015E">
        <w:t>101 and</w:t>
      </w:r>
      <w:r w:rsidR="005D4C7C">
        <w:t xml:space="preserve"> </w:t>
      </w:r>
      <w:r w:rsidRPr="00A8015E">
        <w:t xml:space="preserve">NZ IAS 12 </w:t>
      </w:r>
      <w:r w:rsidRPr="00A8015E">
        <w:rPr>
          <w:i/>
        </w:rPr>
        <w:t>Income Taxes</w:t>
      </w:r>
      <w:r w:rsidRPr="00A8015E">
        <w:t xml:space="preserve"> to their respective separate disclosure </w:t>
      </w:r>
      <w:r w:rsidR="00314EF7" w:rsidRPr="00A8015E">
        <w:t>S</w:t>
      </w:r>
      <w:r w:rsidRPr="00A8015E">
        <w:t>tandards and to harmonise the disclosure requirements across both jurisdictions.</w:t>
      </w:r>
    </w:p>
    <w:p w14:paraId="017C991E" w14:textId="77777777" w:rsidR="00464D66" w:rsidRPr="00A8015E" w:rsidRDefault="00464D66" w:rsidP="005C6DDF">
      <w:pPr>
        <w:pStyle w:val="NumBC1"/>
        <w:spacing w:before="100" w:after="0"/>
      </w:pPr>
      <w:r w:rsidRPr="00A8015E">
        <w:t xml:space="preserve">The AASB and </w:t>
      </w:r>
      <w:r w:rsidR="001B6582" w:rsidRPr="00A8015E">
        <w:t xml:space="preserve">the </w:t>
      </w:r>
      <w:r w:rsidRPr="00A8015E">
        <w:t>FRSB note</w:t>
      </w:r>
      <w:r w:rsidR="006978F9" w:rsidRPr="00A8015E">
        <w:t>d</w:t>
      </w:r>
      <w:r w:rsidRPr="00A8015E">
        <w:t xml:space="preserve"> that Australia and New Zealand are among a limited number of jurisdictions that have an imputation tax regime and acknowledge the decision usefulness of</w:t>
      </w:r>
      <w:r w:rsidR="007D2604">
        <w:t xml:space="preserve"> </w:t>
      </w:r>
      <w:r w:rsidRPr="00A8015E">
        <w:t>information</w:t>
      </w:r>
      <w:r w:rsidR="007D2604">
        <w:t xml:space="preserve"> </w:t>
      </w:r>
      <w:r w:rsidRPr="00A8015E">
        <w:t xml:space="preserve">about imputation credits to users of financial information. </w:t>
      </w:r>
      <w:r w:rsidR="007D2604">
        <w:t xml:space="preserve"> </w:t>
      </w:r>
      <w:r w:rsidRPr="00A8015E">
        <w:t xml:space="preserve">Accordingly, the AASB and </w:t>
      </w:r>
      <w:r w:rsidR="00D474BA" w:rsidRPr="00A8015E">
        <w:t xml:space="preserve">the </w:t>
      </w:r>
      <w:r w:rsidRPr="00A8015E">
        <w:t>FRSB decided that these disclosure requirements should be retained.</w:t>
      </w:r>
    </w:p>
    <w:p w14:paraId="017C991F" w14:textId="77777777" w:rsidR="00090A6F" w:rsidRPr="00A8015E" w:rsidRDefault="00464D66" w:rsidP="005C6DDF">
      <w:pPr>
        <w:pStyle w:val="NumBC1"/>
        <w:spacing w:before="100" w:after="0"/>
      </w:pPr>
      <w:r w:rsidRPr="00A8015E">
        <w:t>Giv</w:t>
      </w:r>
      <w:r w:rsidR="0076698A" w:rsidRPr="00A8015E">
        <w:t>en that both jurisdictions have</w:t>
      </w:r>
      <w:r w:rsidRPr="00A8015E">
        <w:t xml:space="preserve"> disclosure requirements about imputation credits, and that the imputation regimes in each jurisdiction are highly similar, the Boards have harmonised the wording across both jurisdictions. </w:t>
      </w:r>
      <w:r w:rsidR="007D2604">
        <w:t xml:space="preserve"> </w:t>
      </w:r>
      <w:r w:rsidRPr="00A8015E">
        <w:t xml:space="preserve">The Boards also took the opportunity to simplify the disclosure requirements on the basis </w:t>
      </w:r>
      <w:r w:rsidR="00293BEF" w:rsidRPr="00A8015E">
        <w:t>that</w:t>
      </w:r>
      <w:r w:rsidRPr="00A8015E">
        <w:t xml:space="preserve"> in recent times both preparers and users have indicated that disclosures in financial statements have become overly complex.</w:t>
      </w:r>
    </w:p>
    <w:p w14:paraId="017C9920" w14:textId="77777777" w:rsidR="003C5E6F" w:rsidRPr="00A8015E" w:rsidRDefault="003C5E6F" w:rsidP="00A958E3">
      <w:pPr>
        <w:pStyle w:val="IASBSectionTitle1NonInd"/>
      </w:pPr>
      <w:r w:rsidRPr="00A8015E">
        <w:t xml:space="preserve">Reconciliation of Net Operating Cash Flow </w:t>
      </w:r>
      <w:r w:rsidR="00BE2660" w:rsidRPr="00A8015E">
        <w:t>to</w:t>
      </w:r>
      <w:r w:rsidRPr="00A8015E">
        <w:t xml:space="preserve"> Profit (Loss)</w:t>
      </w:r>
    </w:p>
    <w:p w14:paraId="017C9921" w14:textId="77777777" w:rsidR="00CA242A" w:rsidRPr="00A8015E" w:rsidRDefault="00CA242A" w:rsidP="005C6DDF">
      <w:pPr>
        <w:pStyle w:val="NumBC1"/>
        <w:spacing w:before="100" w:after="0"/>
      </w:pPr>
      <w:r w:rsidRPr="00A8015E">
        <w:t xml:space="preserve">The AASB and </w:t>
      </w:r>
      <w:r w:rsidR="00827087" w:rsidRPr="00A8015E">
        <w:t xml:space="preserve">the </w:t>
      </w:r>
      <w:r w:rsidRPr="00A8015E">
        <w:t xml:space="preserve">FRSB have relocated the requirement to disclose a reconciliation of </w:t>
      </w:r>
      <w:r w:rsidR="00827087" w:rsidRPr="00A8015E">
        <w:t>net operating cash flow</w:t>
      </w:r>
      <w:r w:rsidRPr="00A8015E">
        <w:t xml:space="preserve"> to profit or loss when an entity uses the direct method to present its statement of cash flows [that were contained in AASB 107 </w:t>
      </w:r>
      <w:r w:rsidRPr="00A8015E">
        <w:rPr>
          <w:i/>
        </w:rPr>
        <w:t>Statement of Cash Flows</w:t>
      </w:r>
      <w:r w:rsidRPr="00A8015E">
        <w:t xml:space="preserve"> and NZ IAS 7 </w:t>
      </w:r>
      <w:r w:rsidRPr="00A8015E">
        <w:rPr>
          <w:i/>
        </w:rPr>
        <w:t>Statement of Cash Flows</w:t>
      </w:r>
      <w:r w:rsidRPr="00A8015E">
        <w:t>] to their respective separate disclosure standards and to harmonise the disclosure requirements across both jurisdictions.</w:t>
      </w:r>
    </w:p>
    <w:p w14:paraId="017C9922" w14:textId="77777777" w:rsidR="00CA242A" w:rsidRDefault="00CA242A" w:rsidP="005C6DDF">
      <w:pPr>
        <w:pStyle w:val="NumBC1"/>
        <w:spacing w:before="100" w:after="0"/>
      </w:pPr>
      <w:r w:rsidRPr="00A8015E">
        <w:t xml:space="preserve">The Boards, in forming the view to retain the requirement for a reconciliation of </w:t>
      </w:r>
      <w:r w:rsidR="00827087" w:rsidRPr="00A8015E">
        <w:t xml:space="preserve">net operating </w:t>
      </w:r>
      <w:r w:rsidRPr="00A8015E">
        <w:t>cash</w:t>
      </w:r>
      <w:r w:rsidR="00827087" w:rsidRPr="00A8015E">
        <w:t xml:space="preserve"> flow</w:t>
      </w:r>
      <w:r w:rsidRPr="00A8015E">
        <w:t xml:space="preserve"> to profit or loss, acknowledged the weight of comments received </w:t>
      </w:r>
      <w:r w:rsidR="00983D60" w:rsidRPr="00A8015E">
        <w:t xml:space="preserve">on </w:t>
      </w:r>
      <w:r w:rsidR="00983D60" w:rsidRPr="00A8015E">
        <w:rPr>
          <w:szCs w:val="24"/>
        </w:rPr>
        <w:t xml:space="preserve">AASB ED 200B / FRSB ED 122 </w:t>
      </w:r>
      <w:r w:rsidRPr="00A8015E">
        <w:t>from constituents who opposed the propo</w:t>
      </w:r>
      <w:r w:rsidR="007D2604">
        <w:t>sal to remove this requirement.</w:t>
      </w:r>
    </w:p>
    <w:p w14:paraId="685F49BD" w14:textId="757AA141" w:rsidR="00BB32A5" w:rsidRPr="00A8015E" w:rsidRDefault="00BB32A5" w:rsidP="005C6DDF">
      <w:pPr>
        <w:pStyle w:val="NumBC1"/>
        <w:spacing w:before="100" w:after="0"/>
      </w:pPr>
      <w:r w:rsidRPr="00A8015E">
        <w:t>The Boards noted that the IASB has recently considered requiring a reconciliation of net operating cash flow to profit or loss in the context of its Financial Statement Presentation project</w:t>
      </w:r>
      <w:r>
        <w:t>.</w:t>
      </w:r>
    </w:p>
    <w:p w14:paraId="74D34732" w14:textId="77777777" w:rsidR="00BB32A5" w:rsidRDefault="00BB32A5" w:rsidP="00D65331">
      <w:pPr>
        <w:pStyle w:val="NumBC1"/>
        <w:numPr>
          <w:ilvl w:val="0"/>
          <w:numId w:val="0"/>
        </w:numPr>
        <w:spacing w:before="100" w:after="0"/>
        <w:ind w:left="782" w:hanging="782"/>
      </w:pPr>
    </w:p>
    <w:p w14:paraId="7366CA97" w14:textId="77777777" w:rsidR="003819E0" w:rsidRDefault="003819E0" w:rsidP="00D65331">
      <w:pPr>
        <w:pStyle w:val="NumBC1"/>
        <w:numPr>
          <w:ilvl w:val="0"/>
          <w:numId w:val="0"/>
        </w:numPr>
        <w:spacing w:before="100" w:after="0"/>
        <w:ind w:left="782" w:hanging="782"/>
        <w:sectPr w:rsidR="003819E0" w:rsidSect="00A958E3">
          <w:headerReference w:type="even" r:id="rId33"/>
          <w:headerReference w:type="default" r:id="rId34"/>
          <w:footerReference w:type="even" r:id="rId35"/>
          <w:footerReference w:type="default" r:id="rId36"/>
          <w:headerReference w:type="first" r:id="rId37"/>
          <w:footerReference w:type="first" r:id="rId38"/>
          <w:pgSz w:w="11907" w:h="16840" w:code="9"/>
          <w:pgMar w:top="1440" w:right="1440" w:bottom="1440" w:left="1440" w:header="709" w:footer="709" w:gutter="0"/>
          <w:cols w:space="720"/>
          <w:docGrid w:linePitch="272"/>
        </w:sectPr>
      </w:pPr>
    </w:p>
    <w:p w14:paraId="3861118F" w14:textId="34CFD954" w:rsidR="007274EF" w:rsidRPr="003766A0" w:rsidRDefault="007274EF" w:rsidP="007274EF">
      <w:pPr>
        <w:pStyle w:val="ConvSectionTitle"/>
        <w:jc w:val="both"/>
      </w:pPr>
      <w:r w:rsidRPr="003766A0">
        <w:lastRenderedPageBreak/>
        <w:t xml:space="preserve">Basis for Conclusions </w:t>
      </w:r>
      <w:r>
        <w:t>on AASB 2019-4</w:t>
      </w:r>
    </w:p>
    <w:p w14:paraId="7EEB6C05" w14:textId="2CC1CD43" w:rsidR="007274EF" w:rsidRPr="00B40F70" w:rsidRDefault="007274EF" w:rsidP="00505030">
      <w:pPr>
        <w:pStyle w:val="AppendixNote"/>
        <w:spacing w:before="100" w:after="100"/>
        <w:jc w:val="both"/>
        <w:rPr>
          <w:i w:val="0"/>
          <w:sz w:val="19"/>
          <w:szCs w:val="19"/>
        </w:rPr>
      </w:pPr>
      <w:r w:rsidRPr="00B40F70">
        <w:rPr>
          <w:sz w:val="19"/>
          <w:szCs w:val="19"/>
        </w:rPr>
        <w:t xml:space="preserve">This Basis for Conclusions accompanies, but is not part of, </w:t>
      </w:r>
      <w:r w:rsidR="00B534DE" w:rsidRPr="00B40F70">
        <w:rPr>
          <w:sz w:val="19"/>
          <w:szCs w:val="19"/>
        </w:rPr>
        <w:t xml:space="preserve">AASB 1054. </w:t>
      </w:r>
      <w:r w:rsidR="00505030">
        <w:rPr>
          <w:sz w:val="19"/>
          <w:szCs w:val="19"/>
        </w:rPr>
        <w:t xml:space="preserve"> </w:t>
      </w:r>
      <w:r w:rsidR="00EB223A" w:rsidRPr="00B40F70">
        <w:rPr>
          <w:sz w:val="19"/>
          <w:szCs w:val="19"/>
        </w:rPr>
        <w:t xml:space="preserve">The Basis for Conclusions was originally published with </w:t>
      </w:r>
      <w:r w:rsidRPr="00B40F70">
        <w:rPr>
          <w:sz w:val="19"/>
          <w:szCs w:val="19"/>
        </w:rPr>
        <w:t>AASB </w:t>
      </w:r>
      <w:r w:rsidRPr="00B40F70">
        <w:rPr>
          <w:iCs w:val="0"/>
          <w:sz w:val="19"/>
          <w:szCs w:val="19"/>
        </w:rPr>
        <w:t xml:space="preserve">2019-4 </w:t>
      </w:r>
      <w:r w:rsidRPr="00B40F70">
        <w:rPr>
          <w:i w:val="0"/>
          <w:iCs w:val="0"/>
          <w:sz w:val="19"/>
          <w:szCs w:val="19"/>
        </w:rPr>
        <w:t>Amendments to Australian Accounting Standards – Disclosure in Special Purpose Financial Statements of Not-for-Profit Private Sector Entities on Compliance with Recognition and Measurement Requirements</w:t>
      </w:r>
      <w:r w:rsidRPr="00B40F70">
        <w:rPr>
          <w:i w:val="0"/>
          <w:sz w:val="19"/>
          <w:szCs w:val="19"/>
        </w:rPr>
        <w:t>.</w:t>
      </w:r>
    </w:p>
    <w:p w14:paraId="289BEA30" w14:textId="77777777" w:rsidR="007274EF" w:rsidRPr="003766A0" w:rsidRDefault="007274EF" w:rsidP="007274EF">
      <w:pPr>
        <w:pStyle w:val="IASBSectionTitle1NonInd"/>
        <w:jc w:val="both"/>
      </w:pPr>
      <w:r w:rsidRPr="003766A0">
        <w:t>Introduction</w:t>
      </w:r>
    </w:p>
    <w:p w14:paraId="0073FC59" w14:textId="77777777" w:rsidR="007274EF" w:rsidRPr="003766A0" w:rsidRDefault="007274EF" w:rsidP="005C6DDF">
      <w:pPr>
        <w:pStyle w:val="NumBC1"/>
        <w:numPr>
          <w:ilvl w:val="0"/>
          <w:numId w:val="24"/>
        </w:numPr>
        <w:spacing w:before="100" w:after="0"/>
        <w:ind w:left="782" w:hanging="782"/>
      </w:pPr>
      <w:r w:rsidRPr="003766A0">
        <w:rPr>
          <w:iCs/>
        </w:rPr>
        <w:t>This Basis for Conclusions summarises the Australian Accounting Standards Board’s considerations in</w:t>
      </w:r>
      <w:r w:rsidRPr="003766A0">
        <w:t xml:space="preserve"> reaching the conclusions in this </w:t>
      </w:r>
      <w:r>
        <w:t>Standard</w:t>
      </w:r>
      <w:r w:rsidRPr="003766A0">
        <w:t xml:space="preserve">. It sets out the reasons why the Board developed the </w:t>
      </w:r>
      <w:r>
        <w:t>Standard</w:t>
      </w:r>
      <w:r w:rsidRPr="003766A0">
        <w:t xml:space="preserve">, the approach taken to developing the </w:t>
      </w:r>
      <w:r>
        <w:t xml:space="preserve">Standard </w:t>
      </w:r>
      <w:r w:rsidRPr="003766A0">
        <w:t xml:space="preserve">and the bases for the key decisions made. In making decisions, individual Board members gave greater weight to some factors than to others. </w:t>
      </w:r>
    </w:p>
    <w:p w14:paraId="7CA48BB0" w14:textId="77777777" w:rsidR="007274EF" w:rsidRDefault="007274EF" w:rsidP="007274EF">
      <w:pPr>
        <w:pStyle w:val="IASBSectionTitle1NonInd"/>
        <w:jc w:val="both"/>
      </w:pPr>
      <w:r>
        <w:t>Background</w:t>
      </w:r>
    </w:p>
    <w:p w14:paraId="4F8FE955" w14:textId="77777777" w:rsidR="007274EF" w:rsidRPr="00FE509A" w:rsidRDefault="007274EF" w:rsidP="00FE509A">
      <w:pPr>
        <w:pStyle w:val="IASBSectionTitle2Ind"/>
      </w:pPr>
      <w:r w:rsidRPr="00FE509A">
        <w:t>Reasons for issuing this Standard</w:t>
      </w:r>
    </w:p>
    <w:p w14:paraId="5EF733C6" w14:textId="77777777" w:rsidR="007274EF" w:rsidRPr="003766A0" w:rsidRDefault="007274EF" w:rsidP="005C6DDF">
      <w:pPr>
        <w:pStyle w:val="NumBC1"/>
        <w:numPr>
          <w:ilvl w:val="0"/>
          <w:numId w:val="24"/>
        </w:numPr>
        <w:spacing w:before="100" w:after="0"/>
        <w:ind w:left="782" w:hanging="782"/>
      </w:pPr>
      <w:bookmarkStart w:id="29" w:name="_Ref11963980"/>
      <w:bookmarkStart w:id="30" w:name="_Ref4586001"/>
      <w:bookmarkStart w:id="31" w:name="_Ref4272477"/>
      <w:r w:rsidRPr="003766A0">
        <w:t xml:space="preserve">Australia is the only jurisdiction with a ‘reporting entity’ concept that effectively permits entities to self-assess what type of financial reporting they do when they are required by legislation or otherwise (such as by a constitutional document) to prepare financial statements in accordance with Australian Accounting Standards (issued by the Australian Accounting Standards Board).  Therefore, unlike other jurisdictions, in Australia two similar entities might prepare very different sets of financial statements, one preparing general purpose financial statements using a robust and consistent framework, and the other preparing special purpose financial statements with self-selected requirements. The Board notes that the self-selection is subject to some constraints, imposed by paragraphs 7 and 10 to 12 of AASB 108 </w:t>
      </w:r>
      <w:r w:rsidRPr="003766A0">
        <w:rPr>
          <w:i/>
        </w:rPr>
        <w:t>Accounting Policies, Changes in Accounting Estimates and Errors</w:t>
      </w:r>
      <w:r w:rsidRPr="003766A0">
        <w:t>.</w:t>
      </w:r>
      <w:bookmarkEnd w:id="29"/>
    </w:p>
    <w:p w14:paraId="4C8A2139" w14:textId="77777777" w:rsidR="007274EF" w:rsidRPr="003766A0" w:rsidRDefault="007274EF" w:rsidP="005C6DDF">
      <w:pPr>
        <w:pStyle w:val="NumBC1"/>
        <w:numPr>
          <w:ilvl w:val="0"/>
          <w:numId w:val="24"/>
        </w:numPr>
        <w:spacing w:before="100" w:after="0"/>
        <w:ind w:left="782" w:hanging="782"/>
      </w:pPr>
      <w:bookmarkStart w:id="32" w:name="_Ref4406209"/>
      <w:r w:rsidRPr="003766A0">
        <w:t xml:space="preserve">Appendix A of AASB 1053 </w:t>
      </w:r>
      <w:r w:rsidRPr="003766A0">
        <w:rPr>
          <w:i/>
        </w:rPr>
        <w:t>Application of Tiers of Australian Accounting Standards</w:t>
      </w:r>
      <w:r w:rsidRPr="003766A0">
        <w:t xml:space="preserve"> defines what a reporting entity is,</w:t>
      </w:r>
      <w:r w:rsidRPr="003766A0">
        <w:rPr>
          <w:rStyle w:val="FootnoteReference"/>
        </w:rPr>
        <w:footnoteReference w:id="2"/>
      </w:r>
      <w:r w:rsidRPr="003766A0">
        <w:t xml:space="preserve"> and Statement of Accounting Concepts SAC 1 </w:t>
      </w:r>
      <w:r w:rsidRPr="003766A0">
        <w:rPr>
          <w:i/>
        </w:rPr>
        <w:t>Definition of the Reporting Entity</w:t>
      </w:r>
      <w:r w:rsidRPr="003766A0">
        <w:t xml:space="preserve"> also sets out the reporting entity concept.  Paragraph 41 of SAC 1 states that “Reporting entities shall prepare general purpose financial reports.”</w:t>
      </w:r>
      <w:r w:rsidRPr="003766A0">
        <w:rPr>
          <w:rStyle w:val="FootnoteReference"/>
        </w:rPr>
        <w:t xml:space="preserve"> </w:t>
      </w:r>
      <w:r w:rsidRPr="003766A0">
        <w:rPr>
          <w:rStyle w:val="FootnoteReference"/>
        </w:rPr>
        <w:footnoteReference w:id="3"/>
      </w:r>
      <w:r w:rsidRPr="003766A0">
        <w:t xml:space="preserve">  In relation to a group, SAC 1 states in paragraph 17 that “the group, which may be termed an economic entity, will be a reporting entity where there exist users dependent on general purpose financial reports for making and evaluating resource allocation decisions regarding the collective operations of the group of entities”.</w:t>
      </w:r>
      <w:bookmarkStart w:id="33" w:name="_Ref4586047"/>
      <w:bookmarkStart w:id="34" w:name="_Ref5872668"/>
    </w:p>
    <w:p w14:paraId="6A296FEE" w14:textId="77777777" w:rsidR="007274EF" w:rsidRPr="003766A0" w:rsidRDefault="007274EF" w:rsidP="005C6DDF">
      <w:pPr>
        <w:pStyle w:val="NumBC1"/>
        <w:numPr>
          <w:ilvl w:val="0"/>
          <w:numId w:val="24"/>
        </w:numPr>
        <w:spacing w:before="100" w:after="0"/>
        <w:ind w:left="782" w:hanging="782"/>
      </w:pPr>
      <w:r w:rsidRPr="003766A0">
        <w:t>An entity that assesses itself to be a non-reporting entity can therefore prepare special purpose financial statements, which are not necessarily consistent, comparable, transparent or enforceable.  In particular, special purpose financial statements do not always comply with the recognition and measurement requirements</w:t>
      </w:r>
      <w:r w:rsidRPr="003766A0">
        <w:rPr>
          <w:rStyle w:val="FootnoteReference"/>
        </w:rPr>
        <w:footnoteReference w:id="4"/>
      </w:r>
      <w:r w:rsidRPr="003766A0">
        <w:t xml:space="preserve"> in Australian Accounting Standards and nor do they always disclose that fact.  The Board is aware of the view of some, that this situation is acceptable because, by inference, users of special purpose financial statements can demand any information they need.  However, the Board has received feedback that in practice that is often not the case.  </w:t>
      </w:r>
      <w:r>
        <w:t xml:space="preserve">The Board determined that </w:t>
      </w:r>
      <w:r w:rsidRPr="003766A0">
        <w:t>users</w:t>
      </w:r>
      <w:r>
        <w:t xml:space="preserve"> should be provided</w:t>
      </w:r>
      <w:r w:rsidRPr="003766A0">
        <w:t xml:space="preserve"> with </w:t>
      </w:r>
      <w:r>
        <w:t>adequate</w:t>
      </w:r>
      <w:r w:rsidRPr="003766A0">
        <w:t xml:space="preserve"> information </w:t>
      </w:r>
      <w:r>
        <w:t>to</w:t>
      </w:r>
      <w:r w:rsidRPr="003766A0">
        <w:t xml:space="preserve"> enable them to confidently assess an entity’s level of compliance with the recognition and measurement requirements in Australian Accounting Standards in special purpose financial statements</w:t>
      </w:r>
      <w:r>
        <w:t xml:space="preserve"> or be alerted to areas where this has not been assessed, and is therefore unclear</w:t>
      </w:r>
      <w:r w:rsidRPr="003766A0">
        <w:t xml:space="preserve">.  </w:t>
      </w:r>
      <w:r>
        <w:t>Such</w:t>
      </w:r>
      <w:r w:rsidRPr="003766A0">
        <w:t xml:space="preserve"> </w:t>
      </w:r>
      <w:r>
        <w:t>disclosures</w:t>
      </w:r>
      <w:r w:rsidRPr="003766A0">
        <w:t xml:space="preserve"> </w:t>
      </w:r>
      <w:r>
        <w:t>are expected to</w:t>
      </w:r>
      <w:r w:rsidRPr="003766A0">
        <w:t xml:space="preserve"> better support users in identifying where additional information is required.</w:t>
      </w:r>
    </w:p>
    <w:p w14:paraId="52B7F0B3" w14:textId="77777777" w:rsidR="007274EF" w:rsidRPr="003766A0" w:rsidRDefault="007274EF" w:rsidP="000E5ADA">
      <w:pPr>
        <w:pStyle w:val="NumBC1"/>
        <w:numPr>
          <w:ilvl w:val="0"/>
          <w:numId w:val="24"/>
        </w:numPr>
        <w:spacing w:before="100" w:after="0"/>
        <w:ind w:left="782" w:hanging="782"/>
      </w:pPr>
      <w:bookmarkStart w:id="35" w:name="_Ref8902353"/>
      <w:bookmarkStart w:id="36" w:name="_Ref12561358"/>
      <w:r w:rsidRPr="003766A0">
        <w:lastRenderedPageBreak/>
        <w:t xml:space="preserve">In developing this </w:t>
      </w:r>
      <w:r>
        <w:t>Standard</w:t>
      </w:r>
      <w:r w:rsidRPr="003766A0">
        <w:t xml:space="preserve">, the Board considered </w:t>
      </w:r>
      <w:r>
        <w:t xml:space="preserve">the findings of AASB Research Report 11 </w:t>
      </w:r>
      <w:r w:rsidRPr="00683A1D">
        <w:rPr>
          <w:i/>
          <w:iCs/>
        </w:rPr>
        <w:t>Review of Special Purpose Financial Statements: Large and Medium Sized Australian Charities</w:t>
      </w:r>
      <w:r>
        <w:rPr>
          <w:i/>
          <w:iCs/>
        </w:rPr>
        <w:t xml:space="preserve"> </w:t>
      </w:r>
      <w:r>
        <w:t xml:space="preserve">and feedback obtained from the not-for-profit private sector regarding the public interest nature of the sector and the needs of financial statement users with regard to the consistency and transparency of special purpose financial statements. </w:t>
      </w:r>
      <w:bookmarkEnd w:id="35"/>
      <w:bookmarkEnd w:id="36"/>
    </w:p>
    <w:p w14:paraId="7599EACD" w14:textId="5A0EBADB" w:rsidR="007274EF" w:rsidRPr="003766A0" w:rsidRDefault="007274EF" w:rsidP="000E5ADA">
      <w:pPr>
        <w:pStyle w:val="NumBC1"/>
        <w:numPr>
          <w:ilvl w:val="0"/>
          <w:numId w:val="24"/>
        </w:numPr>
        <w:spacing w:before="100" w:after="0"/>
        <w:ind w:left="782" w:hanging="782"/>
      </w:pPr>
      <w:bookmarkStart w:id="37" w:name="_Ref9248967"/>
      <w:bookmarkStart w:id="38" w:name="_Ref22212313"/>
      <w:bookmarkStart w:id="39" w:name="_Ref12905080"/>
      <w:r w:rsidRPr="003766A0">
        <w:t xml:space="preserve">The research examining the reporting practices of large and medium charities lodging financial statements with the ACNC in 2016 estimates that approximately 36% of those charities declared that they were preparing special purpose financial statements based on data obtained from the 2016 Annual Information Statements lodged with the ACNC.  It </w:t>
      </w:r>
      <w:bookmarkStart w:id="40" w:name="_Ref8902355"/>
      <w:r w:rsidRPr="003766A0">
        <w:t xml:space="preserve">is estimated that, of those charities preparing and lodging special purpose financial statements, approximately 26% state compliance with recognition and measurement requirements </w:t>
      </w:r>
      <w:r>
        <w:t>in Australian Accounting Standards</w:t>
      </w:r>
      <w:r w:rsidRPr="003766A0">
        <w:t xml:space="preserve">.  30% state non-compliance with the recognition and measurements requirements </w:t>
      </w:r>
      <w:r>
        <w:t>in Australian Accounting Standards</w:t>
      </w:r>
      <w:r w:rsidRPr="003766A0">
        <w:t>.  It is not clear for the remaining 44% whether or not they complied with the recognition and measurement requirements in Australian Accounting Standards.</w:t>
      </w:r>
      <w:bookmarkEnd w:id="37"/>
      <w:bookmarkEnd w:id="40"/>
      <w:r>
        <w:rPr>
          <w:rStyle w:val="FootnoteReference"/>
        </w:rPr>
        <w:footnoteReference w:id="5"/>
      </w:r>
      <w:bookmarkEnd w:id="38"/>
      <w:r>
        <w:t xml:space="preserve"> </w:t>
      </w:r>
      <w:r w:rsidR="005F6CF0">
        <w:t xml:space="preserve"> </w:t>
      </w:r>
      <w:r>
        <w:t>Research also indicates that there are issues with the accuracy of charities stating they are preparing general purpose financial statements.</w:t>
      </w:r>
      <w:r>
        <w:rPr>
          <w:rStyle w:val="FootnoteReference"/>
        </w:rPr>
        <w:footnoteReference w:id="6"/>
      </w:r>
    </w:p>
    <w:p w14:paraId="2CD1AA44" w14:textId="77777777" w:rsidR="007274EF" w:rsidRPr="003766A0" w:rsidRDefault="007274EF" w:rsidP="000E5ADA">
      <w:pPr>
        <w:pStyle w:val="NumBC1"/>
        <w:numPr>
          <w:ilvl w:val="0"/>
          <w:numId w:val="24"/>
        </w:numPr>
        <w:spacing w:before="100" w:after="0"/>
        <w:ind w:left="782" w:hanging="782"/>
      </w:pPr>
      <w:r w:rsidRPr="003766A0">
        <w:rPr>
          <w:lang w:eastAsia="en-AU"/>
        </w:rPr>
        <w:t>In addition to it being difficult for the researchers to understand the extent of alignment of an entity’s accounting policies to the recognition and measurement requirements in Australian Accounting Standards, the researchers were also unable to ascertain whether or not an entity had fully consolidated its subsidiaries or equity accounted all its investments in associates and joint ventures.</w:t>
      </w:r>
      <w:bookmarkEnd w:id="39"/>
    </w:p>
    <w:bookmarkEnd w:id="32"/>
    <w:bookmarkEnd w:id="33"/>
    <w:bookmarkEnd w:id="34"/>
    <w:p w14:paraId="027DCCD9" w14:textId="53C045D1" w:rsidR="007274EF" w:rsidRPr="003766A0" w:rsidRDefault="007274EF" w:rsidP="000E5ADA">
      <w:pPr>
        <w:pStyle w:val="NumBC1"/>
        <w:numPr>
          <w:ilvl w:val="0"/>
          <w:numId w:val="24"/>
        </w:numPr>
        <w:spacing w:before="100" w:after="0"/>
        <w:ind w:left="782" w:hanging="782"/>
      </w:pPr>
      <w:r w:rsidRPr="003766A0">
        <w:t>The Board discussed the results of the research outlined above and also feedback obtained from respondents to user surveys, along with evidence supporting the existence of users of financial statements, including special purpose financial statements.</w:t>
      </w:r>
      <w:r w:rsidRPr="003766A0">
        <w:rPr>
          <w:rStyle w:val="FootnoteReference"/>
        </w:rPr>
        <w:footnoteReference w:id="7"/>
      </w:r>
      <w:r w:rsidRPr="003766A0">
        <w:t xml:space="preserve"> The Board also noted the importance of consistency, comparability, transparency and enforceability in financial reporting to special purpose financial statement users, and that at times users and </w:t>
      </w:r>
      <w:r>
        <w:t xml:space="preserve">other </w:t>
      </w:r>
      <w:r w:rsidRPr="003766A0">
        <w:t xml:space="preserve">stakeholders were unaware that some special purpose financial statements (where the preparation of financial statements in compliance with Australian Accounting Standards is required by legislation or otherwise) did not comply with all the recognition and measurement requirements in Australian Accounting Standards </w:t>
      </w:r>
      <w:r>
        <w:t>including</w:t>
      </w:r>
      <w:r w:rsidRPr="003766A0">
        <w:t xml:space="preserve"> consolidation.  Adoption of the </w:t>
      </w:r>
      <w:r>
        <w:t xml:space="preserve">new disclosures </w:t>
      </w:r>
      <w:r w:rsidRPr="003766A0">
        <w:t xml:space="preserve">in this </w:t>
      </w:r>
      <w:r>
        <w:t xml:space="preserve">Standard </w:t>
      </w:r>
      <w:r w:rsidRPr="003766A0">
        <w:t>help</w:t>
      </w:r>
      <w:r>
        <w:t>s</w:t>
      </w:r>
      <w:r w:rsidR="005F6CF0">
        <w:t xml:space="preserve"> address these issues.</w:t>
      </w:r>
    </w:p>
    <w:p w14:paraId="2F2841A7" w14:textId="1DDD3962" w:rsidR="007274EF" w:rsidRPr="003766A0" w:rsidRDefault="007274EF" w:rsidP="000E5ADA">
      <w:pPr>
        <w:pStyle w:val="NumBC1"/>
        <w:numPr>
          <w:ilvl w:val="0"/>
          <w:numId w:val="24"/>
        </w:numPr>
        <w:spacing w:before="100" w:after="0"/>
        <w:ind w:left="782" w:hanging="782"/>
      </w:pPr>
      <w:r w:rsidRPr="003766A0">
        <w:t xml:space="preserve">The Board was also particularly concerned that the quality of disclosures in a significant number of special purpose financial statements is not adequate to enable a user to determine what additional information they might need.  As noted in paragraph </w:t>
      </w:r>
      <w:r>
        <w:fldChar w:fldCharType="begin" w:fldLock="1"/>
      </w:r>
      <w:r>
        <w:instrText xml:space="preserve"> REF _Ref22212313 \r \h </w:instrText>
      </w:r>
      <w:r>
        <w:fldChar w:fldCharType="separate"/>
      </w:r>
      <w:r>
        <w:t>BC6</w:t>
      </w:r>
      <w:r>
        <w:fldChar w:fldCharType="end"/>
      </w:r>
      <w:r>
        <w:t xml:space="preserve"> </w:t>
      </w:r>
      <w:r w:rsidRPr="003766A0">
        <w:t xml:space="preserve">above research indicated that, for 44% of medium and large charities lodging </w:t>
      </w:r>
      <w:r>
        <w:t xml:space="preserve">special purpose financial statements </w:t>
      </w:r>
      <w:r w:rsidRPr="003766A0">
        <w:t xml:space="preserve">with the ACNC, it was unclear to the academics conducting the research whether or not the entities in question complied with the recognition and measurement requirements in Australian Accounting Standards.  The Board considers this to be unacceptable given the feedback received from users </w:t>
      </w:r>
      <w:r>
        <w:t>regarding consistency and transparency of special purpose financial statements including</w:t>
      </w:r>
      <w:r w:rsidRPr="003766A0">
        <w:t xml:space="preserve"> comparability of the recognition and measurement requirements (refer paragraph </w:t>
      </w:r>
      <w:r w:rsidRPr="003766A0">
        <w:fldChar w:fldCharType="begin" w:fldLock="1"/>
      </w:r>
      <w:r w:rsidRPr="003766A0">
        <w:instrText xml:space="preserve"> REF _Ref12561358 \r \h  \* MERGEFORMAT </w:instrText>
      </w:r>
      <w:r w:rsidRPr="003766A0">
        <w:fldChar w:fldCharType="separate"/>
      </w:r>
      <w:r>
        <w:t>BC5</w:t>
      </w:r>
      <w:r w:rsidRPr="003766A0">
        <w:fldChar w:fldCharType="end"/>
      </w:r>
      <w:r w:rsidR="005F6CF0">
        <w:t xml:space="preserve"> above).</w:t>
      </w:r>
    </w:p>
    <w:p w14:paraId="366B6C94" w14:textId="38CC9962" w:rsidR="007274EF" w:rsidRPr="003766A0" w:rsidRDefault="007274EF" w:rsidP="000E5ADA">
      <w:pPr>
        <w:pStyle w:val="NumBC1"/>
        <w:numPr>
          <w:ilvl w:val="0"/>
          <w:numId w:val="24"/>
        </w:numPr>
        <w:spacing w:before="100" w:after="0"/>
        <w:ind w:left="782" w:hanging="782"/>
      </w:pPr>
      <w:bookmarkStart w:id="41" w:name="_Ref9515899"/>
      <w:r w:rsidRPr="003766A0">
        <w:t>In light of the Board’s current broader project proposing to remove the ability for certain entities to prepare special purpose financial statements when they are required to comply with Australian Accounting Standards,</w:t>
      </w:r>
      <w:bookmarkStart w:id="42" w:name="_Ref9943615"/>
      <w:r w:rsidRPr="003766A0">
        <w:rPr>
          <w:rStyle w:val="FootnoteReference"/>
        </w:rPr>
        <w:footnoteReference w:id="8"/>
      </w:r>
      <w:bookmarkEnd w:id="42"/>
      <w:r w:rsidRPr="003766A0">
        <w:t xml:space="preserve"> the Board considered whether it was necessary and timely to require an entity preparing special purpose financial statements to disclose whether or not the accounting policies applied in the financial statements comply with all the recognition and measurement requirements in Australian Accounting Standards.  Th</w:t>
      </w:r>
      <w:r>
        <w:t>ese new disclosures are</w:t>
      </w:r>
      <w:r w:rsidRPr="003766A0">
        <w:t xml:space="preserve"> an interim measure aimed at addressing these concerns given the project proposing to remove special purpose financial statements will take some time</w:t>
      </w:r>
      <w:r>
        <w:t>, particularly for the not-for-profit entities</w:t>
      </w:r>
      <w:r w:rsidR="005F6CF0">
        <w:t>.</w:t>
      </w:r>
    </w:p>
    <w:p w14:paraId="52312A21" w14:textId="77777777" w:rsidR="007274EF" w:rsidRPr="003766A0" w:rsidRDefault="007274EF" w:rsidP="000E5ADA">
      <w:pPr>
        <w:pStyle w:val="NumBC1"/>
        <w:numPr>
          <w:ilvl w:val="0"/>
          <w:numId w:val="24"/>
        </w:numPr>
        <w:spacing w:before="100" w:after="0"/>
        <w:ind w:left="782" w:hanging="782"/>
      </w:pPr>
      <w:r w:rsidRPr="003766A0">
        <w:t>In considering whether such disclosure was necessary, the Board also considered whether any existing disclosure requirements in Australian Accounting Standards or other pronouncements required the disclosure of similar information.</w:t>
      </w:r>
      <w:bookmarkEnd w:id="41"/>
    </w:p>
    <w:p w14:paraId="432A0EF4" w14:textId="77777777" w:rsidR="007274EF" w:rsidRPr="003766A0" w:rsidRDefault="007274EF" w:rsidP="000E5ADA">
      <w:pPr>
        <w:pStyle w:val="NumBC1"/>
        <w:numPr>
          <w:ilvl w:val="0"/>
          <w:numId w:val="24"/>
        </w:numPr>
        <w:spacing w:before="100" w:after="0"/>
        <w:ind w:left="782" w:hanging="782"/>
      </w:pPr>
      <w:bookmarkStart w:id="43" w:name="_Ref9248258"/>
      <w:r w:rsidRPr="003766A0">
        <w:t xml:space="preserve">The Board noted that paragraph 117 of AASB 101 </w:t>
      </w:r>
      <w:r w:rsidRPr="003766A0">
        <w:rPr>
          <w:i/>
        </w:rPr>
        <w:t>Presentation of Financial Statements,</w:t>
      </w:r>
      <w:r w:rsidRPr="003766A0">
        <w:t xml:space="preserve"> which applies not only to general purpose financial statements but also directly to the special purpose financial statements of </w:t>
      </w:r>
      <w:r w:rsidRPr="003766A0">
        <w:lastRenderedPageBreak/>
        <w:t xml:space="preserve">entities required to prepare financial reports in accordance with the </w:t>
      </w:r>
      <w:r w:rsidRPr="003766A0">
        <w:rPr>
          <w:i/>
        </w:rPr>
        <w:t>Corporations Act 2001</w:t>
      </w:r>
      <w:r w:rsidRPr="003766A0">
        <w:rPr>
          <w:iCs/>
        </w:rPr>
        <w:t>,</w:t>
      </w:r>
      <w:bookmarkStart w:id="44" w:name="_Ref12905112"/>
      <w:r w:rsidRPr="003766A0">
        <w:rPr>
          <w:rStyle w:val="FootnoteReference"/>
          <w:iCs/>
        </w:rPr>
        <w:footnoteReference w:id="9"/>
      </w:r>
      <w:bookmarkEnd w:id="44"/>
      <w:r w:rsidRPr="003766A0">
        <w:t xml:space="preserve"> requires an entity to disclose its significant accounting policies.  The Board also noted that, where it applies, paragraph 6.1 of Accounting Professional and Ethical Standard APES 205 </w:t>
      </w:r>
      <w:r w:rsidRPr="003766A0">
        <w:rPr>
          <w:i/>
        </w:rPr>
        <w:t>Conformity with Accounting Standards</w:t>
      </w:r>
      <w:r w:rsidRPr="003766A0">
        <w:t xml:space="preserve"> (October 2015) issued by the Accounting Professional and Ethical Standards Board (APESB) also requires that an entity’s special purpose financial statements clearly identify “the significant accounting policies adopted in the preparation of the special purpose financial statements”</w:t>
      </w:r>
      <w:r>
        <w:t>.</w:t>
      </w:r>
      <w:r w:rsidRPr="003766A0">
        <w:rPr>
          <w:rStyle w:val="FootnoteReference"/>
        </w:rPr>
        <w:footnoteReference w:id="10"/>
      </w:r>
      <w:r w:rsidRPr="003766A0">
        <w:t xml:space="preserve"> The Board however noted that while these disclosures provide information about an entity’s accounting policies, they would not necessarily provide users with sufficient information about an entity’s compliance with all the recognition and measurement requirements in Australian Accounting Standards.</w:t>
      </w:r>
      <w:bookmarkEnd w:id="43"/>
    </w:p>
    <w:p w14:paraId="3F8C6DBF" w14:textId="77777777" w:rsidR="007274EF" w:rsidRPr="003766A0" w:rsidRDefault="007274EF" w:rsidP="000E5ADA">
      <w:pPr>
        <w:pStyle w:val="NumBC1"/>
        <w:numPr>
          <w:ilvl w:val="0"/>
          <w:numId w:val="24"/>
        </w:numPr>
        <w:spacing w:before="100" w:after="0"/>
        <w:ind w:left="782" w:hanging="782"/>
      </w:pPr>
      <w:r w:rsidRPr="003766A0">
        <w:t xml:space="preserve">On the basis of the considerations outlined in paragraphs </w:t>
      </w:r>
      <w:r w:rsidRPr="003766A0">
        <w:fldChar w:fldCharType="begin" w:fldLock="1"/>
      </w:r>
      <w:r w:rsidRPr="003766A0">
        <w:instrText xml:space="preserve"> REF _Ref4586001 \r \h </w:instrText>
      </w:r>
      <w:r>
        <w:instrText xml:space="preserve"> \* MERGEFORMAT </w:instrText>
      </w:r>
      <w:r w:rsidRPr="003766A0">
        <w:fldChar w:fldCharType="separate"/>
      </w:r>
      <w:r>
        <w:t>BC2</w:t>
      </w:r>
      <w:r w:rsidRPr="003766A0">
        <w:fldChar w:fldCharType="end"/>
      </w:r>
      <w:r>
        <w:t>-</w:t>
      </w:r>
      <w:r w:rsidRPr="003766A0">
        <w:fldChar w:fldCharType="begin" w:fldLock="1"/>
      </w:r>
      <w:r w:rsidRPr="003766A0">
        <w:instrText xml:space="preserve"> REF _Ref9248258 \r \h </w:instrText>
      </w:r>
      <w:r>
        <w:instrText xml:space="preserve"> \* MERGEFORMAT </w:instrText>
      </w:r>
      <w:r w:rsidRPr="003766A0">
        <w:fldChar w:fldCharType="separate"/>
      </w:r>
      <w:r>
        <w:t>BC12</w:t>
      </w:r>
      <w:r w:rsidRPr="003766A0">
        <w:fldChar w:fldCharType="end"/>
      </w:r>
      <w:r w:rsidRPr="003766A0">
        <w:t xml:space="preserve"> above, the Board decided that an amendment to Australian Accounting Standards to require entities to disclose an explicit statement as to whether or not the accounting polic</w:t>
      </w:r>
      <w:r>
        <w:t>ie</w:t>
      </w:r>
      <w:r w:rsidRPr="003766A0">
        <w:t xml:space="preserve">s applied in the financial statements comply with all the recognition and measurement requirements in Australian Accounting Standards was urgently needed to provide greater transparency to users of publicly lodged special purpose financial statements and to improve the comparability of special purpose financial statements.  The Board also acknowledged that </w:t>
      </w:r>
      <w:r w:rsidRPr="003766A0">
        <w:rPr>
          <w:lang w:eastAsia="en-AU"/>
        </w:rPr>
        <w:t>disclosure of this information is not sufficient to address the problems of special purpose financial reporting, however it provides a practical interim means of improving the quality of information provided to users of special purpose financial statements.</w:t>
      </w:r>
    </w:p>
    <w:p w14:paraId="095B20B1" w14:textId="77777777" w:rsidR="007274EF" w:rsidRPr="003766A0" w:rsidRDefault="007274EF" w:rsidP="000E5ADA">
      <w:pPr>
        <w:pStyle w:val="NumBC1"/>
        <w:numPr>
          <w:ilvl w:val="0"/>
          <w:numId w:val="24"/>
        </w:numPr>
        <w:spacing w:before="100" w:after="0"/>
        <w:ind w:left="782" w:hanging="782"/>
      </w:pPr>
      <w:r w:rsidRPr="003766A0">
        <w:t>The Board noted that, when preparing the required disclosure, entities would need to consider how their existing accounting policies compare with all the recognition and measurement requirements in Australian Accounting Standards.  While the Board confirmed that the amendment would not require an entity to change its existing accounting policies, understanding how closely the entity’s existing accounting policies are aligned to the recognition and measurement requirements in Australian Accounting Standards would also help entities assess the impact of any future transition from special purpose financial statements to general purpose financial statements.</w:t>
      </w:r>
    </w:p>
    <w:p w14:paraId="0801D3C9" w14:textId="77777777" w:rsidR="007274EF" w:rsidRPr="00A64240" w:rsidRDefault="007274EF" w:rsidP="007274EF">
      <w:pPr>
        <w:pStyle w:val="IASBSectionTitle1NonInd"/>
        <w:jc w:val="both"/>
      </w:pPr>
      <w:r w:rsidRPr="00A64240">
        <w:t>Issue of E</w:t>
      </w:r>
      <w:r>
        <w:t xml:space="preserve">xposure </w:t>
      </w:r>
      <w:r w:rsidRPr="00A64240">
        <w:t>D</w:t>
      </w:r>
      <w:r>
        <w:t>raft</w:t>
      </w:r>
      <w:r w:rsidRPr="00A64240">
        <w:t xml:space="preserve"> </w:t>
      </w:r>
      <w:r>
        <w:t xml:space="preserve">ED </w:t>
      </w:r>
      <w:r w:rsidRPr="00A64240">
        <w:t>293</w:t>
      </w:r>
    </w:p>
    <w:p w14:paraId="49268350" w14:textId="77777777" w:rsidR="007274EF" w:rsidRPr="006C1EC1" w:rsidRDefault="007274EF" w:rsidP="000E5ADA">
      <w:pPr>
        <w:pStyle w:val="NumBC1"/>
        <w:numPr>
          <w:ilvl w:val="0"/>
          <w:numId w:val="24"/>
        </w:numPr>
        <w:spacing w:before="100" w:after="0"/>
        <w:ind w:left="782" w:hanging="782"/>
      </w:pPr>
      <w:r w:rsidRPr="00885B91">
        <w:t xml:space="preserve">The Board’s proposals with respect to </w:t>
      </w:r>
      <w:r w:rsidRPr="006C1EC1">
        <w:t xml:space="preserve">the disclosures in special purpose financial statements </w:t>
      </w:r>
      <w:r w:rsidRPr="00885B91">
        <w:t xml:space="preserve">finalised in this Standard were exposed for public comment in </w:t>
      </w:r>
      <w:r w:rsidRPr="006C1EC1">
        <w:t xml:space="preserve">July 2019 </w:t>
      </w:r>
      <w:r w:rsidRPr="00885B91">
        <w:t>as part of E</w:t>
      </w:r>
      <w:r>
        <w:t xml:space="preserve">xposure </w:t>
      </w:r>
      <w:r w:rsidRPr="00885B91">
        <w:t>D</w:t>
      </w:r>
      <w:r>
        <w:t>raft</w:t>
      </w:r>
      <w:r w:rsidRPr="00885B91">
        <w:t xml:space="preserve"> </w:t>
      </w:r>
      <w:r>
        <w:t xml:space="preserve">ED </w:t>
      </w:r>
      <w:r w:rsidRPr="006C1EC1">
        <w:t>293</w:t>
      </w:r>
      <w:r w:rsidRPr="00885B91">
        <w:t xml:space="preserve"> </w:t>
      </w:r>
      <w:r w:rsidRPr="00A64240">
        <w:rPr>
          <w:i/>
        </w:rPr>
        <w:t>Amendments to Australian Accounting Standards – Disclosure in Special Purpose Financial Statements of Compliance with Recognition and Measurement Requirements</w:t>
      </w:r>
      <w:r>
        <w:rPr>
          <w:i/>
        </w:rPr>
        <w:t xml:space="preserve"> </w:t>
      </w:r>
      <w:r w:rsidRPr="00A64240">
        <w:rPr>
          <w:iCs/>
        </w:rPr>
        <w:t>(ED</w:t>
      </w:r>
      <w:r>
        <w:rPr>
          <w:iCs/>
        </w:rPr>
        <w:t xml:space="preserve"> </w:t>
      </w:r>
      <w:r w:rsidRPr="00A64240">
        <w:rPr>
          <w:iCs/>
        </w:rPr>
        <w:t>293)</w:t>
      </w:r>
      <w:r w:rsidRPr="00AF03F6">
        <w:rPr>
          <w:iCs/>
        </w:rPr>
        <w:t>.</w:t>
      </w:r>
    </w:p>
    <w:p w14:paraId="65885DDD" w14:textId="77777777" w:rsidR="007274EF" w:rsidRPr="006C1EC1" w:rsidRDefault="007274EF" w:rsidP="000E5ADA">
      <w:pPr>
        <w:pStyle w:val="NumBC1"/>
        <w:numPr>
          <w:ilvl w:val="0"/>
          <w:numId w:val="24"/>
        </w:numPr>
        <w:spacing w:before="100" w:after="0"/>
        <w:ind w:left="782" w:hanging="782"/>
      </w:pPr>
      <w:r w:rsidRPr="006C1EC1">
        <w:t xml:space="preserve">The significant issues considered by the Board </w:t>
      </w:r>
      <w:r w:rsidRPr="00A64240">
        <w:t xml:space="preserve">in developing ED 293 </w:t>
      </w:r>
      <w:r w:rsidRPr="006C1EC1">
        <w:t>are addressed in the following section.</w:t>
      </w:r>
    </w:p>
    <w:p w14:paraId="1A92DDA5" w14:textId="77777777" w:rsidR="007274EF" w:rsidRPr="00A64240" w:rsidRDefault="007274EF" w:rsidP="0045702E">
      <w:pPr>
        <w:pStyle w:val="IASBSectionTitle2Ind"/>
      </w:pPr>
      <w:r w:rsidRPr="00A64240">
        <w:t>Significant issues</w:t>
      </w:r>
    </w:p>
    <w:p w14:paraId="0F4DCDB9" w14:textId="77777777" w:rsidR="007274EF" w:rsidRPr="00AE2B7A" w:rsidRDefault="007274EF" w:rsidP="00381D44">
      <w:pPr>
        <w:pStyle w:val="IASBSectionTitle3Ind"/>
      </w:pPr>
      <w:r w:rsidRPr="00AE2B7A">
        <w:t>Scope</w:t>
      </w:r>
    </w:p>
    <w:p w14:paraId="36D9F053" w14:textId="77777777" w:rsidR="007274EF" w:rsidRPr="003766A0" w:rsidRDefault="007274EF" w:rsidP="000E5ADA">
      <w:pPr>
        <w:pStyle w:val="NumBC1"/>
        <w:numPr>
          <w:ilvl w:val="0"/>
          <w:numId w:val="24"/>
        </w:numPr>
        <w:spacing w:before="100" w:after="0"/>
        <w:ind w:left="782" w:hanging="782"/>
      </w:pPr>
      <w:r w:rsidRPr="003766A0">
        <w:t xml:space="preserve">In deciding who should be required to make the disclosures proposed in </w:t>
      </w:r>
      <w:r>
        <w:t>ED 293</w:t>
      </w:r>
      <w:r w:rsidRPr="003766A0">
        <w:t xml:space="preserve">, the Board considered </w:t>
      </w:r>
      <w:r w:rsidRPr="003766A0">
        <w:rPr>
          <w:i/>
        </w:rPr>
        <w:t>The AASB’s For-Profit Entity Standard-Setting Framework</w:t>
      </w:r>
      <w:r w:rsidRPr="003766A0">
        <w:t xml:space="preserve"> and </w:t>
      </w:r>
      <w:r w:rsidRPr="003766A0">
        <w:rPr>
          <w:i/>
        </w:rPr>
        <w:t>The AASB’s Not-for-Profit Entity Standard-Setting Framework</w:t>
      </w:r>
      <w:r w:rsidRPr="003766A0">
        <w:t xml:space="preserve">, and decided the proposals would be consistent with both frameworks and therefore </w:t>
      </w:r>
      <w:r>
        <w:t xml:space="preserve">ED 293 proposed that they </w:t>
      </w:r>
      <w:r w:rsidRPr="003766A0">
        <w:t>should apply to for-profit and not-for-profit entities.</w:t>
      </w:r>
    </w:p>
    <w:p w14:paraId="61E569E1" w14:textId="77777777" w:rsidR="007274EF" w:rsidRPr="003766A0" w:rsidRDefault="007274EF" w:rsidP="000E5ADA">
      <w:pPr>
        <w:pStyle w:val="NumBC1"/>
        <w:numPr>
          <w:ilvl w:val="0"/>
          <w:numId w:val="24"/>
        </w:numPr>
        <w:spacing w:before="100" w:after="0"/>
        <w:ind w:left="782" w:hanging="782"/>
      </w:pPr>
      <w:bookmarkStart w:id="45" w:name="_Ref9323721"/>
      <w:r w:rsidRPr="003766A0">
        <w:t>In making this decision, the Board had particular regard to the following factors:</w:t>
      </w:r>
      <w:bookmarkEnd w:id="45"/>
    </w:p>
    <w:p w14:paraId="391BD2C0" w14:textId="77777777" w:rsidR="007274EF" w:rsidRPr="003766A0" w:rsidRDefault="007274EF" w:rsidP="000E5ADA">
      <w:pPr>
        <w:pStyle w:val="ListParagraph"/>
        <w:numPr>
          <w:ilvl w:val="0"/>
          <w:numId w:val="22"/>
        </w:numPr>
        <w:pBdr>
          <w:left w:val="none" w:sz="0" w:space="0" w:color="auto"/>
          <w:right w:val="none" w:sz="0" w:space="0" w:color="auto"/>
        </w:pBdr>
        <w:spacing w:before="100" w:after="0"/>
        <w:ind w:left="1564" w:hanging="782"/>
        <w:contextualSpacing w:val="0"/>
        <w:jc w:val="both"/>
        <w:rPr>
          <w:rFonts w:eastAsiaTheme="minorHAnsi"/>
          <w:color w:val="000000"/>
          <w:szCs w:val="19"/>
        </w:rPr>
      </w:pPr>
      <w:r w:rsidRPr="003766A0">
        <w:rPr>
          <w:szCs w:val="19"/>
        </w:rPr>
        <w:t xml:space="preserve">the uncertainty about whether or not the accounting policies applied in the financial statements comply with all the recognition and measurement requirements in Australian Accounting Standards described in paragraph </w:t>
      </w:r>
      <w:r w:rsidRPr="003766A0">
        <w:rPr>
          <w:szCs w:val="19"/>
        </w:rPr>
        <w:fldChar w:fldCharType="begin" w:fldLock="1"/>
      </w:r>
      <w:r w:rsidRPr="003766A0">
        <w:rPr>
          <w:szCs w:val="19"/>
        </w:rPr>
        <w:instrText xml:space="preserve"> REF _Ref9248967 \r \h </w:instrText>
      </w:r>
      <w:r>
        <w:rPr>
          <w:szCs w:val="19"/>
        </w:rPr>
        <w:instrText xml:space="preserve"> \* MERGEFORMAT </w:instrText>
      </w:r>
      <w:r w:rsidRPr="003766A0">
        <w:rPr>
          <w:szCs w:val="19"/>
        </w:rPr>
      </w:r>
      <w:r w:rsidRPr="003766A0">
        <w:rPr>
          <w:szCs w:val="19"/>
        </w:rPr>
        <w:fldChar w:fldCharType="separate"/>
      </w:r>
      <w:r>
        <w:rPr>
          <w:szCs w:val="19"/>
        </w:rPr>
        <w:t>BC6</w:t>
      </w:r>
      <w:r w:rsidRPr="003766A0">
        <w:rPr>
          <w:szCs w:val="19"/>
        </w:rPr>
        <w:fldChar w:fldCharType="end"/>
      </w:r>
      <w:r w:rsidRPr="003766A0">
        <w:rPr>
          <w:szCs w:val="19"/>
        </w:rPr>
        <w:t xml:space="preserve"> above</w:t>
      </w:r>
      <w:r>
        <w:rPr>
          <w:szCs w:val="19"/>
        </w:rPr>
        <w:t xml:space="preserve">, coupled with the findings of </w:t>
      </w:r>
      <w:r w:rsidRPr="00CA6547">
        <w:rPr>
          <w:szCs w:val="19"/>
        </w:rPr>
        <w:t xml:space="preserve">AASB Research Report 12 </w:t>
      </w:r>
      <w:r w:rsidRPr="00A64240">
        <w:rPr>
          <w:i/>
          <w:iCs/>
          <w:szCs w:val="19"/>
        </w:rPr>
        <w:t>Financial Reporting Practices of For-Profit Entities Lodging Special Purpose Financial Statements</w:t>
      </w:r>
      <w:r w:rsidRPr="00CA6547">
        <w:rPr>
          <w:szCs w:val="19"/>
        </w:rPr>
        <w:t xml:space="preserve"> (August 2019)</w:t>
      </w:r>
      <w:r>
        <w:rPr>
          <w:rStyle w:val="FootnoteReference"/>
          <w:szCs w:val="19"/>
        </w:rPr>
        <w:footnoteReference w:id="11"/>
      </w:r>
      <w:r w:rsidRPr="003766A0">
        <w:rPr>
          <w:szCs w:val="19"/>
        </w:rPr>
        <w:t xml:space="preserve"> significantly adversely impacts financial statement users in both the for-profit and not-for-profit sectors;</w:t>
      </w:r>
    </w:p>
    <w:p w14:paraId="7B70ECCF" w14:textId="77777777" w:rsidR="007274EF" w:rsidRPr="003766A0" w:rsidRDefault="007274EF" w:rsidP="000E5ADA">
      <w:pPr>
        <w:pStyle w:val="ListParagraph"/>
        <w:numPr>
          <w:ilvl w:val="0"/>
          <w:numId w:val="22"/>
        </w:numPr>
        <w:pBdr>
          <w:left w:val="none" w:sz="0" w:space="0" w:color="auto"/>
          <w:right w:val="none" w:sz="0" w:space="0" w:color="auto"/>
        </w:pBdr>
        <w:spacing w:before="100" w:after="0"/>
        <w:ind w:left="1564" w:hanging="782"/>
        <w:contextualSpacing w:val="0"/>
        <w:jc w:val="both"/>
        <w:rPr>
          <w:rFonts w:eastAsiaTheme="minorHAnsi"/>
          <w:color w:val="000000"/>
          <w:szCs w:val="19"/>
        </w:rPr>
      </w:pPr>
      <w:r w:rsidRPr="003766A0">
        <w:rPr>
          <w:szCs w:val="19"/>
        </w:rPr>
        <w:lastRenderedPageBreak/>
        <w:t>financial statement users have noted during AASB outreach to date</w:t>
      </w:r>
      <w:r w:rsidRPr="003766A0">
        <w:rPr>
          <w:rStyle w:val="FootnoteReference"/>
          <w:szCs w:val="19"/>
        </w:rPr>
        <w:footnoteReference w:id="12"/>
      </w:r>
      <w:r w:rsidRPr="003766A0">
        <w:rPr>
          <w:szCs w:val="19"/>
        </w:rPr>
        <w:t xml:space="preserve"> the lack of, and need to improve, comparability, consistency, transparency and enforceability in special purpose financial statements;</w:t>
      </w:r>
    </w:p>
    <w:p w14:paraId="3639B1F8" w14:textId="77777777" w:rsidR="007274EF" w:rsidRPr="003766A0" w:rsidRDefault="007274EF" w:rsidP="000E5ADA">
      <w:pPr>
        <w:pStyle w:val="ListParagraph"/>
        <w:numPr>
          <w:ilvl w:val="0"/>
          <w:numId w:val="22"/>
        </w:numPr>
        <w:pBdr>
          <w:left w:val="none" w:sz="0" w:space="0" w:color="auto"/>
          <w:right w:val="none" w:sz="0" w:space="0" w:color="auto"/>
        </w:pBdr>
        <w:spacing w:before="100" w:after="0"/>
        <w:ind w:left="1564" w:hanging="782"/>
        <w:contextualSpacing w:val="0"/>
        <w:jc w:val="both"/>
        <w:rPr>
          <w:rFonts w:eastAsiaTheme="minorHAnsi"/>
          <w:color w:val="000000"/>
          <w:szCs w:val="19"/>
        </w:rPr>
      </w:pPr>
      <w:r w:rsidRPr="003766A0">
        <w:rPr>
          <w:szCs w:val="19"/>
        </w:rPr>
        <w:t xml:space="preserve">the evidence of diversity in the application of, and compliance with, the recognition and measurement requirements in Australian Accounting Standards in special purpose financial statements noted in Research Report </w:t>
      </w:r>
      <w:r>
        <w:rPr>
          <w:szCs w:val="19"/>
        </w:rPr>
        <w:t>11</w:t>
      </w:r>
      <w:r w:rsidRPr="003766A0">
        <w:rPr>
          <w:szCs w:val="19"/>
        </w:rPr>
        <w:t xml:space="preserve"> (refer to paragraph </w:t>
      </w:r>
      <w:r w:rsidRPr="003766A0">
        <w:rPr>
          <w:szCs w:val="19"/>
        </w:rPr>
        <w:fldChar w:fldCharType="begin" w:fldLock="1"/>
      </w:r>
      <w:r w:rsidRPr="003766A0">
        <w:rPr>
          <w:szCs w:val="19"/>
        </w:rPr>
        <w:instrText xml:space="preserve"> REF _Ref8902355 \r \h  \* MERGEFORMAT </w:instrText>
      </w:r>
      <w:r w:rsidRPr="003766A0">
        <w:rPr>
          <w:szCs w:val="19"/>
        </w:rPr>
      </w:r>
      <w:r w:rsidRPr="003766A0">
        <w:rPr>
          <w:szCs w:val="19"/>
        </w:rPr>
        <w:fldChar w:fldCharType="separate"/>
      </w:r>
      <w:r>
        <w:rPr>
          <w:szCs w:val="19"/>
        </w:rPr>
        <w:t>BC6</w:t>
      </w:r>
      <w:r w:rsidRPr="003766A0">
        <w:rPr>
          <w:szCs w:val="19"/>
        </w:rPr>
        <w:fldChar w:fldCharType="end"/>
      </w:r>
      <w:r w:rsidRPr="003766A0">
        <w:rPr>
          <w:szCs w:val="19"/>
        </w:rPr>
        <w:t xml:space="preserve"> above)</w:t>
      </w:r>
      <w:r>
        <w:rPr>
          <w:szCs w:val="19"/>
        </w:rPr>
        <w:t xml:space="preserve"> and </w:t>
      </w:r>
      <w:r w:rsidRPr="003766A0">
        <w:rPr>
          <w:szCs w:val="19"/>
        </w:rPr>
        <w:t xml:space="preserve">Research Report </w:t>
      </w:r>
      <w:r>
        <w:rPr>
          <w:szCs w:val="19"/>
        </w:rPr>
        <w:t>12</w:t>
      </w:r>
      <w:r w:rsidRPr="003766A0">
        <w:rPr>
          <w:szCs w:val="19"/>
        </w:rPr>
        <w:t>;</w:t>
      </w:r>
      <w:r>
        <w:rPr>
          <w:rStyle w:val="FootnoteReference"/>
          <w:szCs w:val="19"/>
        </w:rPr>
        <w:footnoteReference w:id="13"/>
      </w:r>
      <w:r w:rsidRPr="003766A0">
        <w:rPr>
          <w:szCs w:val="19"/>
        </w:rPr>
        <w:t xml:space="preserve"> </w:t>
      </w:r>
    </w:p>
    <w:p w14:paraId="5E6D38CE" w14:textId="77777777" w:rsidR="007274EF" w:rsidRPr="003766A0" w:rsidRDefault="007274EF" w:rsidP="000E5ADA">
      <w:pPr>
        <w:pStyle w:val="ListParagraph"/>
        <w:numPr>
          <w:ilvl w:val="0"/>
          <w:numId w:val="22"/>
        </w:numPr>
        <w:pBdr>
          <w:left w:val="none" w:sz="0" w:space="0" w:color="auto"/>
          <w:right w:val="none" w:sz="0" w:space="0" w:color="auto"/>
        </w:pBdr>
        <w:spacing w:before="100" w:after="0"/>
        <w:ind w:left="1564" w:hanging="782"/>
        <w:contextualSpacing w:val="0"/>
        <w:jc w:val="both"/>
        <w:rPr>
          <w:rFonts w:eastAsiaTheme="minorHAnsi"/>
          <w:color w:val="000000"/>
          <w:szCs w:val="19"/>
        </w:rPr>
      </w:pPr>
      <w:r w:rsidRPr="005D50F7">
        <w:rPr>
          <w:szCs w:val="19"/>
        </w:rPr>
        <w:t>the</w:t>
      </w:r>
      <w:r w:rsidRPr="003766A0">
        <w:rPr>
          <w:rFonts w:eastAsiaTheme="minorHAnsi"/>
          <w:color w:val="000000"/>
          <w:szCs w:val="19"/>
        </w:rPr>
        <w:t xml:space="preserve"> significant number of charities preparing special purpose financial statements and the low levels of explicit statements of compliance with </w:t>
      </w:r>
      <w:r>
        <w:rPr>
          <w:rFonts w:eastAsiaTheme="minorHAnsi"/>
          <w:color w:val="000000"/>
          <w:szCs w:val="19"/>
        </w:rPr>
        <w:t xml:space="preserve">the </w:t>
      </w:r>
      <w:r w:rsidRPr="003766A0">
        <w:rPr>
          <w:rFonts w:eastAsiaTheme="minorHAnsi"/>
          <w:color w:val="000000"/>
          <w:szCs w:val="19"/>
        </w:rPr>
        <w:t xml:space="preserve">recognition and measurement requirements in Australian Accounting Standards therein (refer paragraph </w:t>
      </w:r>
      <w:r w:rsidRPr="003766A0">
        <w:rPr>
          <w:rFonts w:eastAsiaTheme="minorHAnsi"/>
          <w:color w:val="000000"/>
          <w:szCs w:val="19"/>
        </w:rPr>
        <w:fldChar w:fldCharType="begin" w:fldLock="1"/>
      </w:r>
      <w:r w:rsidRPr="003766A0">
        <w:rPr>
          <w:rFonts w:eastAsiaTheme="minorHAnsi"/>
          <w:color w:val="000000"/>
          <w:szCs w:val="19"/>
        </w:rPr>
        <w:instrText xml:space="preserve"> REF _Ref12905080 \r \h </w:instrText>
      </w:r>
      <w:r>
        <w:rPr>
          <w:rFonts w:eastAsiaTheme="minorHAnsi"/>
          <w:color w:val="000000"/>
          <w:szCs w:val="19"/>
        </w:rPr>
        <w:instrText xml:space="preserve"> \* MERGEFORMAT </w:instrText>
      </w:r>
      <w:r w:rsidRPr="003766A0">
        <w:rPr>
          <w:rFonts w:eastAsiaTheme="minorHAnsi"/>
          <w:color w:val="000000"/>
          <w:szCs w:val="19"/>
        </w:rPr>
      </w:r>
      <w:r w:rsidRPr="003766A0">
        <w:rPr>
          <w:rFonts w:eastAsiaTheme="minorHAnsi"/>
          <w:color w:val="000000"/>
          <w:szCs w:val="19"/>
        </w:rPr>
        <w:fldChar w:fldCharType="separate"/>
      </w:r>
      <w:r>
        <w:rPr>
          <w:rFonts w:eastAsiaTheme="minorHAnsi"/>
          <w:color w:val="000000"/>
          <w:szCs w:val="19"/>
        </w:rPr>
        <w:t>BC6</w:t>
      </w:r>
      <w:r w:rsidRPr="003766A0">
        <w:rPr>
          <w:rFonts w:eastAsiaTheme="minorHAnsi"/>
          <w:color w:val="000000"/>
          <w:szCs w:val="19"/>
        </w:rPr>
        <w:fldChar w:fldCharType="end"/>
      </w:r>
      <w:r w:rsidRPr="003766A0">
        <w:rPr>
          <w:rFonts w:eastAsiaTheme="minorHAnsi"/>
          <w:color w:val="000000"/>
          <w:szCs w:val="19"/>
        </w:rPr>
        <w:t xml:space="preserve"> above); and</w:t>
      </w:r>
    </w:p>
    <w:p w14:paraId="1F291C24" w14:textId="77777777" w:rsidR="007274EF" w:rsidRPr="003766A0" w:rsidRDefault="007274EF" w:rsidP="000E5ADA">
      <w:pPr>
        <w:pStyle w:val="ListParagraph"/>
        <w:numPr>
          <w:ilvl w:val="0"/>
          <w:numId w:val="22"/>
        </w:numPr>
        <w:pBdr>
          <w:left w:val="none" w:sz="0" w:space="0" w:color="auto"/>
          <w:right w:val="none" w:sz="0" w:space="0" w:color="auto"/>
        </w:pBdr>
        <w:spacing w:before="100" w:after="0"/>
        <w:ind w:left="1564" w:hanging="782"/>
        <w:contextualSpacing w:val="0"/>
        <w:jc w:val="both"/>
        <w:rPr>
          <w:rFonts w:eastAsiaTheme="minorHAnsi"/>
          <w:color w:val="000000"/>
          <w:szCs w:val="19"/>
        </w:rPr>
      </w:pPr>
      <w:r w:rsidRPr="005D50F7">
        <w:rPr>
          <w:szCs w:val="19"/>
        </w:rPr>
        <w:t>the</w:t>
      </w:r>
      <w:r w:rsidRPr="003766A0">
        <w:rPr>
          <w:rFonts w:eastAsiaTheme="minorHAnsi"/>
          <w:color w:val="000000"/>
          <w:szCs w:val="19"/>
        </w:rPr>
        <w:t xml:space="preserve"> requirements of Australian Auditing Standards as they relate to special purpose financial statements (refer to paragraph </w:t>
      </w:r>
      <w:r>
        <w:rPr>
          <w:rFonts w:eastAsiaTheme="minorHAnsi"/>
          <w:color w:val="000000"/>
          <w:szCs w:val="19"/>
        </w:rPr>
        <w:fldChar w:fldCharType="begin" w:fldLock="1"/>
      </w:r>
      <w:r>
        <w:rPr>
          <w:rFonts w:eastAsiaTheme="minorHAnsi"/>
          <w:color w:val="000000"/>
          <w:szCs w:val="19"/>
        </w:rPr>
        <w:instrText xml:space="preserve"> REF _Ref12272474 \r \h </w:instrText>
      </w:r>
      <w:r>
        <w:rPr>
          <w:rFonts w:eastAsiaTheme="minorHAnsi"/>
          <w:color w:val="000000"/>
          <w:szCs w:val="19"/>
        </w:rPr>
      </w:r>
      <w:r>
        <w:rPr>
          <w:rFonts w:eastAsiaTheme="minorHAnsi"/>
          <w:color w:val="000000"/>
          <w:szCs w:val="19"/>
        </w:rPr>
        <w:fldChar w:fldCharType="separate"/>
      </w:r>
      <w:r>
        <w:rPr>
          <w:rFonts w:eastAsiaTheme="minorHAnsi"/>
          <w:color w:val="000000"/>
          <w:szCs w:val="19"/>
        </w:rPr>
        <w:t>BC26</w:t>
      </w:r>
      <w:r>
        <w:rPr>
          <w:rFonts w:eastAsiaTheme="minorHAnsi"/>
          <w:color w:val="000000"/>
          <w:szCs w:val="19"/>
        </w:rPr>
        <w:fldChar w:fldCharType="end"/>
      </w:r>
      <w:r w:rsidRPr="003766A0">
        <w:rPr>
          <w:rFonts w:eastAsiaTheme="minorHAnsi"/>
          <w:color w:val="000000"/>
          <w:szCs w:val="19"/>
        </w:rPr>
        <w:t xml:space="preserve"> below).</w:t>
      </w:r>
    </w:p>
    <w:p w14:paraId="07295ABD" w14:textId="77777777" w:rsidR="007274EF" w:rsidRPr="003766A0" w:rsidRDefault="007274EF" w:rsidP="000E5ADA">
      <w:pPr>
        <w:pStyle w:val="NumBC1"/>
        <w:numPr>
          <w:ilvl w:val="0"/>
          <w:numId w:val="24"/>
        </w:numPr>
        <w:spacing w:before="100" w:after="0"/>
        <w:ind w:left="782" w:hanging="782"/>
      </w:pPr>
      <w:bookmarkStart w:id="46" w:name="_Ref9323697"/>
      <w:r w:rsidRPr="003766A0">
        <w:t>When deciding which for-profit and not-for-profit entities should be required to make the disclosures</w:t>
      </w:r>
      <w:r>
        <w:t xml:space="preserve"> proposed in ED 293</w:t>
      </w:r>
      <w:r w:rsidRPr="003766A0">
        <w:t>, the Board considered whether the disclosures should be required by:</w:t>
      </w:r>
      <w:bookmarkEnd w:id="46"/>
    </w:p>
    <w:p w14:paraId="588AA6FA" w14:textId="77777777" w:rsidR="007274EF" w:rsidRPr="003766A0" w:rsidRDefault="007274EF" w:rsidP="00B070CF">
      <w:pPr>
        <w:pStyle w:val="ListParagraph"/>
        <w:numPr>
          <w:ilvl w:val="0"/>
          <w:numId w:val="33"/>
        </w:numPr>
        <w:pBdr>
          <w:left w:val="none" w:sz="0" w:space="0" w:color="auto"/>
          <w:right w:val="none" w:sz="0" w:space="0" w:color="auto"/>
        </w:pBdr>
        <w:spacing w:before="100" w:after="0"/>
        <w:ind w:left="1564" w:hanging="782"/>
        <w:contextualSpacing w:val="0"/>
        <w:jc w:val="both"/>
        <w:rPr>
          <w:rFonts w:eastAsiaTheme="minorHAnsi"/>
          <w:color w:val="000000"/>
          <w:szCs w:val="19"/>
        </w:rPr>
      </w:pPr>
      <w:r w:rsidRPr="003766A0">
        <w:rPr>
          <w:rFonts w:eastAsiaTheme="minorHAnsi"/>
          <w:bCs/>
          <w:color w:val="000000"/>
          <w:szCs w:val="19"/>
        </w:rPr>
        <w:t xml:space="preserve">all </w:t>
      </w:r>
      <w:r w:rsidRPr="005D50F7">
        <w:rPr>
          <w:szCs w:val="19"/>
        </w:rPr>
        <w:t>entities</w:t>
      </w:r>
      <w:r w:rsidRPr="003766A0">
        <w:rPr>
          <w:rFonts w:eastAsiaTheme="minorHAnsi"/>
          <w:color w:val="000000"/>
          <w:szCs w:val="19"/>
        </w:rPr>
        <w:t xml:space="preserve"> preparing special purpose financial statements (including those preparing financial statements voluntarily); or</w:t>
      </w:r>
    </w:p>
    <w:p w14:paraId="5A34A600" w14:textId="77777777" w:rsidR="007274EF" w:rsidRPr="003766A0" w:rsidRDefault="007274EF" w:rsidP="00B070CF">
      <w:pPr>
        <w:pStyle w:val="ListParagraph"/>
        <w:numPr>
          <w:ilvl w:val="0"/>
          <w:numId w:val="33"/>
        </w:numPr>
        <w:pBdr>
          <w:left w:val="none" w:sz="0" w:space="0" w:color="auto"/>
          <w:right w:val="none" w:sz="0" w:space="0" w:color="auto"/>
        </w:pBdr>
        <w:spacing w:before="100" w:after="0"/>
        <w:ind w:left="1564" w:hanging="782"/>
        <w:contextualSpacing w:val="0"/>
        <w:jc w:val="both"/>
        <w:rPr>
          <w:rFonts w:eastAsiaTheme="minorHAnsi"/>
          <w:color w:val="000000"/>
          <w:szCs w:val="19"/>
        </w:rPr>
      </w:pPr>
      <w:bookmarkStart w:id="47" w:name="_Ref24360300"/>
      <w:r w:rsidRPr="005D50F7">
        <w:rPr>
          <w:szCs w:val="19"/>
        </w:rPr>
        <w:t>all</w:t>
      </w:r>
      <w:r w:rsidRPr="003766A0">
        <w:rPr>
          <w:rFonts w:eastAsiaTheme="minorHAnsi"/>
          <w:bCs/>
          <w:color w:val="000000"/>
          <w:szCs w:val="19"/>
        </w:rPr>
        <w:t xml:space="preserve"> </w:t>
      </w:r>
      <w:r w:rsidRPr="003766A0">
        <w:rPr>
          <w:rFonts w:eastAsiaTheme="minorHAnsi"/>
          <w:color w:val="000000"/>
          <w:szCs w:val="19"/>
        </w:rPr>
        <w:t>entities preparing special purpose financial statements that are required by legislation or otherwise to comply with Australian Accounting Standards; or</w:t>
      </w:r>
      <w:bookmarkEnd w:id="47"/>
    </w:p>
    <w:p w14:paraId="30D13E65" w14:textId="10CDB68C" w:rsidR="007274EF" w:rsidRPr="003766A0" w:rsidRDefault="007274EF" w:rsidP="00B070CF">
      <w:pPr>
        <w:pStyle w:val="ListParagraph"/>
        <w:numPr>
          <w:ilvl w:val="0"/>
          <w:numId w:val="33"/>
        </w:numPr>
        <w:pBdr>
          <w:left w:val="none" w:sz="0" w:space="0" w:color="auto"/>
          <w:right w:val="none" w:sz="0" w:space="0" w:color="auto"/>
        </w:pBdr>
        <w:spacing w:before="100" w:after="0"/>
        <w:ind w:left="1564" w:hanging="782"/>
        <w:contextualSpacing w:val="0"/>
        <w:jc w:val="both"/>
        <w:rPr>
          <w:rFonts w:eastAsiaTheme="minorHAnsi"/>
          <w:color w:val="000000"/>
          <w:szCs w:val="19"/>
        </w:rPr>
      </w:pPr>
      <w:bookmarkStart w:id="48" w:name="_Ref9323700"/>
      <w:r w:rsidRPr="003766A0">
        <w:rPr>
          <w:rFonts w:eastAsiaTheme="minorHAnsi"/>
          <w:color w:val="000000"/>
          <w:szCs w:val="19"/>
        </w:rPr>
        <w:t xml:space="preserve">only those entities preparing special purpose financial statements that are directly subject to AASB 101 and AASB 1054 </w:t>
      </w:r>
      <w:r w:rsidRPr="003766A0">
        <w:rPr>
          <w:rFonts w:eastAsiaTheme="minorHAnsi"/>
          <w:i/>
          <w:color w:val="000000"/>
          <w:szCs w:val="19"/>
        </w:rPr>
        <w:t>Australian Additional Disclosures</w:t>
      </w:r>
      <w:r w:rsidRPr="003766A0">
        <w:rPr>
          <w:rStyle w:val="FootnoteReference"/>
          <w:rFonts w:eastAsiaTheme="minorHAnsi"/>
          <w:iCs/>
          <w:color w:val="000000"/>
          <w:szCs w:val="19"/>
        </w:rPr>
        <w:footnoteReference w:id="14"/>
      </w:r>
      <w:r w:rsidRPr="003766A0">
        <w:rPr>
          <w:rFonts w:eastAsiaTheme="minorHAnsi"/>
          <w:color w:val="000000"/>
          <w:szCs w:val="19"/>
        </w:rPr>
        <w:t>, as set out in paragraph 2 of AASB 1054 and paragraph 7 of AASB 1057</w:t>
      </w:r>
      <w:r w:rsidR="006A31A5">
        <w:rPr>
          <w:rFonts w:eastAsiaTheme="minorHAnsi"/>
          <w:color w:val="000000"/>
          <w:szCs w:val="19"/>
        </w:rPr>
        <w:t xml:space="preserve"> </w:t>
      </w:r>
      <w:r w:rsidRPr="003766A0">
        <w:rPr>
          <w:rFonts w:eastAsiaTheme="minorHAnsi"/>
          <w:i/>
          <w:color w:val="000000"/>
          <w:szCs w:val="19"/>
        </w:rPr>
        <w:t>Application of Australian Accounting Standards</w:t>
      </w:r>
      <w:r w:rsidRPr="003766A0">
        <w:rPr>
          <w:rFonts w:eastAsiaTheme="minorHAnsi"/>
          <w:color w:val="000000"/>
          <w:szCs w:val="19"/>
        </w:rPr>
        <w:t xml:space="preserve">, (and, indirectly, any entities required through legislation to comply with AASB 101 and AASB 1054, such as entities lodging special purpose financial statements with the ACNC as they are required by legislation to comply with AASB 101 and AASB 1054 (as noted in footnote </w:t>
      </w:r>
      <w:r w:rsidRPr="003766A0">
        <w:rPr>
          <w:rFonts w:eastAsiaTheme="minorHAnsi"/>
          <w:color w:val="000000"/>
          <w:szCs w:val="19"/>
        </w:rPr>
        <w:fldChar w:fldCharType="begin" w:fldLock="1"/>
      </w:r>
      <w:r w:rsidRPr="003766A0">
        <w:rPr>
          <w:rFonts w:eastAsiaTheme="minorHAnsi"/>
          <w:color w:val="000000"/>
          <w:szCs w:val="19"/>
        </w:rPr>
        <w:instrText xml:space="preserve"> NOTEREF _Ref12905112 \h </w:instrText>
      </w:r>
      <w:r>
        <w:rPr>
          <w:rFonts w:eastAsiaTheme="minorHAnsi"/>
          <w:color w:val="000000"/>
          <w:szCs w:val="19"/>
        </w:rPr>
        <w:instrText xml:space="preserve"> \* MERGEFORMAT </w:instrText>
      </w:r>
      <w:r w:rsidRPr="003766A0">
        <w:rPr>
          <w:rFonts w:eastAsiaTheme="minorHAnsi"/>
          <w:color w:val="000000"/>
          <w:szCs w:val="19"/>
        </w:rPr>
      </w:r>
      <w:r w:rsidRPr="003766A0">
        <w:rPr>
          <w:rFonts w:eastAsiaTheme="minorHAnsi"/>
          <w:color w:val="000000"/>
          <w:szCs w:val="19"/>
        </w:rPr>
        <w:fldChar w:fldCharType="separate"/>
      </w:r>
      <w:r>
        <w:rPr>
          <w:rFonts w:eastAsiaTheme="minorHAnsi"/>
          <w:color w:val="000000"/>
          <w:szCs w:val="19"/>
        </w:rPr>
        <w:t>8</w:t>
      </w:r>
      <w:r w:rsidRPr="003766A0">
        <w:rPr>
          <w:rFonts w:eastAsiaTheme="minorHAnsi"/>
          <w:color w:val="000000"/>
          <w:szCs w:val="19"/>
        </w:rPr>
        <w:fldChar w:fldCharType="end"/>
      </w:r>
      <w:r w:rsidRPr="003766A0">
        <w:rPr>
          <w:rFonts w:eastAsiaTheme="minorHAnsi"/>
          <w:color w:val="000000"/>
          <w:szCs w:val="19"/>
        </w:rPr>
        <w:t xml:space="preserve"> to paragraph </w:t>
      </w:r>
      <w:r w:rsidRPr="003766A0">
        <w:rPr>
          <w:rFonts w:eastAsiaTheme="minorHAnsi"/>
          <w:color w:val="000000"/>
          <w:szCs w:val="19"/>
        </w:rPr>
        <w:fldChar w:fldCharType="begin" w:fldLock="1"/>
      </w:r>
      <w:r w:rsidRPr="003766A0">
        <w:rPr>
          <w:rFonts w:eastAsiaTheme="minorHAnsi"/>
          <w:color w:val="000000"/>
          <w:szCs w:val="19"/>
        </w:rPr>
        <w:instrText xml:space="preserve"> REF _Ref9248258 \r \h </w:instrText>
      </w:r>
      <w:r>
        <w:rPr>
          <w:rFonts w:eastAsiaTheme="minorHAnsi"/>
          <w:color w:val="000000"/>
          <w:szCs w:val="19"/>
        </w:rPr>
        <w:instrText xml:space="preserve"> \* MERGEFORMAT </w:instrText>
      </w:r>
      <w:r w:rsidRPr="003766A0">
        <w:rPr>
          <w:rFonts w:eastAsiaTheme="minorHAnsi"/>
          <w:color w:val="000000"/>
          <w:szCs w:val="19"/>
        </w:rPr>
      </w:r>
      <w:r w:rsidRPr="003766A0">
        <w:rPr>
          <w:rFonts w:eastAsiaTheme="minorHAnsi"/>
          <w:color w:val="000000"/>
          <w:szCs w:val="19"/>
        </w:rPr>
        <w:fldChar w:fldCharType="separate"/>
      </w:r>
      <w:r>
        <w:rPr>
          <w:rFonts w:eastAsiaTheme="minorHAnsi"/>
          <w:color w:val="000000"/>
          <w:szCs w:val="19"/>
        </w:rPr>
        <w:t>BC12</w:t>
      </w:r>
      <w:r w:rsidRPr="003766A0">
        <w:rPr>
          <w:rFonts w:eastAsiaTheme="minorHAnsi"/>
          <w:color w:val="000000"/>
          <w:szCs w:val="19"/>
        </w:rPr>
        <w:fldChar w:fldCharType="end"/>
      </w:r>
      <w:r w:rsidRPr="003766A0">
        <w:rPr>
          <w:rFonts w:eastAsiaTheme="minorHAnsi"/>
          <w:color w:val="000000"/>
          <w:szCs w:val="19"/>
        </w:rPr>
        <w:t xml:space="preserve"> above)).</w:t>
      </w:r>
      <w:bookmarkEnd w:id="48"/>
      <w:r w:rsidRPr="003766A0">
        <w:rPr>
          <w:rFonts w:eastAsiaTheme="minorHAnsi"/>
          <w:color w:val="000000"/>
          <w:szCs w:val="19"/>
        </w:rPr>
        <w:t xml:space="preserve"> </w:t>
      </w:r>
    </w:p>
    <w:p w14:paraId="66536DD9" w14:textId="77777777" w:rsidR="007274EF" w:rsidRPr="003766A0" w:rsidRDefault="007274EF" w:rsidP="00B070CF">
      <w:pPr>
        <w:pStyle w:val="NumBC1"/>
        <w:numPr>
          <w:ilvl w:val="0"/>
          <w:numId w:val="24"/>
        </w:numPr>
        <w:spacing w:before="100" w:after="0"/>
        <w:ind w:left="782" w:hanging="782"/>
      </w:pPr>
      <w:bookmarkStart w:id="49" w:name="_Ref9247261"/>
      <w:r>
        <w:t>T</w:t>
      </w:r>
      <w:r w:rsidRPr="003766A0">
        <w:t>he Board considered that while there was merit in requiring</w:t>
      </w:r>
      <w:r w:rsidRPr="003766A0">
        <w:rPr>
          <w:bCs/>
        </w:rPr>
        <w:t xml:space="preserve"> all </w:t>
      </w:r>
      <w:r w:rsidRPr="003766A0">
        <w:t>entities required by legislation or otherwise to comply with Australian Accounting Standards preparing special purpose financial statements to make the disclosure</w:t>
      </w:r>
      <w:r>
        <w:t xml:space="preserve"> proposed in ED 293 (ie those entities include paragraph </w:t>
      </w:r>
      <w:r>
        <w:fldChar w:fldCharType="begin" w:fldLock="1"/>
      </w:r>
      <w:r>
        <w:instrText xml:space="preserve"> REF _Ref9323697 \r \h </w:instrText>
      </w:r>
      <w:r>
        <w:fldChar w:fldCharType="separate"/>
      </w:r>
      <w:r>
        <w:t>BC19</w:t>
      </w:r>
      <w:r>
        <w:fldChar w:fldCharType="end"/>
      </w:r>
      <w:r>
        <w:fldChar w:fldCharType="begin" w:fldLock="1"/>
      </w:r>
      <w:r>
        <w:instrText xml:space="preserve"> REF _Ref24360300 \r \h </w:instrText>
      </w:r>
      <w:r>
        <w:fldChar w:fldCharType="separate"/>
      </w:r>
      <w:r>
        <w:t>(b)</w:t>
      </w:r>
      <w:r>
        <w:fldChar w:fldCharType="end"/>
      </w:r>
      <w:r>
        <w:t>)</w:t>
      </w:r>
      <w:r w:rsidRPr="003766A0">
        <w:t>, to do so was not warranted.  This is consistent with the current scope of Australian Accounting Standards and the Board’s role and expertise, which is to determine the appropriate accounting framework and accounting standards that should apply where legislation, regulation or other authority requires the preparation of financial statements that comply with Australian Accounting Standards.</w:t>
      </w:r>
      <w:bookmarkEnd w:id="49"/>
      <w:r w:rsidRPr="003766A0">
        <w:t xml:space="preserve"> </w:t>
      </w:r>
    </w:p>
    <w:p w14:paraId="29AA10C6" w14:textId="77777777" w:rsidR="007274EF" w:rsidRDefault="007274EF" w:rsidP="00B9506E">
      <w:pPr>
        <w:pStyle w:val="NumBC1"/>
        <w:numPr>
          <w:ilvl w:val="0"/>
          <w:numId w:val="24"/>
        </w:numPr>
        <w:spacing w:before="100" w:after="0"/>
        <w:ind w:left="782" w:hanging="782"/>
      </w:pPr>
      <w:bookmarkStart w:id="50" w:name="_Ref22647355"/>
      <w:bookmarkStart w:id="51" w:name="_Ref9247277"/>
      <w:r w:rsidRPr="003766A0">
        <w:t xml:space="preserve">The Board did acknowledge that if the disclosures were required only by entities subject to AASB 101 and AASB 1054, there may be a large number of entities preparing special purpose financial statements when required to comply with Australian Accounting Standards that would not be required to make the disclosures (eg entities outside the scope of the </w:t>
      </w:r>
      <w:r w:rsidRPr="003766A0">
        <w:rPr>
          <w:i/>
        </w:rPr>
        <w:t>Corporations Act</w:t>
      </w:r>
      <w:r w:rsidRPr="003766A0">
        <w:t xml:space="preserve"> </w:t>
      </w:r>
      <w:r w:rsidRPr="003766A0">
        <w:rPr>
          <w:i/>
        </w:rPr>
        <w:t>2001</w:t>
      </w:r>
      <w:r w:rsidRPr="003766A0">
        <w:t xml:space="preserve"> and entities not </w:t>
      </w:r>
      <w:r>
        <w:t>required to comply with the ACNC’s reporting requirements applying to special purpose financial statements</w:t>
      </w:r>
      <w:r w:rsidRPr="003766A0">
        <w:t>).  The Board however made the observation that many of these entities are expected to fall within the scope of APES 205, as the intention of APES 205 is to set requirements for members</w:t>
      </w:r>
      <w:r w:rsidRPr="003766A0">
        <w:rPr>
          <w:rStyle w:val="FootnoteReference"/>
        </w:rPr>
        <w:footnoteReference w:id="15"/>
      </w:r>
      <w:r w:rsidRPr="003766A0">
        <w:t xml:space="preserve"> who are involved in the preparation, presentation, audit, review or compilation of financial statements for entities that are outside the scope of the </w:t>
      </w:r>
      <w:r w:rsidRPr="003766A0">
        <w:rPr>
          <w:i/>
        </w:rPr>
        <w:t>Corporations Act</w:t>
      </w:r>
      <w:r>
        <w:rPr>
          <w:i/>
        </w:rPr>
        <w:t xml:space="preserve"> </w:t>
      </w:r>
      <w:r w:rsidRPr="003766A0">
        <w:rPr>
          <w:i/>
        </w:rPr>
        <w:t>2001</w:t>
      </w:r>
      <w:r w:rsidRPr="003766A0">
        <w:t xml:space="preserve">.  Therefore, to possibly mitigate (albeit not eliminate) concerns about entities outside the scope of AASB 101 and AASB 1054 not being required to make the disclosures, the matter was raised with staff of the APESB as to whether the APESB might consider, following its own due process, making any consequential amendments to APES 205 consistent with the amendments to the affected Australian Accounting Standard proposed in </w:t>
      </w:r>
      <w:r>
        <w:t>ED 293</w:t>
      </w:r>
      <w:r w:rsidRPr="003766A0">
        <w:t xml:space="preserve">.  </w:t>
      </w:r>
      <w:r>
        <w:t xml:space="preserve">Subsequent to the issue of ED 293, the Board noted </w:t>
      </w:r>
      <w:r w:rsidRPr="00170DC4">
        <w:t xml:space="preserve">that </w:t>
      </w:r>
      <w:r>
        <w:t xml:space="preserve">the </w:t>
      </w:r>
      <w:r w:rsidRPr="00170DC4">
        <w:t>matter was considered by the APESB, and that the APESB were not proposing amendments to APES</w:t>
      </w:r>
      <w:r>
        <w:t> </w:t>
      </w:r>
      <w:r w:rsidRPr="00170DC4">
        <w:t>205 (of a nature consistent with those proposed in ED 293)</w:t>
      </w:r>
      <w:r>
        <w:t xml:space="preserve"> at that time</w:t>
      </w:r>
      <w:r w:rsidRPr="00170DC4">
        <w:t xml:space="preserve">, however </w:t>
      </w:r>
      <w:r>
        <w:t xml:space="preserve">they did consider it </w:t>
      </w:r>
      <w:r w:rsidRPr="00170DC4">
        <w:t xml:space="preserve">an important issue </w:t>
      </w:r>
      <w:r w:rsidRPr="00170DC4">
        <w:lastRenderedPageBreak/>
        <w:t xml:space="preserve">to seek stakeholder views on. </w:t>
      </w:r>
      <w:r>
        <w:t xml:space="preserve"> </w:t>
      </w:r>
      <w:r w:rsidRPr="00170DC4">
        <w:t xml:space="preserve">Accordingly, the Explanatory Memorandum to Exposure Draft 03/19 </w:t>
      </w:r>
      <w:r w:rsidRPr="00A64240">
        <w:rPr>
          <w:i/>
          <w:iCs/>
        </w:rPr>
        <w:t>Proposed revisions to APESB Pronouncements</w:t>
      </w:r>
      <w:r w:rsidRPr="00170DC4">
        <w:t xml:space="preserve"> include</w:t>
      </w:r>
      <w:r>
        <w:t>d</w:t>
      </w:r>
      <w:r w:rsidRPr="00170DC4">
        <w:t xml:space="preserve"> commentary on this matter and s</w:t>
      </w:r>
      <w:r>
        <w:t xml:space="preserve">ought </w:t>
      </w:r>
      <w:r w:rsidRPr="00170DC4">
        <w:t>specific feedback from their stakeholders.</w:t>
      </w:r>
      <w:r>
        <w:t xml:space="preserve">  After considering this feedback, the APESB decided not to amend APES 205.</w:t>
      </w:r>
      <w:bookmarkEnd w:id="50"/>
    </w:p>
    <w:bookmarkEnd w:id="51"/>
    <w:p w14:paraId="7C5247D4" w14:textId="77777777" w:rsidR="007274EF" w:rsidRPr="003766A0" w:rsidRDefault="007274EF" w:rsidP="00B9506E">
      <w:pPr>
        <w:pStyle w:val="NumBC1"/>
        <w:numPr>
          <w:ilvl w:val="0"/>
          <w:numId w:val="24"/>
        </w:numPr>
        <w:spacing w:before="100" w:after="0"/>
        <w:ind w:left="782" w:hanging="782"/>
      </w:pPr>
      <w:r w:rsidRPr="003766A0">
        <w:t xml:space="preserve">For the reasons outlined in paragraph </w:t>
      </w:r>
      <w:r w:rsidRPr="003766A0">
        <w:fldChar w:fldCharType="begin" w:fldLock="1"/>
      </w:r>
      <w:r w:rsidRPr="003766A0">
        <w:instrText xml:space="preserve"> REF _Ref9247261 \r \h </w:instrText>
      </w:r>
      <w:r>
        <w:instrText xml:space="preserve"> \* MERGEFORMAT </w:instrText>
      </w:r>
      <w:r w:rsidRPr="003766A0">
        <w:fldChar w:fldCharType="separate"/>
      </w:r>
      <w:r>
        <w:t>BC20</w:t>
      </w:r>
      <w:r w:rsidRPr="003766A0">
        <w:fldChar w:fldCharType="end"/>
      </w:r>
      <w:r>
        <w:t>-</w:t>
      </w:r>
      <w:r>
        <w:fldChar w:fldCharType="begin" w:fldLock="1"/>
      </w:r>
      <w:r>
        <w:instrText xml:space="preserve"> REF _Ref22647355 \r \h </w:instrText>
      </w:r>
      <w:r>
        <w:fldChar w:fldCharType="separate"/>
      </w:r>
      <w:r>
        <w:t>BC21</w:t>
      </w:r>
      <w:r>
        <w:fldChar w:fldCharType="end"/>
      </w:r>
      <w:r w:rsidRPr="003766A0">
        <w:t xml:space="preserve"> above, the Board decided it was not necessary to broaden the application paragraphs of AASB 101 or AASB 1054, and therefore </w:t>
      </w:r>
      <w:r>
        <w:t xml:space="preserve">ED 293 proposed </w:t>
      </w:r>
      <w:r w:rsidRPr="003766A0">
        <w:t xml:space="preserve">the amendment should apply in the manner described in paragraph </w:t>
      </w:r>
      <w:r w:rsidRPr="003766A0">
        <w:fldChar w:fldCharType="begin" w:fldLock="1"/>
      </w:r>
      <w:r w:rsidRPr="003766A0">
        <w:instrText xml:space="preserve"> REF _Ref9323697 \r \h </w:instrText>
      </w:r>
      <w:r>
        <w:instrText xml:space="preserve"> \* MERGEFORMAT </w:instrText>
      </w:r>
      <w:r w:rsidRPr="003766A0">
        <w:fldChar w:fldCharType="separate"/>
      </w:r>
      <w:r>
        <w:t>BC19</w:t>
      </w:r>
      <w:r w:rsidRPr="003766A0">
        <w:fldChar w:fldCharType="end"/>
      </w:r>
      <w:r w:rsidRPr="003766A0">
        <w:fldChar w:fldCharType="begin" w:fldLock="1"/>
      </w:r>
      <w:r w:rsidRPr="003766A0">
        <w:instrText xml:space="preserve"> REF _Ref9323700 \r \h </w:instrText>
      </w:r>
      <w:r>
        <w:instrText xml:space="preserve"> \* MERGEFORMAT </w:instrText>
      </w:r>
      <w:r w:rsidRPr="003766A0">
        <w:fldChar w:fldCharType="separate"/>
      </w:r>
      <w:r>
        <w:t>(c)</w:t>
      </w:r>
      <w:r w:rsidRPr="003766A0">
        <w:fldChar w:fldCharType="end"/>
      </w:r>
      <w:r w:rsidRPr="003766A0">
        <w:t xml:space="preserve"> above.</w:t>
      </w:r>
    </w:p>
    <w:p w14:paraId="7B9A904A" w14:textId="77777777" w:rsidR="007274EF" w:rsidRPr="003766A0" w:rsidRDefault="007274EF" w:rsidP="00B9506E">
      <w:pPr>
        <w:pStyle w:val="NumBC1"/>
        <w:numPr>
          <w:ilvl w:val="0"/>
          <w:numId w:val="24"/>
        </w:numPr>
        <w:spacing w:before="100" w:after="0"/>
        <w:ind w:left="782" w:hanging="782"/>
      </w:pPr>
      <w:bookmarkStart w:id="52" w:name="_Ref9248351"/>
      <w:r w:rsidRPr="003766A0">
        <w:t>The Board then considered whether the disclosure requirement should be effected through AASB 101 or AASB 1054.  They were identified as the only two reasonable candidates as vehicles for housing the requirements because they already have related requirements: AASB 101 includes requirements relating to the disclosure of accounting policies and compliance with Standards, and AASB 1054 includes requirements relating to compliance with Australian Accounting Standards and explicitly refers to special purpose financial statements.  The Board’s preferred approach was to amend AASB 1054 because the amendment is Australian-specific, specifically relates to special purpose financial statements, and is consistent with the objective of AASB 1054 “… to set out Australian-specific disclosure requirements that are in addition to the disclosure requirements of International Financial Reporting Standards”.</w:t>
      </w:r>
      <w:bookmarkEnd w:id="52"/>
    </w:p>
    <w:p w14:paraId="739E65E2" w14:textId="77777777" w:rsidR="007274EF" w:rsidRPr="003766A0" w:rsidRDefault="007274EF" w:rsidP="006F36D6">
      <w:pPr>
        <w:pStyle w:val="IASBSectionTitle3Ind"/>
      </w:pPr>
      <w:r w:rsidRPr="003766A0">
        <w:t>Disclosures regarding the basis for the decision to prepare special purpose financial statements</w:t>
      </w:r>
    </w:p>
    <w:p w14:paraId="1EB78ACF" w14:textId="526D6102" w:rsidR="007274EF" w:rsidRPr="003766A0" w:rsidRDefault="007274EF" w:rsidP="00B9506E">
      <w:pPr>
        <w:pStyle w:val="NumBC1"/>
        <w:numPr>
          <w:ilvl w:val="0"/>
          <w:numId w:val="24"/>
        </w:numPr>
        <w:spacing w:before="100" w:after="0"/>
        <w:ind w:left="782" w:hanging="782"/>
      </w:pPr>
      <w:bookmarkStart w:id="53" w:name="_Ref6306245"/>
      <w:r w:rsidRPr="003766A0">
        <w:t>Paragraph 9 of AASB 1054 requires an entity to disclose whether the financial statements are general purpose or special purpose.  The Board decided that entities should also be required to disclose the reasons why the preparation of special purpose financial statemen</w:t>
      </w:r>
      <w:r w:rsidR="006A31A5">
        <w:t>ts was considered appropriate.</w:t>
      </w:r>
    </w:p>
    <w:p w14:paraId="0254FCD9" w14:textId="77777777" w:rsidR="007274EF" w:rsidRPr="003766A0" w:rsidRDefault="007274EF" w:rsidP="00B9506E">
      <w:pPr>
        <w:pStyle w:val="NumBC1"/>
        <w:numPr>
          <w:ilvl w:val="0"/>
          <w:numId w:val="24"/>
        </w:numPr>
        <w:spacing w:before="100" w:after="0"/>
        <w:ind w:left="782" w:hanging="782"/>
      </w:pPr>
      <w:r w:rsidRPr="003766A0">
        <w:t>In making this decision, the Board noted that APES 205 contains a requirement for entities to identify “the purpose for which the Special Purpose Financial Statements have been prepared”</w:t>
      </w:r>
      <w:r w:rsidRPr="003766A0">
        <w:rPr>
          <w:rStyle w:val="FootnoteReference"/>
        </w:rPr>
        <w:footnoteReference w:id="16"/>
      </w:r>
      <w:r w:rsidRPr="003766A0">
        <w:t xml:space="preserve"> and therefore entities within the scope of APES 205 should already be including this information in special purpose financial statements, however mandating it in an Australian Accounting Standard would help ensure users are provided with useful information.</w:t>
      </w:r>
    </w:p>
    <w:p w14:paraId="1174B58D" w14:textId="4D97C0A8" w:rsidR="007274EF" w:rsidRPr="003766A0" w:rsidRDefault="007274EF" w:rsidP="00B9506E">
      <w:pPr>
        <w:pStyle w:val="NumBC1"/>
        <w:numPr>
          <w:ilvl w:val="0"/>
          <w:numId w:val="24"/>
        </w:numPr>
        <w:spacing w:before="100" w:after="0"/>
        <w:ind w:left="782" w:hanging="782"/>
      </w:pPr>
      <w:bookmarkStart w:id="54" w:name="_Ref12272474"/>
      <w:r w:rsidRPr="003766A0">
        <w:t xml:space="preserve">The Board also noted the requirements of Australian Auditing Standards and the existing responsibilities of those charged with governance and auditors with respect to the selection and application of an entity’s financial reporting framework.  In particular, the Board noted the requirements in ASA 800 </w:t>
      </w:r>
      <w:r w:rsidR="002D38A4">
        <w:rPr>
          <w:i/>
          <w:iCs/>
        </w:rPr>
        <w:t xml:space="preserve">Special Considerations – </w:t>
      </w:r>
      <w:r w:rsidRPr="003766A0">
        <w:rPr>
          <w:i/>
          <w:iCs/>
        </w:rPr>
        <w:t>Audits of Financial Reports Prepared in Accordance with Special Purpose Frameworks</w:t>
      </w:r>
      <w:r w:rsidRPr="003766A0">
        <w:t xml:space="preserve"> which for example require that “the auditor shall obtain an understanding of the steps undertaken by management to determine that the applicable financial reporting framework is acceptable in the circumstances”</w:t>
      </w:r>
      <w:r w:rsidRPr="003766A0">
        <w:rPr>
          <w:rStyle w:val="FootnoteReference"/>
        </w:rPr>
        <w:footnoteReference w:id="17"/>
      </w:r>
      <w:r w:rsidRPr="003766A0">
        <w:t xml:space="preserve"> and also ASA 700 </w:t>
      </w:r>
      <w:r w:rsidRPr="003766A0">
        <w:rPr>
          <w:i/>
          <w:iCs/>
        </w:rPr>
        <w:t xml:space="preserve">Forming an Opinion and Reporting on a Financial Report </w:t>
      </w:r>
      <w:r w:rsidRPr="003766A0">
        <w:t>which for example requires that “the auditor shall evaluate whether the financial report adequately refers to or describes the applicable financial reporting framework”.</w:t>
      </w:r>
      <w:r w:rsidRPr="003766A0">
        <w:rPr>
          <w:rStyle w:val="FootnoteReference"/>
        </w:rPr>
        <w:footnoteReference w:id="18"/>
      </w:r>
      <w:bookmarkEnd w:id="54"/>
    </w:p>
    <w:p w14:paraId="456595DA" w14:textId="77777777" w:rsidR="007274EF" w:rsidRPr="003766A0" w:rsidRDefault="007274EF" w:rsidP="006F36D6">
      <w:pPr>
        <w:pStyle w:val="IASBSectionTitle3Ind"/>
      </w:pPr>
      <w:r w:rsidRPr="003766A0">
        <w:t>Disclosures regarding compliance with all the recognition and measurement requirements in Australian Accounting Standards</w:t>
      </w:r>
    </w:p>
    <w:p w14:paraId="65329C71" w14:textId="77777777" w:rsidR="007274EF" w:rsidRPr="003766A0" w:rsidRDefault="007274EF" w:rsidP="00A743FA">
      <w:pPr>
        <w:pStyle w:val="NumBC1"/>
        <w:numPr>
          <w:ilvl w:val="0"/>
          <w:numId w:val="24"/>
        </w:numPr>
        <w:spacing w:before="100"/>
        <w:ind w:left="782" w:hanging="782"/>
      </w:pPr>
      <w:bookmarkStart w:id="55" w:name="_Ref9249618"/>
      <w:r w:rsidRPr="003766A0">
        <w:t>When deciding what information about compliance with all the recognition and measurement requirements in Australian Accounting Standards should be disclosed, the Board considered the following alternatives</w:t>
      </w:r>
      <w:r>
        <w:t xml:space="preserve"> in developing ED 293</w:t>
      </w:r>
      <w:r w:rsidRPr="003766A0">
        <w:t>:</w:t>
      </w:r>
      <w:bookmarkEnd w:id="53"/>
      <w:bookmarkEnd w:id="55"/>
    </w:p>
    <w:tbl>
      <w:tblPr>
        <w:tblStyle w:val="TableGrid"/>
        <w:tblW w:w="5000" w:type="pct"/>
        <w:tblInd w:w="-5" w:type="dxa"/>
        <w:tblCellMar>
          <w:top w:w="28" w:type="dxa"/>
          <w:left w:w="28" w:type="dxa"/>
          <w:bottom w:w="28" w:type="dxa"/>
          <w:right w:w="28" w:type="dxa"/>
        </w:tblCellMar>
        <w:tblLook w:val="04A0" w:firstRow="1" w:lastRow="0" w:firstColumn="1" w:lastColumn="0" w:noHBand="0" w:noVBand="1"/>
        <w:tblCaption w:val="Options"/>
        <w:tblDescription w:val="Options"/>
      </w:tblPr>
      <w:tblGrid>
        <w:gridCol w:w="1785"/>
        <w:gridCol w:w="7232"/>
      </w:tblGrid>
      <w:tr w:rsidR="007274EF" w:rsidRPr="003766A0" w14:paraId="012467D3" w14:textId="77777777" w:rsidTr="004C7178">
        <w:trPr>
          <w:tblHeader/>
        </w:trPr>
        <w:tc>
          <w:tcPr>
            <w:tcW w:w="990" w:type="pct"/>
            <w:shd w:val="clear" w:color="auto" w:fill="BFBFBF" w:themeFill="background1" w:themeFillShade="BF"/>
          </w:tcPr>
          <w:p w14:paraId="61A8897E" w14:textId="77777777" w:rsidR="007274EF" w:rsidRPr="003766A0" w:rsidRDefault="007274EF" w:rsidP="002D38A4">
            <w:pPr>
              <w:pStyle w:val="NumBC1"/>
              <w:numPr>
                <w:ilvl w:val="0"/>
                <w:numId w:val="0"/>
              </w:numPr>
              <w:spacing w:before="60" w:after="60"/>
            </w:pPr>
            <w:r w:rsidRPr="003766A0">
              <w:t>Option</w:t>
            </w:r>
          </w:p>
        </w:tc>
        <w:tc>
          <w:tcPr>
            <w:tcW w:w="4010" w:type="pct"/>
            <w:shd w:val="clear" w:color="auto" w:fill="BFBFBF" w:themeFill="background1" w:themeFillShade="BF"/>
          </w:tcPr>
          <w:p w14:paraId="19AF9CF0" w14:textId="77777777" w:rsidR="007274EF" w:rsidRPr="003766A0" w:rsidRDefault="007274EF" w:rsidP="002D38A4">
            <w:pPr>
              <w:pStyle w:val="NumBC1"/>
              <w:numPr>
                <w:ilvl w:val="0"/>
                <w:numId w:val="0"/>
              </w:numPr>
              <w:spacing w:before="60" w:after="60"/>
            </w:pPr>
            <w:r w:rsidRPr="003766A0">
              <w:t>Information to be disclosed</w:t>
            </w:r>
          </w:p>
        </w:tc>
      </w:tr>
      <w:tr w:rsidR="007274EF" w:rsidRPr="003766A0" w14:paraId="37B8C912" w14:textId="77777777" w:rsidTr="004C7178">
        <w:tc>
          <w:tcPr>
            <w:tcW w:w="990" w:type="pct"/>
          </w:tcPr>
          <w:p w14:paraId="6CAFCBD0" w14:textId="77777777" w:rsidR="007274EF" w:rsidRPr="003766A0" w:rsidRDefault="007274EF" w:rsidP="002D38A4">
            <w:pPr>
              <w:pStyle w:val="ListParagraph"/>
              <w:numPr>
                <w:ilvl w:val="0"/>
                <w:numId w:val="0"/>
              </w:numPr>
              <w:pBdr>
                <w:left w:val="none" w:sz="0" w:space="0" w:color="auto"/>
                <w:right w:val="none" w:sz="0" w:space="0" w:color="auto"/>
              </w:pBdr>
              <w:spacing w:before="60" w:after="60"/>
              <w:contextualSpacing w:val="0"/>
            </w:pPr>
            <w:r w:rsidRPr="003766A0">
              <w:t>Option 1</w:t>
            </w:r>
          </w:p>
        </w:tc>
        <w:tc>
          <w:tcPr>
            <w:tcW w:w="4010" w:type="pct"/>
          </w:tcPr>
          <w:p w14:paraId="2F2AD351" w14:textId="0FE749B2" w:rsidR="007274EF" w:rsidRPr="003766A0" w:rsidRDefault="007274EF" w:rsidP="002D38A4">
            <w:pPr>
              <w:pStyle w:val="ListParagraph"/>
              <w:numPr>
                <w:ilvl w:val="0"/>
                <w:numId w:val="0"/>
              </w:numPr>
              <w:spacing w:before="60" w:after="60"/>
              <w:contextualSpacing w:val="0"/>
            </w:pPr>
            <w:r w:rsidRPr="003766A0">
              <w:rPr>
                <w:szCs w:val="19"/>
              </w:rPr>
              <w:t xml:space="preserve">Contextual information about the entity, being where the entity has subsidiaries, investments in associates or investments in joint ventures, and </w:t>
            </w:r>
            <w:r w:rsidRPr="003766A0">
              <w:t>whether or not they have been consolidated or equity accounted in a manner consistent with the requirements set out in Australian Accounting Standards.</w:t>
            </w:r>
          </w:p>
          <w:p w14:paraId="18F986E5" w14:textId="77777777" w:rsidR="007274EF" w:rsidRPr="003766A0" w:rsidRDefault="007274EF" w:rsidP="002D38A4">
            <w:pPr>
              <w:pStyle w:val="ListParagraph"/>
              <w:numPr>
                <w:ilvl w:val="0"/>
                <w:numId w:val="0"/>
              </w:numPr>
              <w:spacing w:before="60" w:after="60"/>
              <w:rPr>
                <w:szCs w:val="19"/>
              </w:rPr>
            </w:pPr>
            <w:r w:rsidRPr="003766A0">
              <w:t xml:space="preserve">If the entity has not consolidated its subsidiaries or equity accounted its investments in associates or joint ventures in </w:t>
            </w:r>
            <w:r>
              <w:t xml:space="preserve">a manner consistent </w:t>
            </w:r>
            <w:r w:rsidRPr="003766A0">
              <w:t>with the requirements set out in Australian Accounting Standards, the entity shall disclose that fact and the reasons why.  If the entity is a not-for-profit entity, and it has not determined whether or not its interests in other entities give rise to interests in subsidiaries, associates or joint ventures, the entity shall instead disclose that fact.</w:t>
            </w:r>
          </w:p>
        </w:tc>
      </w:tr>
      <w:tr w:rsidR="007274EF" w:rsidRPr="003766A0" w14:paraId="5970FD91" w14:textId="77777777" w:rsidTr="004C7178">
        <w:tc>
          <w:tcPr>
            <w:tcW w:w="990" w:type="pct"/>
          </w:tcPr>
          <w:p w14:paraId="47069520" w14:textId="77777777" w:rsidR="007274EF" w:rsidRPr="003766A0" w:rsidRDefault="007274EF" w:rsidP="002D38A4">
            <w:pPr>
              <w:pStyle w:val="ListParagraph"/>
              <w:numPr>
                <w:ilvl w:val="0"/>
                <w:numId w:val="0"/>
              </w:numPr>
              <w:pBdr>
                <w:left w:val="none" w:sz="0" w:space="0" w:color="auto"/>
                <w:right w:val="none" w:sz="0" w:space="0" w:color="auto"/>
              </w:pBdr>
              <w:spacing w:before="60" w:after="60"/>
              <w:contextualSpacing w:val="0"/>
            </w:pPr>
            <w:r w:rsidRPr="003766A0">
              <w:lastRenderedPageBreak/>
              <w:t xml:space="preserve">Option 2 </w:t>
            </w:r>
          </w:p>
        </w:tc>
        <w:tc>
          <w:tcPr>
            <w:tcW w:w="4010" w:type="pct"/>
          </w:tcPr>
          <w:p w14:paraId="6293C171" w14:textId="77777777" w:rsidR="007274EF" w:rsidRPr="003766A0" w:rsidRDefault="007274EF" w:rsidP="002D38A4">
            <w:pPr>
              <w:pStyle w:val="ListParagraph"/>
              <w:numPr>
                <w:ilvl w:val="0"/>
                <w:numId w:val="0"/>
              </w:numPr>
              <w:pBdr>
                <w:left w:val="none" w:sz="0" w:space="0" w:color="auto"/>
                <w:right w:val="none" w:sz="0" w:space="0" w:color="auto"/>
              </w:pBdr>
              <w:spacing w:before="60" w:after="60"/>
              <w:contextualSpacing w:val="0"/>
            </w:pPr>
            <w:r w:rsidRPr="003766A0">
              <w:t>An explicit statement as to whether or not the financial statements comply with all the recognition and measurement requirements in Australian Accounting Standards and, if not, an indication of where they do not comply.</w:t>
            </w:r>
          </w:p>
        </w:tc>
      </w:tr>
      <w:tr w:rsidR="007274EF" w:rsidRPr="003766A0" w14:paraId="061AD922" w14:textId="77777777" w:rsidTr="004C7178">
        <w:tc>
          <w:tcPr>
            <w:tcW w:w="990" w:type="pct"/>
          </w:tcPr>
          <w:p w14:paraId="5EBC84A2" w14:textId="77777777" w:rsidR="007274EF" w:rsidRPr="003766A0" w:rsidRDefault="007274EF" w:rsidP="002D38A4">
            <w:pPr>
              <w:pStyle w:val="ListParagraph"/>
              <w:numPr>
                <w:ilvl w:val="0"/>
                <w:numId w:val="0"/>
              </w:numPr>
              <w:pBdr>
                <w:left w:val="none" w:sz="0" w:space="0" w:color="auto"/>
                <w:right w:val="none" w:sz="0" w:space="0" w:color="auto"/>
              </w:pBdr>
              <w:spacing w:before="60" w:after="60"/>
              <w:contextualSpacing w:val="0"/>
            </w:pPr>
            <w:r w:rsidRPr="003766A0">
              <w:t>Option 3</w:t>
            </w:r>
          </w:p>
        </w:tc>
        <w:tc>
          <w:tcPr>
            <w:tcW w:w="4010" w:type="pct"/>
          </w:tcPr>
          <w:p w14:paraId="01391658" w14:textId="77777777" w:rsidR="007274EF" w:rsidRPr="003766A0" w:rsidRDefault="007274EF" w:rsidP="002D38A4">
            <w:pPr>
              <w:pStyle w:val="ListParagraph"/>
              <w:numPr>
                <w:ilvl w:val="0"/>
                <w:numId w:val="0"/>
              </w:numPr>
              <w:pBdr>
                <w:left w:val="none" w:sz="0" w:space="0" w:color="auto"/>
                <w:right w:val="none" w:sz="0" w:space="0" w:color="auto"/>
              </w:pBdr>
              <w:spacing w:before="60" w:after="60"/>
              <w:contextualSpacing w:val="0"/>
            </w:pPr>
            <w:r w:rsidRPr="003766A0">
              <w:t>Merely a binary statement regarding compliance or non-compliance with all the recognition and measurement requirements in Australian Accounting Standards, for example either that “the entity has complied with all the recognition and measurement requirements in Australian Accounting Standards” or “the entity has not complied with all the recognition and measurement requirements in Australian Accounting Standards”.</w:t>
            </w:r>
          </w:p>
        </w:tc>
      </w:tr>
      <w:tr w:rsidR="007274EF" w:rsidRPr="003766A0" w14:paraId="316CFA80" w14:textId="77777777" w:rsidTr="004C7178">
        <w:tc>
          <w:tcPr>
            <w:tcW w:w="990" w:type="pct"/>
          </w:tcPr>
          <w:p w14:paraId="4F089271" w14:textId="77777777" w:rsidR="007274EF" w:rsidRPr="003766A0" w:rsidRDefault="007274EF" w:rsidP="002D38A4">
            <w:pPr>
              <w:pStyle w:val="ListParagraph"/>
              <w:numPr>
                <w:ilvl w:val="0"/>
                <w:numId w:val="0"/>
              </w:numPr>
              <w:pBdr>
                <w:left w:val="none" w:sz="0" w:space="0" w:color="auto"/>
                <w:right w:val="none" w:sz="0" w:space="0" w:color="auto"/>
              </w:pBdr>
              <w:spacing w:before="60" w:after="60"/>
              <w:contextualSpacing w:val="0"/>
            </w:pPr>
            <w:r w:rsidRPr="003766A0">
              <w:t>Option 4</w:t>
            </w:r>
          </w:p>
        </w:tc>
        <w:tc>
          <w:tcPr>
            <w:tcW w:w="4010" w:type="pct"/>
          </w:tcPr>
          <w:p w14:paraId="16E6DB05" w14:textId="77777777" w:rsidR="007274EF" w:rsidRPr="003766A0" w:rsidRDefault="007274EF" w:rsidP="002D38A4">
            <w:pPr>
              <w:pStyle w:val="ListParagraph"/>
              <w:numPr>
                <w:ilvl w:val="0"/>
                <w:numId w:val="0"/>
              </w:numPr>
              <w:pBdr>
                <w:left w:val="none" w:sz="0" w:space="0" w:color="auto"/>
                <w:right w:val="none" w:sz="0" w:space="0" w:color="auto"/>
              </w:pBdr>
              <w:spacing w:before="60" w:after="60"/>
              <w:contextualSpacing w:val="0"/>
            </w:pPr>
            <w:r w:rsidRPr="003766A0">
              <w:t>Merely a statement of compliance with all the recognition and measurement requirements in Australian Accounting Standards that is, no statement would be required if an entity did not comply with all the recognition and measurement requirements in Australian Accounting Standards.</w:t>
            </w:r>
          </w:p>
        </w:tc>
      </w:tr>
    </w:tbl>
    <w:p w14:paraId="3CD2D65E" w14:textId="77777777" w:rsidR="007274EF" w:rsidRPr="003766A0" w:rsidRDefault="007274EF" w:rsidP="00B9506E">
      <w:pPr>
        <w:pStyle w:val="NumBC1"/>
        <w:numPr>
          <w:ilvl w:val="0"/>
          <w:numId w:val="24"/>
        </w:numPr>
        <w:spacing w:before="240" w:after="0"/>
        <w:ind w:left="782" w:hanging="782"/>
      </w:pPr>
      <w:bookmarkStart w:id="56" w:name="_Ref4503956"/>
      <w:r w:rsidRPr="003766A0">
        <w:t xml:space="preserve">The Board decided that Options 1 and 2 together were most appropriate, as they best inform financial statement users about the special purpose financial statements and best address the issues identified in paragraphs </w:t>
      </w:r>
      <w:r w:rsidRPr="003766A0">
        <w:fldChar w:fldCharType="begin" w:fldLock="1"/>
      </w:r>
      <w:r w:rsidRPr="003766A0">
        <w:instrText xml:space="preserve"> REF _Ref11963980 \r \h </w:instrText>
      </w:r>
      <w:r>
        <w:instrText xml:space="preserve"> \* MERGEFORMAT </w:instrText>
      </w:r>
      <w:r w:rsidRPr="003766A0">
        <w:fldChar w:fldCharType="separate"/>
      </w:r>
      <w:r>
        <w:t>BC2</w:t>
      </w:r>
      <w:r w:rsidRPr="003766A0">
        <w:fldChar w:fldCharType="end"/>
      </w:r>
      <w:r>
        <w:t>-</w:t>
      </w:r>
      <w:r w:rsidRPr="003766A0">
        <w:fldChar w:fldCharType="begin" w:fldLock="1"/>
      </w:r>
      <w:r w:rsidRPr="003766A0">
        <w:instrText xml:space="preserve"> REF _Ref9248258 \r \h </w:instrText>
      </w:r>
      <w:r>
        <w:instrText xml:space="preserve"> \* MERGEFORMAT </w:instrText>
      </w:r>
      <w:r w:rsidRPr="003766A0">
        <w:fldChar w:fldCharType="separate"/>
      </w:r>
      <w:r>
        <w:t>BC12</w:t>
      </w:r>
      <w:r w:rsidRPr="003766A0">
        <w:fldChar w:fldCharType="end"/>
      </w:r>
      <w:r w:rsidRPr="003766A0">
        <w:t xml:space="preserve"> above.</w:t>
      </w:r>
    </w:p>
    <w:p w14:paraId="7F76B421" w14:textId="2D5B727C" w:rsidR="007274EF" w:rsidRPr="003766A0" w:rsidRDefault="007274EF" w:rsidP="00B9506E">
      <w:pPr>
        <w:pStyle w:val="NumBC1"/>
        <w:numPr>
          <w:ilvl w:val="0"/>
          <w:numId w:val="24"/>
        </w:numPr>
        <w:spacing w:before="100" w:after="0"/>
        <w:ind w:left="782" w:hanging="782"/>
      </w:pPr>
      <w:bookmarkStart w:id="57" w:name="_Ref21429237"/>
      <w:r w:rsidRPr="003766A0">
        <w:t xml:space="preserve">In considering the application of Australian Accounting Standards to special purpose financial statements, the Board noted that section 45A of the </w:t>
      </w:r>
      <w:r w:rsidRPr="003766A0">
        <w:rPr>
          <w:i/>
        </w:rPr>
        <w:t>Corporations Act 2001</w:t>
      </w:r>
      <w:r w:rsidRPr="003766A0">
        <w:t xml:space="preserve"> requires the assessment of thresholds for small and large proprietary companies to be determined on a consolidated basis (ie the parent and the entities it controls (subsidiaries)) in accordance with the accounting standards even if the standards do not otherwise apply to some or all of the companies concerned.  For the purposes of this section, the question of whether a proprietary company controls another entity is to be decided in accordance with the requirements of Australian Accounting Standards (ie AASB 10 </w:t>
      </w:r>
      <w:r w:rsidRPr="003766A0">
        <w:rPr>
          <w:i/>
        </w:rPr>
        <w:t>Consolidated Financial Statements</w:t>
      </w:r>
      <w:r w:rsidRPr="003766A0">
        <w:t>) even if the standards do not otherwise apply to the company.</w:t>
      </w:r>
      <w:bookmarkEnd w:id="57"/>
    </w:p>
    <w:p w14:paraId="07E949FB" w14:textId="2843BE96" w:rsidR="007274EF" w:rsidRPr="003766A0" w:rsidRDefault="007274EF" w:rsidP="00B9506E">
      <w:pPr>
        <w:pStyle w:val="NumBC1"/>
        <w:numPr>
          <w:ilvl w:val="0"/>
          <w:numId w:val="24"/>
        </w:numPr>
        <w:spacing w:before="100" w:after="0"/>
        <w:ind w:left="782" w:hanging="782"/>
      </w:pPr>
      <w:r w:rsidRPr="003766A0">
        <w:t xml:space="preserve">The Board considered whether an explicit statement that an entity does not have subsidiaries, or investments in associates </w:t>
      </w:r>
      <w:r>
        <w:t xml:space="preserve">or </w:t>
      </w:r>
      <w:r w:rsidRPr="003766A0">
        <w:t>joint ventures was required.  The Board noted that entities preparing either Tier 1 or Tier 2 general purpose financial statements</w:t>
      </w:r>
      <w:r w:rsidRPr="003766A0">
        <w:rPr>
          <w:rStyle w:val="FootnoteReference"/>
        </w:rPr>
        <w:footnoteReference w:id="19"/>
      </w:r>
      <w:r w:rsidRPr="003766A0">
        <w:t xml:space="preserve"> are not required to make these statements and accordingly an explicit statement in these circumstances should not be required.</w:t>
      </w:r>
    </w:p>
    <w:p w14:paraId="1BC7DC8E" w14:textId="77777777" w:rsidR="007274EF" w:rsidRDefault="007274EF" w:rsidP="00B9506E">
      <w:pPr>
        <w:pStyle w:val="NumBC1"/>
        <w:numPr>
          <w:ilvl w:val="0"/>
          <w:numId w:val="24"/>
        </w:numPr>
        <w:spacing w:before="100" w:after="0"/>
        <w:ind w:left="782" w:hanging="782"/>
      </w:pPr>
      <w:bookmarkStart w:id="58" w:name="_Ref12263421"/>
      <w:bookmarkEnd w:id="56"/>
      <w:r w:rsidRPr="003766A0">
        <w:t xml:space="preserve">The Board decided that in situations where an entity’s financial statements do not consolidate </w:t>
      </w:r>
      <w:r w:rsidRPr="005034D7">
        <w:t>some or all of</w:t>
      </w:r>
      <w:r w:rsidRPr="003766A0">
        <w:t xml:space="preserve"> its subsidiaries, information about the consolidated financial statements of the entity’s parent is likely to be useful to enable financial statement users to at least be able to know if and where they can access some consolidated information, even if it is incorporated into a wider group.  While this requirement arguably improves transparency in financial reporting, the Board decided not to mandatorily require disclosure of this information as such information is currently not required to be provided by entities preparing Tier 2 general purpose financial statements.  </w:t>
      </w:r>
      <w:r>
        <w:t xml:space="preserve">The Board acknowledged that </w:t>
      </w:r>
      <w:r w:rsidRPr="00202D85">
        <w:t xml:space="preserve">entities </w:t>
      </w:r>
      <w:r>
        <w:t xml:space="preserve">preparing </w:t>
      </w:r>
      <w:r w:rsidRPr="00202D85">
        <w:t xml:space="preserve">Tier 2 </w:t>
      </w:r>
      <w:r>
        <w:t xml:space="preserve">general purpose financial statements </w:t>
      </w:r>
      <w:r w:rsidRPr="00202D85">
        <w:t xml:space="preserve">would already be required to prepare consolidated financial statements and therefore such a disclosure would not be necessary as when preparing </w:t>
      </w:r>
      <w:r>
        <w:t xml:space="preserve">general purpose financial statements </w:t>
      </w:r>
      <w:r w:rsidRPr="00202D85">
        <w:t xml:space="preserve">all subsidiaries must be consolidated (unless the parent entity applies the exemption in AASB 10). </w:t>
      </w:r>
      <w:r>
        <w:t xml:space="preserve"> </w:t>
      </w:r>
      <w:r w:rsidRPr="00202D85">
        <w:t xml:space="preserve">Ultimately this is one of the notable differences between </w:t>
      </w:r>
      <w:r>
        <w:t xml:space="preserve">special purpose financial statements </w:t>
      </w:r>
      <w:r w:rsidRPr="00202D85">
        <w:t xml:space="preserve">and </w:t>
      </w:r>
      <w:r>
        <w:t>general purpose financial statements</w:t>
      </w:r>
      <w:r w:rsidRPr="00202D85">
        <w:t xml:space="preserve">, as in contrast, where an entity is preparing </w:t>
      </w:r>
      <w:r>
        <w:t xml:space="preserve">special purpose financial statements, </w:t>
      </w:r>
      <w:r w:rsidRPr="00202D85">
        <w:t xml:space="preserve">users cannot be sure whether </w:t>
      </w:r>
      <w:r>
        <w:t>an</w:t>
      </w:r>
      <w:r w:rsidRPr="00202D85">
        <w:t xml:space="preserve"> entity did not consolidate its subsidiaries </w:t>
      </w:r>
      <w:r>
        <w:t>due to</w:t>
      </w:r>
      <w:r w:rsidRPr="00202D85">
        <w:t xml:space="preserve"> the exemption in AASB 10 or whether it was because </w:t>
      </w:r>
      <w:r>
        <w:t>it was</w:t>
      </w:r>
      <w:r w:rsidRPr="00202D85">
        <w:t xml:space="preserve"> determined that the group was not a reporting entity.</w:t>
      </w:r>
    </w:p>
    <w:p w14:paraId="5D64FA2B" w14:textId="77777777" w:rsidR="007274EF" w:rsidRPr="003766A0" w:rsidRDefault="007274EF" w:rsidP="00B9506E">
      <w:pPr>
        <w:pStyle w:val="NumBC1"/>
        <w:numPr>
          <w:ilvl w:val="0"/>
          <w:numId w:val="24"/>
        </w:numPr>
        <w:spacing w:before="100" w:after="0"/>
        <w:ind w:left="782" w:hanging="782"/>
      </w:pPr>
      <w:r w:rsidRPr="003766A0">
        <w:t xml:space="preserve">The Board also considered whether to require these entities to identify those subsidiaries that have not been consolidated.  Whilst the Board acknowledged that this information might be useful to users of </w:t>
      </w:r>
      <w:r>
        <w:t xml:space="preserve">the </w:t>
      </w:r>
      <w:r w:rsidRPr="003766A0">
        <w:t>financial statement</w:t>
      </w:r>
      <w:r>
        <w:t>s</w:t>
      </w:r>
      <w:r w:rsidRPr="003766A0">
        <w:t xml:space="preserve">, the Board noted that for some entities, particularly those in the not-for-profit </w:t>
      </w:r>
      <w:r>
        <w:t xml:space="preserve">private </w:t>
      </w:r>
      <w:r w:rsidRPr="003766A0">
        <w:t>sector, this disclosure might be unduly burdensome, such as where entities are not required to determine whether they have subsidiaries in accordance with AASB 10</w:t>
      </w:r>
      <w:r>
        <w:t xml:space="preserve"> to assess their financial reporting requirements</w:t>
      </w:r>
      <w:r w:rsidRPr="003766A0">
        <w:t xml:space="preserve">.  Thus, on balance, the Board decided </w:t>
      </w:r>
      <w:r>
        <w:t xml:space="preserve">that ED 293 would </w:t>
      </w:r>
      <w:r w:rsidRPr="003766A0">
        <w:t>not require entities to disclose the identity of subsidiaries that have not been consolidated.</w:t>
      </w:r>
      <w:bookmarkEnd w:id="58"/>
    </w:p>
    <w:p w14:paraId="05DE2183" w14:textId="49F35B88" w:rsidR="007274EF" w:rsidRPr="003766A0" w:rsidRDefault="007274EF" w:rsidP="00B9506E">
      <w:pPr>
        <w:pStyle w:val="NumBC1"/>
        <w:numPr>
          <w:ilvl w:val="0"/>
          <w:numId w:val="24"/>
        </w:numPr>
        <w:spacing w:before="100" w:after="0"/>
        <w:ind w:left="782" w:hanging="782"/>
      </w:pPr>
      <w:r w:rsidRPr="003766A0">
        <w:t xml:space="preserve">The Board noted the general requirement in paragraph 117 of AASB 101 to disclose accounting policies provides financial statement users with an explanation of the basis upon which the financial statements have been prepared, but does not provide information regarding how those accounting policies compare with all the recognition and measurement requirements in Australian Accounting Standards.  Accordingly, the </w:t>
      </w:r>
      <w:r w:rsidRPr="003766A0">
        <w:lastRenderedPageBreak/>
        <w:t>transparency of special purpose fina</w:t>
      </w:r>
      <w:r>
        <w:t>ncial reporting is compromised.</w:t>
      </w:r>
      <w:r w:rsidRPr="003766A0">
        <w:t xml:space="preserve"> </w:t>
      </w:r>
      <w:r w:rsidR="002D38A4">
        <w:t xml:space="preserve"> </w:t>
      </w:r>
      <w:r w:rsidRPr="003766A0">
        <w:t>The Board therefore decided that it was necessary for an entity to explicitly disclose whether or not it complied with all the recognition and measurement requirements in Australian Accounting Standards and to supplement that disclosure with an indication of where they do not comply.</w:t>
      </w:r>
    </w:p>
    <w:p w14:paraId="35B8428E" w14:textId="77777777" w:rsidR="007274EF" w:rsidRPr="003766A0" w:rsidRDefault="007274EF" w:rsidP="00B9506E">
      <w:pPr>
        <w:pStyle w:val="NumBC1"/>
        <w:numPr>
          <w:ilvl w:val="0"/>
          <w:numId w:val="24"/>
        </w:numPr>
        <w:spacing w:before="100" w:after="0"/>
        <w:ind w:left="782" w:hanging="782"/>
      </w:pPr>
      <w:bookmarkStart w:id="59" w:name="_Ref9249603"/>
      <w:r w:rsidRPr="003766A0">
        <w:t xml:space="preserve">In relation to the requirement to provide an indication of where non-compliance exists (for example, where the entity has not provided for employee entitlements in a manner consistent with the requirements set out in AASB 119 </w:t>
      </w:r>
      <w:r w:rsidRPr="003766A0">
        <w:rPr>
          <w:i/>
        </w:rPr>
        <w:t>Employee Benefits</w:t>
      </w:r>
      <w:r w:rsidRPr="003766A0">
        <w:t>), the Board decided to express a broad principle (ie an indication of where the non-compliance exists) rather than take a more prescriptive approach (eg a description of</w:t>
      </w:r>
      <w:r>
        <w:t xml:space="preserve"> the extent of non-compliance).</w:t>
      </w:r>
      <w:r w:rsidRPr="003766A0">
        <w:t xml:space="preserve"> This was because, in the Board’s view, the explanation of that disclosure requirement in paragraph</w:t>
      </w:r>
      <w:r>
        <w:t>s</w:t>
      </w:r>
      <w:r w:rsidRPr="003766A0">
        <w:t xml:space="preserve"> </w:t>
      </w:r>
      <w:r>
        <w:fldChar w:fldCharType="begin" w:fldLock="1"/>
      </w:r>
      <w:r>
        <w:instrText xml:space="preserve"> REF _Ref24382262 \r \h </w:instrText>
      </w:r>
      <w:r>
        <w:fldChar w:fldCharType="separate"/>
      </w:r>
      <w:r>
        <w:t>IG6</w:t>
      </w:r>
      <w:r>
        <w:fldChar w:fldCharType="end"/>
      </w:r>
      <w:r>
        <w:t>-</w:t>
      </w:r>
      <w:r>
        <w:fldChar w:fldCharType="begin" w:fldLock="1"/>
      </w:r>
      <w:r>
        <w:instrText xml:space="preserve"> REF _Ref24573934 \r \h </w:instrText>
      </w:r>
      <w:r>
        <w:fldChar w:fldCharType="separate"/>
      </w:r>
      <w:r>
        <w:t>IG8</w:t>
      </w:r>
      <w:r>
        <w:fldChar w:fldCharType="end"/>
      </w:r>
      <w:r>
        <w:t xml:space="preserve"> </w:t>
      </w:r>
      <w:r w:rsidRPr="003766A0">
        <w:t xml:space="preserve">of the </w:t>
      </w:r>
      <w:r>
        <w:rPr>
          <w:i/>
        </w:rPr>
        <w:t>I</w:t>
      </w:r>
      <w:r w:rsidRPr="003766A0">
        <w:rPr>
          <w:i/>
        </w:rPr>
        <w:t>mplementation guidance and illustrative examples</w:t>
      </w:r>
      <w:r>
        <w:rPr>
          <w:i/>
        </w:rPr>
        <w:t xml:space="preserve"> </w:t>
      </w:r>
      <w:r>
        <w:rPr>
          <w:iCs/>
        </w:rPr>
        <w:t xml:space="preserve">(as proposed in ED 293) </w:t>
      </w:r>
      <w:r w:rsidRPr="003766A0">
        <w:t xml:space="preserve">and the implementation guidance and illustrative examples themselves attached to AASB 1054 as non-mandatory material (see paragraph </w:t>
      </w:r>
      <w:r w:rsidRPr="003766A0">
        <w:fldChar w:fldCharType="begin" w:fldLock="1"/>
      </w:r>
      <w:r w:rsidRPr="003766A0">
        <w:instrText xml:space="preserve"> REF _Ref9249312 \r \h </w:instrText>
      </w:r>
      <w:r>
        <w:instrText xml:space="preserve"> \* MERGEFORMAT </w:instrText>
      </w:r>
      <w:r w:rsidRPr="003766A0">
        <w:fldChar w:fldCharType="separate"/>
      </w:r>
      <w:r>
        <w:t>BC36</w:t>
      </w:r>
      <w:r w:rsidRPr="003766A0">
        <w:fldChar w:fldCharType="end"/>
      </w:r>
      <w:r w:rsidRPr="003766A0">
        <w:t xml:space="preserve"> below) provide sufficient guidance for preparers to understand the nature of the information that is to be disclosed.  As illustrated in the </w:t>
      </w:r>
      <w:r>
        <w:rPr>
          <w:i/>
          <w:iCs/>
        </w:rPr>
        <w:t>I</w:t>
      </w:r>
      <w:r w:rsidRPr="003766A0">
        <w:rPr>
          <w:i/>
          <w:iCs/>
        </w:rPr>
        <w:t>mplementation guidance and illustrative examples</w:t>
      </w:r>
      <w:r>
        <w:rPr>
          <w:i/>
          <w:iCs/>
        </w:rPr>
        <w:t xml:space="preserve"> </w:t>
      </w:r>
      <w:r>
        <w:rPr>
          <w:iCs/>
        </w:rPr>
        <w:t>(as proposed in ED 293)</w:t>
      </w:r>
      <w:r w:rsidRPr="003766A0">
        <w:t>,</w:t>
      </w:r>
      <w:r w:rsidRPr="003766A0">
        <w:rPr>
          <w:i/>
          <w:iCs/>
        </w:rPr>
        <w:t xml:space="preserve"> </w:t>
      </w:r>
      <w:r w:rsidRPr="003766A0">
        <w:t>the approach taken by the Board also leaves discretion for entities to determine how best to make the disclosure having regard to their particular circumstances and the needs of their users.</w:t>
      </w:r>
      <w:bookmarkEnd w:id="59"/>
    </w:p>
    <w:p w14:paraId="78DE229D" w14:textId="77777777" w:rsidR="007274EF" w:rsidRPr="003766A0" w:rsidRDefault="007274EF" w:rsidP="00B9506E">
      <w:pPr>
        <w:pStyle w:val="NumBC1"/>
        <w:numPr>
          <w:ilvl w:val="0"/>
          <w:numId w:val="24"/>
        </w:numPr>
        <w:spacing w:before="100" w:after="0"/>
        <w:ind w:left="782" w:hanging="782"/>
      </w:pPr>
      <w:r w:rsidRPr="003766A0">
        <w:t>The Board did however confirm, that in disclosing the required information, the Board did not expect entities to provide quantitative information or reconciliations where their accounting policies do not comply with all the recognition and measurement requirements in Australian Accounting Standards.</w:t>
      </w:r>
    </w:p>
    <w:p w14:paraId="7CE2E9DA" w14:textId="77777777" w:rsidR="007274EF" w:rsidRPr="003766A0" w:rsidRDefault="007274EF" w:rsidP="00B9506E">
      <w:pPr>
        <w:pStyle w:val="NumBC1"/>
        <w:numPr>
          <w:ilvl w:val="0"/>
          <w:numId w:val="24"/>
        </w:numPr>
        <w:spacing w:before="100" w:after="0"/>
        <w:ind w:left="782" w:hanging="782"/>
      </w:pPr>
      <w:bookmarkStart w:id="60" w:name="_Ref9249312"/>
      <w:r w:rsidRPr="003766A0">
        <w:t xml:space="preserve">The Board noted the view of some that, if the differences between an entity’s accounting policies and the recognition and measurement requirements in Australian Accounting Standards are extensive, the preparation of the required disclosure could be onerous.  To help address this concern, as referred to in paragraph </w:t>
      </w:r>
      <w:r w:rsidRPr="003766A0">
        <w:fldChar w:fldCharType="begin" w:fldLock="1"/>
      </w:r>
      <w:r w:rsidRPr="003766A0">
        <w:instrText xml:space="preserve"> REF _Ref9249603 \r \h </w:instrText>
      </w:r>
      <w:r>
        <w:instrText xml:space="preserve"> \* MERGEFORMAT </w:instrText>
      </w:r>
      <w:r w:rsidRPr="003766A0">
        <w:fldChar w:fldCharType="separate"/>
      </w:r>
      <w:r>
        <w:t>BC34</w:t>
      </w:r>
      <w:r w:rsidRPr="003766A0">
        <w:fldChar w:fldCharType="end"/>
      </w:r>
      <w:r w:rsidRPr="003766A0">
        <w:t xml:space="preserve"> above, the Board prepared a number of illustrative examples and flowcharts.  The </w:t>
      </w:r>
      <w:r w:rsidRPr="00626169">
        <w:rPr>
          <w:i/>
          <w:iCs/>
        </w:rPr>
        <w:t>I</w:t>
      </w:r>
      <w:r w:rsidRPr="003766A0">
        <w:rPr>
          <w:i/>
          <w:iCs/>
        </w:rPr>
        <w:t>mplementation guidance and illustrative examples</w:t>
      </w:r>
      <w:r>
        <w:rPr>
          <w:i/>
        </w:rPr>
        <w:t xml:space="preserve"> </w:t>
      </w:r>
      <w:r>
        <w:rPr>
          <w:iCs/>
        </w:rPr>
        <w:t xml:space="preserve">(as proposed in ED 293) </w:t>
      </w:r>
      <w:r w:rsidRPr="003766A0">
        <w:t>is designed to provide examples of how the required information might be disclosed having regard to the existing variation and diversity to compliance with all the recognition and measurement requirements in Australian Accounting Standards in special purpose financial statements currently seen in practice.</w:t>
      </w:r>
      <w:bookmarkEnd w:id="60"/>
    </w:p>
    <w:p w14:paraId="2832441C" w14:textId="0268D8DE" w:rsidR="007274EF" w:rsidRPr="003766A0" w:rsidRDefault="007274EF" w:rsidP="00B9506E">
      <w:pPr>
        <w:pStyle w:val="NumBC1"/>
        <w:numPr>
          <w:ilvl w:val="0"/>
          <w:numId w:val="24"/>
        </w:numPr>
        <w:spacing w:before="100" w:after="0"/>
        <w:ind w:left="782" w:hanging="782"/>
      </w:pPr>
      <w:bookmarkStart w:id="61" w:name="_Ref9248175"/>
      <w:r w:rsidRPr="003766A0">
        <w:t>The Board further noted the view that, depending on the current level of expertise, some entities might find it burdensome to determine whether their accounting policies comply with the recognition and measurement requirements in Australian Accounting Standards.  The Board also made the observation that understanding whether or not the entity has complied with all the recognition and measurement requirements in Australian Accounting Standards is a part of good governance and therefore it is reasonable to expect the necessary level of expertise is available, and any costs of acquiring that expertise would be reasonably expected to be outweighed by the benefits.  Furthermore, the Board confirmed that the amendment would not require an entity to change its existing accounting policies and therefore is not onerous.</w:t>
      </w:r>
      <w:bookmarkEnd w:id="61"/>
    </w:p>
    <w:p w14:paraId="2B6BC003" w14:textId="77777777" w:rsidR="007274EF" w:rsidRPr="003766A0" w:rsidRDefault="007274EF" w:rsidP="00B9506E">
      <w:pPr>
        <w:pStyle w:val="NumBC1"/>
        <w:numPr>
          <w:ilvl w:val="0"/>
          <w:numId w:val="24"/>
        </w:numPr>
        <w:spacing w:before="100" w:after="0"/>
        <w:ind w:left="782" w:hanging="782"/>
      </w:pPr>
      <w:r w:rsidRPr="003766A0">
        <w:t xml:space="preserve">While Options 3 and 4 in the table in paragraph </w:t>
      </w:r>
      <w:r>
        <w:fldChar w:fldCharType="begin" w:fldLock="1"/>
      </w:r>
      <w:r>
        <w:instrText xml:space="preserve"> REF _Ref9249618 \r \h </w:instrText>
      </w:r>
      <w:r>
        <w:fldChar w:fldCharType="separate"/>
      </w:r>
      <w:r>
        <w:t>BC27</w:t>
      </w:r>
      <w:r>
        <w:fldChar w:fldCharType="end"/>
      </w:r>
      <w:r>
        <w:t xml:space="preserve"> </w:t>
      </w:r>
      <w:r w:rsidRPr="003766A0">
        <w:t>above were not without their advantages, the Board decided they were not the most appropriate alternatives for a number of reasons including:</w:t>
      </w:r>
    </w:p>
    <w:p w14:paraId="5FB204C3" w14:textId="77777777" w:rsidR="007274EF" w:rsidRPr="003766A0" w:rsidRDefault="007274EF" w:rsidP="00B9506E">
      <w:pPr>
        <w:pStyle w:val="Default"/>
        <w:numPr>
          <w:ilvl w:val="0"/>
          <w:numId w:val="21"/>
        </w:numPr>
        <w:spacing w:before="100"/>
        <w:ind w:left="1564" w:hanging="782"/>
        <w:jc w:val="both"/>
        <w:rPr>
          <w:sz w:val="19"/>
          <w:szCs w:val="19"/>
        </w:rPr>
      </w:pPr>
      <w:r>
        <w:rPr>
          <w:sz w:val="19"/>
          <w:szCs w:val="19"/>
        </w:rPr>
        <w:t>a</w:t>
      </w:r>
      <w:r w:rsidRPr="003766A0">
        <w:rPr>
          <w:sz w:val="19"/>
          <w:szCs w:val="19"/>
        </w:rPr>
        <w:t xml:space="preserve"> binary disclosure stating only ‘non-compliance’ as suggested in Option 3 would not be useful as users would not be able to discern an indication of the extent of recognition and measurement compliance or non-compliance; and</w:t>
      </w:r>
    </w:p>
    <w:p w14:paraId="4B6D863B" w14:textId="77777777" w:rsidR="007274EF" w:rsidRPr="003766A0" w:rsidRDefault="007274EF" w:rsidP="00B9506E">
      <w:pPr>
        <w:pStyle w:val="Default"/>
        <w:numPr>
          <w:ilvl w:val="0"/>
          <w:numId w:val="21"/>
        </w:numPr>
        <w:spacing w:before="100"/>
        <w:ind w:left="1564" w:hanging="782"/>
        <w:jc w:val="both"/>
        <w:rPr>
          <w:sz w:val="19"/>
          <w:szCs w:val="19"/>
        </w:rPr>
      </w:pPr>
      <w:r w:rsidRPr="003766A0">
        <w:rPr>
          <w:sz w:val="19"/>
          <w:szCs w:val="19"/>
        </w:rPr>
        <w:t>Option 4 was not appropriate as</w:t>
      </w:r>
      <w:r>
        <w:rPr>
          <w:sz w:val="19"/>
          <w:szCs w:val="19"/>
        </w:rPr>
        <w:t>,</w:t>
      </w:r>
      <w:r w:rsidRPr="003766A0">
        <w:rPr>
          <w:sz w:val="19"/>
          <w:szCs w:val="19"/>
        </w:rPr>
        <w:t xml:space="preserve"> if an entity did not make the disclosure, users would also not be able discern the reason for non-compliance, that is, whether it was a recognition and measurement non-compliance or the omission of a disclosure requirement for example.</w:t>
      </w:r>
    </w:p>
    <w:p w14:paraId="43C353A9" w14:textId="77777777" w:rsidR="007274EF" w:rsidRPr="003766A0" w:rsidRDefault="007274EF" w:rsidP="00B9506E">
      <w:pPr>
        <w:pStyle w:val="Default"/>
        <w:spacing w:before="100"/>
        <w:ind w:left="782"/>
        <w:jc w:val="both"/>
        <w:rPr>
          <w:sz w:val="19"/>
          <w:szCs w:val="19"/>
        </w:rPr>
      </w:pPr>
      <w:r w:rsidRPr="003766A0">
        <w:rPr>
          <w:sz w:val="19"/>
          <w:szCs w:val="19"/>
        </w:rPr>
        <w:t>Accordingly, any costs that would be saved by adopting Options 3 or 4 relative to Option 2, including that they would result in less voluminous disclosure, would be clearly outweighed by the benefits to users of Option</w:t>
      </w:r>
      <w:r>
        <w:rPr>
          <w:sz w:val="19"/>
          <w:szCs w:val="19"/>
        </w:rPr>
        <w:t> </w:t>
      </w:r>
      <w:r w:rsidRPr="003766A0">
        <w:rPr>
          <w:sz w:val="19"/>
          <w:szCs w:val="19"/>
        </w:rPr>
        <w:t>2.</w:t>
      </w:r>
    </w:p>
    <w:p w14:paraId="376D4626" w14:textId="77777777" w:rsidR="007274EF" w:rsidRPr="003766A0" w:rsidRDefault="007274EF" w:rsidP="006F36D6">
      <w:pPr>
        <w:pStyle w:val="IASBSectionTitle3Ind"/>
      </w:pPr>
      <w:r w:rsidRPr="003766A0">
        <w:t>Other issues</w:t>
      </w:r>
    </w:p>
    <w:p w14:paraId="7628EBC7" w14:textId="77777777" w:rsidR="007274EF" w:rsidRPr="003766A0" w:rsidRDefault="007274EF" w:rsidP="00B9506E">
      <w:pPr>
        <w:pStyle w:val="NumBC1"/>
        <w:numPr>
          <w:ilvl w:val="0"/>
          <w:numId w:val="24"/>
        </w:numPr>
        <w:spacing w:before="100" w:after="0"/>
        <w:ind w:left="782" w:hanging="782"/>
      </w:pPr>
      <w:bookmarkStart w:id="62" w:name="_Ref5347969"/>
      <w:r w:rsidRPr="003766A0">
        <w:t xml:space="preserve">Both </w:t>
      </w:r>
      <w:r w:rsidRPr="003766A0">
        <w:rPr>
          <w:i/>
        </w:rPr>
        <w:t xml:space="preserve">The AASB’s For-Profit Entity Standard-Setting Framework </w:t>
      </w:r>
      <w:r w:rsidRPr="003766A0">
        <w:t xml:space="preserve">and </w:t>
      </w:r>
      <w:r w:rsidRPr="003766A0">
        <w:rPr>
          <w:i/>
        </w:rPr>
        <w:t xml:space="preserve">The AASB’s Not-for-Profit Entity Standard-Setting Framework </w:t>
      </w:r>
      <w:r w:rsidRPr="003766A0">
        <w:t xml:space="preserve">state that the Board does not currently set standards for special purpose financial statements, as such financial statements should only be prepared where users can tailor them to their own information needs, and therefore do not need a standard-setter or regulator to require the information on their behalf.  Accordingly, the Board noted the view that those responsible for the preparation of special purpose financial statements should determine the extent to which they conform with Australian Accounting Standards and therefore it </w:t>
      </w:r>
      <w:r>
        <w:t>wa</w:t>
      </w:r>
      <w:r w:rsidRPr="003766A0">
        <w:t xml:space="preserve">s not necessary for the Board to specify the disclosures proposed in </w:t>
      </w:r>
      <w:r>
        <w:t>ED 293</w:t>
      </w:r>
      <w:r w:rsidRPr="003766A0">
        <w:t>.</w:t>
      </w:r>
      <w:bookmarkEnd w:id="62"/>
    </w:p>
    <w:p w14:paraId="1AEA388B" w14:textId="77777777" w:rsidR="007274EF" w:rsidRDefault="007274EF" w:rsidP="00B9506E">
      <w:pPr>
        <w:pStyle w:val="NumBC1"/>
        <w:numPr>
          <w:ilvl w:val="0"/>
          <w:numId w:val="24"/>
        </w:numPr>
        <w:spacing w:before="100" w:after="0"/>
        <w:ind w:left="782" w:hanging="782"/>
      </w:pPr>
      <w:r w:rsidRPr="003766A0">
        <w:lastRenderedPageBreak/>
        <w:t>Notwithstanding this, “as part of moving legacy regulations out of legislation and into Australian Accounting Standards …”,</w:t>
      </w:r>
      <w:r w:rsidRPr="003766A0">
        <w:rPr>
          <w:rStyle w:val="FootnoteReference"/>
        </w:rPr>
        <w:footnoteReference w:id="20"/>
      </w:r>
      <w:r w:rsidRPr="003766A0">
        <w:t xml:space="preserve"> and as noted in paragraph </w:t>
      </w:r>
      <w:r w:rsidRPr="003766A0">
        <w:fldChar w:fldCharType="begin" w:fldLock="1"/>
      </w:r>
      <w:r w:rsidRPr="003766A0">
        <w:instrText xml:space="preserve"> REF _Ref9323697 \r \h </w:instrText>
      </w:r>
      <w:r>
        <w:instrText xml:space="preserve"> \* MERGEFORMAT </w:instrText>
      </w:r>
      <w:r w:rsidRPr="003766A0">
        <w:fldChar w:fldCharType="separate"/>
      </w:r>
      <w:r>
        <w:t>BC19</w:t>
      </w:r>
      <w:r w:rsidRPr="003766A0">
        <w:fldChar w:fldCharType="end"/>
      </w:r>
      <w:r w:rsidRPr="003766A0">
        <w:fldChar w:fldCharType="begin" w:fldLock="1"/>
      </w:r>
      <w:r w:rsidRPr="003766A0">
        <w:instrText xml:space="preserve"> REF _Ref9323700 \r \h </w:instrText>
      </w:r>
      <w:r>
        <w:instrText xml:space="preserve"> \* MERGEFORMAT </w:instrText>
      </w:r>
      <w:r w:rsidRPr="003766A0">
        <w:fldChar w:fldCharType="separate"/>
      </w:r>
      <w:r>
        <w:t>(c)</w:t>
      </w:r>
      <w:r w:rsidRPr="003766A0">
        <w:fldChar w:fldCharType="end"/>
      </w:r>
      <w:r w:rsidRPr="003766A0">
        <w:t xml:space="preserve"> above, Australian Accounting Standards AASB 101, AASB 107, AASB 108, AASB 1048 and AASB 1054 apply to special purpose financial statements.  The Board considered that this, especially the requirement in paragraph 9 of AASB 1054,</w:t>
      </w:r>
      <w:r w:rsidRPr="003766A0">
        <w:rPr>
          <w:rStyle w:val="FootnoteReference"/>
        </w:rPr>
        <w:footnoteReference w:id="21"/>
      </w:r>
      <w:r w:rsidRPr="003766A0">
        <w:t xml:space="preserve"> together with the needs of users noted in paragraph </w:t>
      </w:r>
      <w:r w:rsidRPr="003766A0">
        <w:fldChar w:fldCharType="begin" w:fldLock="1"/>
      </w:r>
      <w:r w:rsidRPr="003766A0">
        <w:instrText xml:space="preserve"> REF _Ref9323721 \r \h </w:instrText>
      </w:r>
      <w:r>
        <w:instrText xml:space="preserve"> \* MERGEFORMAT </w:instrText>
      </w:r>
      <w:r w:rsidRPr="003766A0">
        <w:fldChar w:fldCharType="separate"/>
      </w:r>
      <w:r>
        <w:t>BC18</w:t>
      </w:r>
      <w:r w:rsidRPr="003766A0">
        <w:fldChar w:fldCharType="end"/>
      </w:r>
      <w:r w:rsidRPr="003766A0">
        <w:t xml:space="preserve"> above, provided a sufficient basis for requiring the disclosures in special purpose financial statements proposed in </w:t>
      </w:r>
      <w:r>
        <w:t>ED 293</w:t>
      </w:r>
      <w:r w:rsidRPr="003766A0">
        <w:t>.  The Board was particularly concerned that a significant number of special purpose financial statements do not provide adequate disclosures to enable a user to determine whether they do need additional information to meet their needs.</w:t>
      </w:r>
    </w:p>
    <w:p w14:paraId="2687DABB" w14:textId="77777777" w:rsidR="007274EF" w:rsidRPr="00626169" w:rsidRDefault="007274EF" w:rsidP="007274EF">
      <w:pPr>
        <w:pStyle w:val="IASBSectionTitle1NonInd"/>
        <w:jc w:val="both"/>
      </w:pPr>
      <w:r w:rsidRPr="00626169">
        <w:t>Finalisation of ED 293 proposals</w:t>
      </w:r>
    </w:p>
    <w:p w14:paraId="44DEEE2F" w14:textId="77777777" w:rsidR="007274EF" w:rsidRPr="00626169" w:rsidRDefault="007274EF" w:rsidP="00B9506E">
      <w:pPr>
        <w:pStyle w:val="NumBC1"/>
        <w:numPr>
          <w:ilvl w:val="0"/>
          <w:numId w:val="24"/>
        </w:numPr>
        <w:spacing w:before="100" w:after="0"/>
        <w:ind w:left="782" w:hanging="782"/>
        <w:rPr>
          <w:szCs w:val="19"/>
        </w:rPr>
      </w:pPr>
      <w:r w:rsidRPr="00626169">
        <w:rPr>
          <w:szCs w:val="19"/>
        </w:rPr>
        <w:t>Following the consultation period, and after considering constituent comments received, the Board decided to proceed with issuing this Standard, however in doing so the Board made</w:t>
      </w:r>
      <w:r>
        <w:rPr>
          <w:szCs w:val="19"/>
        </w:rPr>
        <w:t xml:space="preserve"> a</w:t>
      </w:r>
      <w:r w:rsidRPr="00626169">
        <w:rPr>
          <w:szCs w:val="19"/>
        </w:rPr>
        <w:t xml:space="preserve"> number of decisions regarding the final proposals.</w:t>
      </w:r>
    </w:p>
    <w:p w14:paraId="37644808" w14:textId="72FD14ED" w:rsidR="007274EF" w:rsidRPr="00626169" w:rsidRDefault="007274EF" w:rsidP="006F36D6">
      <w:pPr>
        <w:pStyle w:val="IASBSectionTitle2Ind"/>
      </w:pPr>
      <w:r w:rsidRPr="00626169">
        <w:t>Feed</w:t>
      </w:r>
      <w:r w:rsidR="00390F54">
        <w:t>back from respondents on ED 293</w:t>
      </w:r>
    </w:p>
    <w:p w14:paraId="1D2C3546" w14:textId="1C9BC0DF" w:rsidR="007274EF" w:rsidRPr="00626169" w:rsidRDefault="007274EF" w:rsidP="00B9506E">
      <w:pPr>
        <w:pStyle w:val="NumBC1"/>
        <w:numPr>
          <w:ilvl w:val="0"/>
          <w:numId w:val="24"/>
        </w:numPr>
        <w:spacing w:before="100" w:after="0"/>
        <w:ind w:left="782" w:hanging="782"/>
      </w:pPr>
      <w:r w:rsidRPr="00626169">
        <w:t>The Board received 14 formal comment letters on ED 293, and undertook targeted outreach with key stakeholders including professional bodies and regulators.</w:t>
      </w:r>
    </w:p>
    <w:p w14:paraId="44047427" w14:textId="40E14187" w:rsidR="007274EF" w:rsidRPr="006C1EC1" w:rsidRDefault="007274EF" w:rsidP="00B9506E">
      <w:pPr>
        <w:pStyle w:val="NumBC1"/>
        <w:numPr>
          <w:ilvl w:val="0"/>
          <w:numId w:val="24"/>
        </w:numPr>
        <w:spacing w:before="100" w:after="0"/>
        <w:ind w:left="782" w:hanging="782"/>
      </w:pPr>
      <w:bookmarkStart w:id="63" w:name="_Ref22214167"/>
      <w:r w:rsidRPr="00626169">
        <w:t xml:space="preserve">The key feedback received on ED 293 indicated that overall the majority of respondents agreed that the proposals set out in ED 293 would increase the transparency and comparability of special purpose financial statements, however a number of respondents had concerns about </w:t>
      </w:r>
      <w:r>
        <w:t>the</w:t>
      </w:r>
      <w:r w:rsidRPr="00626169">
        <w:t xml:space="preserve"> costs that may be incurred by entities in making the disclosures </w:t>
      </w:r>
      <w:r>
        <w:t xml:space="preserve">proposed in ED 293 </w:t>
      </w:r>
      <w:r w:rsidRPr="00626169">
        <w:t>exceed</w:t>
      </w:r>
      <w:r>
        <w:t>ing</w:t>
      </w:r>
      <w:r w:rsidRPr="00626169">
        <w:t xml:space="preserve"> </w:t>
      </w:r>
      <w:r>
        <w:t xml:space="preserve">the </w:t>
      </w:r>
      <w:r w:rsidRPr="00626169">
        <w:t xml:space="preserve">benefits of the </w:t>
      </w:r>
      <w:r>
        <w:t>resulting information</w:t>
      </w:r>
      <w:r w:rsidRPr="00626169">
        <w:t xml:space="preserve">.  Respondents were </w:t>
      </w:r>
      <w:r>
        <w:t>particularly</w:t>
      </w:r>
      <w:r w:rsidRPr="00626169">
        <w:t xml:space="preserve"> concerned about the costs of the ED 293 proposals exceeding any benefits </w:t>
      </w:r>
      <w:r>
        <w:t xml:space="preserve">for for-profit private sector entities </w:t>
      </w:r>
      <w:r w:rsidRPr="00626169">
        <w:t>given th</w:t>
      </w:r>
      <w:r>
        <w:t>e</w:t>
      </w:r>
      <w:r w:rsidRPr="00626169">
        <w:t xml:space="preserve"> ED 293 proposals were intended to be only a short</w:t>
      </w:r>
      <w:r>
        <w:t>-</w:t>
      </w:r>
      <w:r w:rsidRPr="00626169">
        <w:t xml:space="preserve">term measure </w:t>
      </w:r>
      <w:r>
        <w:t xml:space="preserve">for these entities.  This is because </w:t>
      </w:r>
      <w:r w:rsidRPr="00626169">
        <w:t xml:space="preserve">the broader project proposing </w:t>
      </w:r>
      <w:r w:rsidRPr="006C1EC1">
        <w:t xml:space="preserve">to remove the ability for certain </w:t>
      </w:r>
      <w:r>
        <w:t xml:space="preserve">for-profit private sector </w:t>
      </w:r>
      <w:r w:rsidRPr="006C1EC1">
        <w:t>entities to prepare special purpose financial statements when they are required to comply with Australian Accounting Standards</w:t>
      </w:r>
      <w:r>
        <w:t xml:space="preserve"> is expected to be completed by 30 June 2020</w:t>
      </w:r>
      <w:r w:rsidRPr="006C1EC1">
        <w:t>.</w:t>
      </w:r>
      <w:bookmarkEnd w:id="63"/>
    </w:p>
    <w:p w14:paraId="79E8DF12" w14:textId="77777777" w:rsidR="007274EF" w:rsidRPr="00626169" w:rsidRDefault="007274EF" w:rsidP="00B9506E">
      <w:pPr>
        <w:pStyle w:val="NumBC1"/>
        <w:numPr>
          <w:ilvl w:val="0"/>
          <w:numId w:val="24"/>
        </w:numPr>
        <w:spacing w:before="100" w:after="0"/>
        <w:ind w:left="782" w:hanging="782"/>
      </w:pPr>
      <w:bookmarkStart w:id="64" w:name="_Ref21442734"/>
      <w:r w:rsidRPr="006C1EC1">
        <w:t xml:space="preserve">The Board considered this feedback and decided that in order to better balance any </w:t>
      </w:r>
      <w:r>
        <w:t xml:space="preserve">additional </w:t>
      </w:r>
      <w:r w:rsidRPr="006C1EC1">
        <w:t>costs with any benefits</w:t>
      </w:r>
      <w:r>
        <w:t xml:space="preserve"> to financial statement users</w:t>
      </w:r>
      <w:r w:rsidRPr="006C1EC1">
        <w:t xml:space="preserve">, it was necessary to limit the scope of this Standard to apply only to not-for-profit </w:t>
      </w:r>
      <w:r>
        <w:t xml:space="preserve">private sector </w:t>
      </w:r>
      <w:r w:rsidRPr="006C1EC1">
        <w:t>entities</w:t>
      </w:r>
      <w:r>
        <w:t xml:space="preserve">. This is because the broader project to remove the ability for certain not-for-profit entities to prepare </w:t>
      </w:r>
      <w:r w:rsidRPr="00881A79">
        <w:t xml:space="preserve">special purpose financial statements </w:t>
      </w:r>
      <w:r>
        <w:t>when required to comply with Australian Accounting Standards would take some time. The Board also decided to amend</w:t>
      </w:r>
      <w:r w:rsidRPr="006C1EC1">
        <w:t xml:space="preserve"> the</w:t>
      </w:r>
      <w:r>
        <w:t xml:space="preserve"> required</w:t>
      </w:r>
      <w:r w:rsidRPr="006C1EC1">
        <w:t xml:space="preserve"> </w:t>
      </w:r>
      <w:r>
        <w:t>disclosures related to compliance with Australian Accounting Standards to reduce any costs that may be incurred in complying with the new disclosures</w:t>
      </w:r>
      <w:r w:rsidRPr="006C1EC1">
        <w:t xml:space="preserve">.  The significant </w:t>
      </w:r>
      <w:r w:rsidRPr="00626169">
        <w:t xml:space="preserve">matters </w:t>
      </w:r>
      <w:r w:rsidRPr="006C1EC1">
        <w:t xml:space="preserve">considered by the Board </w:t>
      </w:r>
      <w:r w:rsidRPr="00626169">
        <w:t xml:space="preserve">in making these decisions </w:t>
      </w:r>
      <w:r w:rsidRPr="006C1EC1">
        <w:t xml:space="preserve">are addressed </w:t>
      </w:r>
      <w:r w:rsidRPr="00626169">
        <w:t>below.</w:t>
      </w:r>
      <w:bookmarkEnd w:id="64"/>
    </w:p>
    <w:p w14:paraId="75C2ACBF" w14:textId="77777777" w:rsidR="007274EF" w:rsidRPr="00CB2705" w:rsidRDefault="007274EF" w:rsidP="00CB2705">
      <w:pPr>
        <w:pStyle w:val="IASBSectionTitle3Ind"/>
      </w:pPr>
      <w:r w:rsidRPr="00CB2705">
        <w:t>Scope</w:t>
      </w:r>
    </w:p>
    <w:p w14:paraId="486A1B4A" w14:textId="4B8E81E5" w:rsidR="007274EF" w:rsidRPr="00626169" w:rsidRDefault="007274EF" w:rsidP="00B9506E">
      <w:pPr>
        <w:pStyle w:val="NumBC1"/>
        <w:numPr>
          <w:ilvl w:val="0"/>
          <w:numId w:val="24"/>
        </w:numPr>
        <w:spacing w:before="100" w:after="0"/>
        <w:ind w:left="782" w:hanging="782"/>
        <w:rPr>
          <w:rStyle w:val="normaltextrun1"/>
          <w:szCs w:val="19"/>
        </w:rPr>
      </w:pPr>
      <w:r w:rsidRPr="00626169">
        <w:rPr>
          <w:rStyle w:val="normaltextrun1"/>
          <w:szCs w:val="19"/>
        </w:rPr>
        <w:t xml:space="preserve">The Board decided that the requirements of this Standard should apply only to not-for-profit </w:t>
      </w:r>
      <w:r>
        <w:rPr>
          <w:rStyle w:val="normaltextrun1"/>
          <w:szCs w:val="19"/>
        </w:rPr>
        <w:t xml:space="preserve">private sector </w:t>
      </w:r>
      <w:r w:rsidRPr="00626169">
        <w:rPr>
          <w:rStyle w:val="normaltextrun1"/>
          <w:szCs w:val="19"/>
        </w:rPr>
        <w:t>entities required by legislation or otherwise to comply with AASB 1054, such as medium and large charities with revenue greater than $250,000, registered with the ACNC and required to comply with the ACNC’s reporting requirements relating to special purpose financial statements and companies limited by guarantee lodging financial reports with ASIC. The Board noted the ACNC expressed support for increased transparency of financial reporting in the charities sector with the additional disclosure requirements being viewed as a positive step towards greater transparency, accountability and good governance.</w:t>
      </w:r>
    </w:p>
    <w:p w14:paraId="29A5C21F" w14:textId="77777777" w:rsidR="007274EF" w:rsidRPr="00626169" w:rsidRDefault="007274EF" w:rsidP="00B9506E">
      <w:pPr>
        <w:pStyle w:val="NumBC1"/>
        <w:numPr>
          <w:ilvl w:val="0"/>
          <w:numId w:val="24"/>
        </w:numPr>
        <w:spacing w:before="100" w:after="0"/>
        <w:ind w:left="782" w:hanging="782"/>
        <w:rPr>
          <w:rStyle w:val="normaltextrun1"/>
          <w:rFonts w:ascii="Times" w:hAnsi="Times" w:cs="Times"/>
          <w:szCs w:val="19"/>
          <w:lang w:val="en-US"/>
        </w:rPr>
      </w:pPr>
      <w:r w:rsidRPr="00626169">
        <w:rPr>
          <w:rStyle w:val="normaltextrun1"/>
          <w:rFonts w:ascii="Times" w:hAnsi="Times" w:cs="Times"/>
          <w:szCs w:val="19"/>
        </w:rPr>
        <w:t xml:space="preserve">As noted in paragraph </w:t>
      </w:r>
      <w:r w:rsidRPr="00626169">
        <w:rPr>
          <w:rStyle w:val="normaltextrun1"/>
          <w:rFonts w:ascii="Times" w:hAnsi="Times" w:cs="Times"/>
          <w:szCs w:val="19"/>
        </w:rPr>
        <w:fldChar w:fldCharType="begin" w:fldLock="1"/>
      </w:r>
      <w:r w:rsidRPr="00626169">
        <w:rPr>
          <w:rStyle w:val="normaltextrun1"/>
          <w:rFonts w:ascii="Times" w:hAnsi="Times" w:cs="Times"/>
          <w:szCs w:val="19"/>
        </w:rPr>
        <w:instrText xml:space="preserve"> REF _Ref21442734 \r \h </w:instrText>
      </w:r>
      <w:r>
        <w:rPr>
          <w:rStyle w:val="normaltextrun1"/>
          <w:rFonts w:ascii="Times" w:hAnsi="Times" w:cs="Times"/>
          <w:szCs w:val="19"/>
        </w:rPr>
        <w:instrText xml:space="preserve"> \* MERGEFORMAT </w:instrText>
      </w:r>
      <w:r w:rsidRPr="00626169">
        <w:rPr>
          <w:rStyle w:val="normaltextrun1"/>
          <w:rFonts w:ascii="Times" w:hAnsi="Times" w:cs="Times"/>
          <w:szCs w:val="19"/>
        </w:rPr>
      </w:r>
      <w:r w:rsidRPr="00626169">
        <w:rPr>
          <w:rStyle w:val="normaltextrun1"/>
          <w:rFonts w:ascii="Times" w:hAnsi="Times" w:cs="Times"/>
          <w:szCs w:val="19"/>
        </w:rPr>
        <w:fldChar w:fldCharType="separate"/>
      </w:r>
      <w:r>
        <w:rPr>
          <w:rStyle w:val="normaltextrun1"/>
          <w:rFonts w:ascii="Times" w:hAnsi="Times" w:cs="Times"/>
          <w:szCs w:val="19"/>
        </w:rPr>
        <w:t>BC44</w:t>
      </w:r>
      <w:r w:rsidRPr="00626169">
        <w:rPr>
          <w:rStyle w:val="normaltextrun1"/>
          <w:rFonts w:ascii="Times" w:hAnsi="Times" w:cs="Times"/>
          <w:szCs w:val="19"/>
        </w:rPr>
        <w:fldChar w:fldCharType="end"/>
      </w:r>
      <w:r w:rsidRPr="00626169">
        <w:rPr>
          <w:rStyle w:val="normaltextrun1"/>
          <w:rFonts w:ascii="Times" w:hAnsi="Times" w:cs="Times"/>
          <w:szCs w:val="19"/>
        </w:rPr>
        <w:t xml:space="preserve"> above, the disclosure requirements were </w:t>
      </w:r>
      <w:r>
        <w:rPr>
          <w:rStyle w:val="normaltextrun1"/>
          <w:rFonts w:ascii="Times" w:hAnsi="Times" w:cs="Times"/>
          <w:szCs w:val="19"/>
        </w:rPr>
        <w:t>amended</w:t>
      </w:r>
      <w:r w:rsidRPr="00626169">
        <w:rPr>
          <w:rStyle w:val="normaltextrun1"/>
          <w:rFonts w:ascii="Times" w:hAnsi="Times" w:cs="Times"/>
          <w:szCs w:val="19"/>
        </w:rPr>
        <w:t xml:space="preserve"> (refer paragraphs </w:t>
      </w:r>
      <w:r>
        <w:rPr>
          <w:rStyle w:val="normaltextrun1"/>
          <w:rFonts w:ascii="Times" w:hAnsi="Times" w:cs="Times"/>
          <w:szCs w:val="19"/>
        </w:rPr>
        <w:fldChar w:fldCharType="begin" w:fldLock="1"/>
      </w:r>
      <w:r>
        <w:rPr>
          <w:rStyle w:val="normaltextrun1"/>
          <w:rFonts w:ascii="Times" w:hAnsi="Times" w:cs="Times"/>
          <w:szCs w:val="19"/>
        </w:rPr>
        <w:instrText xml:space="preserve"> REF _Ref21442760 \r \h </w:instrText>
      </w:r>
      <w:r>
        <w:rPr>
          <w:rStyle w:val="normaltextrun1"/>
          <w:rFonts w:ascii="Times" w:hAnsi="Times" w:cs="Times"/>
          <w:szCs w:val="19"/>
        </w:rPr>
      </w:r>
      <w:r>
        <w:rPr>
          <w:rStyle w:val="normaltextrun1"/>
          <w:rFonts w:ascii="Times" w:hAnsi="Times" w:cs="Times"/>
          <w:szCs w:val="19"/>
        </w:rPr>
        <w:fldChar w:fldCharType="separate"/>
      </w:r>
      <w:r>
        <w:rPr>
          <w:rStyle w:val="normaltextrun1"/>
          <w:rFonts w:ascii="Times" w:hAnsi="Times" w:cs="Times"/>
          <w:szCs w:val="19"/>
        </w:rPr>
        <w:t>BC48</w:t>
      </w:r>
      <w:r>
        <w:rPr>
          <w:rStyle w:val="normaltextrun1"/>
          <w:rFonts w:ascii="Times" w:hAnsi="Times" w:cs="Times"/>
          <w:szCs w:val="19"/>
        </w:rPr>
        <w:fldChar w:fldCharType="end"/>
      </w:r>
      <w:r w:rsidRPr="00626169">
        <w:rPr>
          <w:rStyle w:val="normaltextrun1"/>
          <w:rFonts w:ascii="Times" w:hAnsi="Times" w:cs="Times"/>
          <w:szCs w:val="19"/>
        </w:rPr>
        <w:t>-</w:t>
      </w:r>
      <w:r>
        <w:rPr>
          <w:rStyle w:val="normaltextrun1"/>
          <w:rFonts w:ascii="Times" w:hAnsi="Times" w:cs="Times"/>
          <w:szCs w:val="19"/>
        </w:rPr>
        <w:fldChar w:fldCharType="begin" w:fldLock="1"/>
      </w:r>
      <w:r>
        <w:rPr>
          <w:rStyle w:val="normaltextrun1"/>
          <w:rFonts w:ascii="Times" w:hAnsi="Times" w:cs="Times"/>
          <w:szCs w:val="19"/>
        </w:rPr>
        <w:instrText xml:space="preserve"> REF _Ref21442765 \r \h </w:instrText>
      </w:r>
      <w:r>
        <w:rPr>
          <w:rStyle w:val="normaltextrun1"/>
          <w:rFonts w:ascii="Times" w:hAnsi="Times" w:cs="Times"/>
          <w:szCs w:val="19"/>
        </w:rPr>
      </w:r>
      <w:r>
        <w:rPr>
          <w:rStyle w:val="normaltextrun1"/>
          <w:rFonts w:ascii="Times" w:hAnsi="Times" w:cs="Times"/>
          <w:szCs w:val="19"/>
        </w:rPr>
        <w:fldChar w:fldCharType="separate"/>
      </w:r>
      <w:r>
        <w:rPr>
          <w:rStyle w:val="normaltextrun1"/>
          <w:rFonts w:ascii="Times" w:hAnsi="Times" w:cs="Times"/>
          <w:szCs w:val="19"/>
        </w:rPr>
        <w:t>BC57</w:t>
      </w:r>
      <w:r>
        <w:rPr>
          <w:rStyle w:val="normaltextrun1"/>
          <w:rFonts w:ascii="Times" w:hAnsi="Times" w:cs="Times"/>
          <w:szCs w:val="19"/>
        </w:rPr>
        <w:fldChar w:fldCharType="end"/>
      </w:r>
      <w:r w:rsidRPr="00626169">
        <w:rPr>
          <w:rStyle w:val="normaltextrun1"/>
          <w:rFonts w:ascii="Times" w:hAnsi="Times" w:cs="Times"/>
          <w:szCs w:val="19"/>
        </w:rPr>
        <w:t xml:space="preserve"> below) </w:t>
      </w:r>
      <w:r>
        <w:rPr>
          <w:rStyle w:val="normaltextrun1"/>
          <w:rFonts w:ascii="Times" w:hAnsi="Times" w:cs="Times"/>
          <w:szCs w:val="19"/>
        </w:rPr>
        <w:t>to</w:t>
      </w:r>
      <w:r w:rsidRPr="00626169">
        <w:rPr>
          <w:rStyle w:val="normaltextrun1"/>
          <w:rFonts w:ascii="Times" w:hAnsi="Times" w:cs="Times"/>
          <w:szCs w:val="19"/>
        </w:rPr>
        <w:t xml:space="preserve"> not require not-for-profit </w:t>
      </w:r>
      <w:r>
        <w:rPr>
          <w:rStyle w:val="normaltextrun1"/>
          <w:rFonts w:ascii="Times" w:hAnsi="Times" w:cs="Times"/>
          <w:szCs w:val="19"/>
        </w:rPr>
        <w:t xml:space="preserve">private sector </w:t>
      </w:r>
      <w:r w:rsidRPr="00626169">
        <w:rPr>
          <w:rStyle w:val="normaltextrun1"/>
          <w:rFonts w:ascii="Times" w:hAnsi="Times" w:cs="Times"/>
          <w:szCs w:val="19"/>
        </w:rPr>
        <w:t xml:space="preserve">entities </w:t>
      </w:r>
      <w:r>
        <w:rPr>
          <w:rStyle w:val="normaltextrun1"/>
          <w:rFonts w:ascii="Times" w:hAnsi="Times" w:cs="Times"/>
          <w:szCs w:val="19"/>
        </w:rPr>
        <w:t>to undertake more effort than they already have in regards to assessing compliance or otherwise with the recognition and measurement requirements in Australian Accounting Standards</w:t>
      </w:r>
      <w:r w:rsidRPr="00626169">
        <w:rPr>
          <w:rStyle w:val="normaltextrun1"/>
          <w:rFonts w:ascii="Times" w:hAnsi="Times" w:cs="Times"/>
          <w:szCs w:val="19"/>
        </w:rPr>
        <w:t xml:space="preserve">, as they </w:t>
      </w:r>
      <w:r>
        <w:rPr>
          <w:rStyle w:val="normaltextrun1"/>
          <w:rFonts w:ascii="Times" w:hAnsi="Times" w:cs="Times"/>
          <w:szCs w:val="19"/>
        </w:rPr>
        <w:t>could state that they</w:t>
      </w:r>
      <w:r w:rsidRPr="00626169">
        <w:rPr>
          <w:rStyle w:val="normaltextrun1"/>
          <w:rFonts w:ascii="Times" w:hAnsi="Times" w:cs="Times"/>
          <w:szCs w:val="19"/>
        </w:rPr>
        <w:t xml:space="preserve"> have not made an assessment of compliance with the recognition and measurement requirements in Australian Accounting Standards (refer paragraph</w:t>
      </w:r>
      <w:r>
        <w:rPr>
          <w:rStyle w:val="normaltextrun1"/>
          <w:rFonts w:ascii="Times" w:hAnsi="Times" w:cs="Times"/>
          <w:szCs w:val="19"/>
        </w:rPr>
        <w:t xml:space="preserve"> </w:t>
      </w:r>
      <w:r>
        <w:rPr>
          <w:rStyle w:val="normaltextrun1"/>
          <w:rFonts w:ascii="Times" w:hAnsi="Times" w:cs="Times"/>
          <w:szCs w:val="19"/>
        </w:rPr>
        <w:fldChar w:fldCharType="begin" w:fldLock="1"/>
      </w:r>
      <w:r>
        <w:rPr>
          <w:rStyle w:val="normaltextrun1"/>
          <w:rFonts w:ascii="Times" w:hAnsi="Times" w:cs="Times"/>
          <w:szCs w:val="19"/>
        </w:rPr>
        <w:instrText xml:space="preserve"> REF _Ref22214038 \r \h </w:instrText>
      </w:r>
      <w:r>
        <w:rPr>
          <w:rStyle w:val="normaltextrun1"/>
          <w:rFonts w:ascii="Times" w:hAnsi="Times" w:cs="Times"/>
          <w:szCs w:val="19"/>
        </w:rPr>
      </w:r>
      <w:r>
        <w:rPr>
          <w:rStyle w:val="normaltextrun1"/>
          <w:rFonts w:ascii="Times" w:hAnsi="Times" w:cs="Times"/>
          <w:szCs w:val="19"/>
        </w:rPr>
        <w:fldChar w:fldCharType="separate"/>
      </w:r>
      <w:r>
        <w:rPr>
          <w:rStyle w:val="normaltextrun1"/>
          <w:rFonts w:ascii="Times" w:hAnsi="Times" w:cs="Times"/>
          <w:szCs w:val="19"/>
        </w:rPr>
        <w:t>BC49</w:t>
      </w:r>
      <w:r>
        <w:rPr>
          <w:rStyle w:val="normaltextrun1"/>
          <w:rFonts w:ascii="Times" w:hAnsi="Times" w:cs="Times"/>
          <w:szCs w:val="19"/>
        </w:rPr>
        <w:fldChar w:fldCharType="end"/>
      </w:r>
      <w:r w:rsidRPr="00626169">
        <w:rPr>
          <w:rStyle w:val="normaltextrun1"/>
          <w:rFonts w:ascii="Times" w:hAnsi="Times" w:cs="Times"/>
          <w:szCs w:val="19"/>
        </w:rPr>
        <w:t>)</w:t>
      </w:r>
      <w:r>
        <w:rPr>
          <w:rStyle w:val="normaltextrun1"/>
          <w:rFonts w:ascii="Times" w:hAnsi="Times" w:cs="Times"/>
          <w:szCs w:val="19"/>
        </w:rPr>
        <w:t xml:space="preserve"> if they wish to</w:t>
      </w:r>
      <w:r w:rsidRPr="00626169">
        <w:rPr>
          <w:rStyle w:val="normaltextrun1"/>
          <w:rFonts w:ascii="Times" w:hAnsi="Times" w:cs="Times"/>
          <w:szCs w:val="19"/>
        </w:rPr>
        <w:t>. The Board acknowledged that there is less clarity regarding compliance with the recognition and measurement requirements in Australian Accounting Standards in the special purpose financial statement</w:t>
      </w:r>
      <w:r>
        <w:rPr>
          <w:rStyle w:val="normaltextrun1"/>
          <w:rFonts w:ascii="Times" w:hAnsi="Times" w:cs="Times"/>
          <w:szCs w:val="19"/>
        </w:rPr>
        <w:t>s</w:t>
      </w:r>
      <w:r w:rsidRPr="00626169">
        <w:rPr>
          <w:rStyle w:val="normaltextrun1"/>
          <w:rFonts w:ascii="Times" w:hAnsi="Times" w:cs="Times"/>
          <w:szCs w:val="19"/>
        </w:rPr>
        <w:t xml:space="preserve"> of charities and </w:t>
      </w:r>
      <w:r>
        <w:rPr>
          <w:rStyle w:val="normaltextrun1"/>
          <w:rFonts w:ascii="Times" w:hAnsi="Times" w:cs="Times"/>
          <w:szCs w:val="19"/>
        </w:rPr>
        <w:t>considered</w:t>
      </w:r>
      <w:r w:rsidRPr="00626169">
        <w:rPr>
          <w:rStyle w:val="normaltextrun1"/>
          <w:rFonts w:ascii="Times" w:hAnsi="Times" w:cs="Times"/>
          <w:szCs w:val="19"/>
        </w:rPr>
        <w:t xml:space="preserve"> that the new disclosures provide appropriate information for users without </w:t>
      </w:r>
      <w:r>
        <w:rPr>
          <w:rStyle w:val="normaltextrun1"/>
          <w:rFonts w:ascii="Times" w:hAnsi="Times" w:cs="Times"/>
          <w:szCs w:val="19"/>
        </w:rPr>
        <w:t xml:space="preserve">these </w:t>
      </w:r>
      <w:r w:rsidRPr="00626169">
        <w:rPr>
          <w:rStyle w:val="normaltextrun1"/>
          <w:rFonts w:ascii="Times" w:hAnsi="Times" w:cs="Times"/>
          <w:szCs w:val="19"/>
        </w:rPr>
        <w:t>entities incurring undue costs</w:t>
      </w:r>
      <w:r>
        <w:rPr>
          <w:rStyle w:val="normaltextrun1"/>
          <w:rFonts w:ascii="Times" w:hAnsi="Times" w:cs="Times"/>
          <w:szCs w:val="19"/>
        </w:rPr>
        <w:t xml:space="preserve">.  The Board also </w:t>
      </w:r>
      <w:r w:rsidRPr="00626169">
        <w:rPr>
          <w:rStyle w:val="normaltextrun1"/>
          <w:rFonts w:ascii="Times" w:hAnsi="Times" w:cs="Times"/>
          <w:szCs w:val="19"/>
        </w:rPr>
        <w:t xml:space="preserve">confirmed the new disclosures should apply to not-for-profit </w:t>
      </w:r>
      <w:r>
        <w:rPr>
          <w:rStyle w:val="normaltextrun1"/>
          <w:rFonts w:ascii="Times" w:hAnsi="Times" w:cs="Times"/>
          <w:szCs w:val="19"/>
        </w:rPr>
        <w:t>private sector</w:t>
      </w:r>
      <w:r w:rsidRPr="00626169">
        <w:rPr>
          <w:rStyle w:val="normaltextrun1"/>
          <w:rFonts w:ascii="Times" w:hAnsi="Times" w:cs="Times"/>
          <w:szCs w:val="19"/>
        </w:rPr>
        <w:t xml:space="preserve"> entities for annual reporting periods ending on or after 30 June 2020.</w:t>
      </w:r>
    </w:p>
    <w:p w14:paraId="5714E9BD" w14:textId="77777777" w:rsidR="007274EF" w:rsidRPr="00626169" w:rsidRDefault="007274EF" w:rsidP="00B9506E">
      <w:pPr>
        <w:pStyle w:val="NumBC1"/>
        <w:numPr>
          <w:ilvl w:val="0"/>
          <w:numId w:val="24"/>
        </w:numPr>
        <w:spacing w:before="100" w:after="0"/>
        <w:ind w:left="782" w:hanging="782"/>
        <w:rPr>
          <w:rStyle w:val="normaltextrun1"/>
        </w:rPr>
      </w:pPr>
      <w:r w:rsidRPr="00626169">
        <w:rPr>
          <w:rStyle w:val="normaltextrun1"/>
          <w:rFonts w:ascii="Times" w:hAnsi="Times" w:cs="Times"/>
          <w:szCs w:val="19"/>
        </w:rPr>
        <w:lastRenderedPageBreak/>
        <w:t xml:space="preserve">When deciding </w:t>
      </w:r>
      <w:r>
        <w:rPr>
          <w:rStyle w:val="normaltextrun1"/>
          <w:rFonts w:ascii="Times" w:hAnsi="Times" w:cs="Times"/>
          <w:szCs w:val="19"/>
        </w:rPr>
        <w:t>to</w:t>
      </w:r>
      <w:r w:rsidRPr="00626169">
        <w:rPr>
          <w:rStyle w:val="normaltextrun1"/>
          <w:rFonts w:ascii="Times" w:hAnsi="Times" w:cs="Times"/>
          <w:szCs w:val="19"/>
        </w:rPr>
        <w:t xml:space="preserve"> limit the application of this Standard to not-for-profit </w:t>
      </w:r>
      <w:r>
        <w:rPr>
          <w:rStyle w:val="normaltextrun1"/>
          <w:rFonts w:ascii="Times" w:hAnsi="Times" w:cs="Times"/>
          <w:szCs w:val="19"/>
        </w:rPr>
        <w:t>private sector</w:t>
      </w:r>
      <w:r w:rsidRPr="00626169">
        <w:rPr>
          <w:rStyle w:val="normaltextrun1"/>
          <w:rFonts w:ascii="Times" w:hAnsi="Times" w:cs="Times"/>
          <w:szCs w:val="19"/>
        </w:rPr>
        <w:t xml:space="preserve"> entities only, the Board noted feedback from respondents to ED 293 </w:t>
      </w:r>
      <w:r>
        <w:rPr>
          <w:rStyle w:val="normaltextrun1"/>
          <w:rFonts w:ascii="Times" w:hAnsi="Times" w:cs="Times"/>
          <w:szCs w:val="19"/>
        </w:rPr>
        <w:t xml:space="preserve">(refer paragraph </w:t>
      </w:r>
      <w:r>
        <w:rPr>
          <w:rStyle w:val="normaltextrun1"/>
          <w:rFonts w:ascii="Times" w:hAnsi="Times" w:cs="Times"/>
          <w:szCs w:val="19"/>
        </w:rPr>
        <w:fldChar w:fldCharType="begin" w:fldLock="1"/>
      </w:r>
      <w:r>
        <w:rPr>
          <w:rStyle w:val="normaltextrun1"/>
          <w:rFonts w:ascii="Times" w:hAnsi="Times" w:cs="Times"/>
          <w:szCs w:val="19"/>
        </w:rPr>
        <w:instrText xml:space="preserve"> REF _Ref22214167 \r \h </w:instrText>
      </w:r>
      <w:r>
        <w:rPr>
          <w:rStyle w:val="normaltextrun1"/>
          <w:rFonts w:ascii="Times" w:hAnsi="Times" w:cs="Times"/>
          <w:szCs w:val="19"/>
        </w:rPr>
      </w:r>
      <w:r>
        <w:rPr>
          <w:rStyle w:val="normaltextrun1"/>
          <w:rFonts w:ascii="Times" w:hAnsi="Times" w:cs="Times"/>
          <w:szCs w:val="19"/>
        </w:rPr>
        <w:fldChar w:fldCharType="separate"/>
      </w:r>
      <w:r>
        <w:rPr>
          <w:rStyle w:val="normaltextrun1"/>
          <w:rFonts w:ascii="Times" w:hAnsi="Times" w:cs="Times"/>
          <w:szCs w:val="19"/>
        </w:rPr>
        <w:t>BC43</w:t>
      </w:r>
      <w:r>
        <w:rPr>
          <w:rStyle w:val="normaltextrun1"/>
          <w:rFonts w:ascii="Times" w:hAnsi="Times" w:cs="Times"/>
          <w:szCs w:val="19"/>
        </w:rPr>
        <w:fldChar w:fldCharType="end"/>
      </w:r>
      <w:r>
        <w:rPr>
          <w:rStyle w:val="normaltextrun1"/>
          <w:rFonts w:ascii="Times" w:hAnsi="Times" w:cs="Times"/>
          <w:szCs w:val="19"/>
        </w:rPr>
        <w:t xml:space="preserve"> above) </w:t>
      </w:r>
      <w:r w:rsidRPr="00626169">
        <w:rPr>
          <w:rStyle w:val="normaltextrun1"/>
          <w:rFonts w:ascii="Times" w:hAnsi="Times" w:cs="Times"/>
          <w:szCs w:val="19"/>
        </w:rPr>
        <w:t xml:space="preserve">that </w:t>
      </w:r>
      <w:r w:rsidRPr="006C1EC1">
        <w:rPr>
          <w:rStyle w:val="normaltextrun1"/>
          <w:rFonts w:ascii="Times" w:hAnsi="Times" w:cs="Times"/>
          <w:szCs w:val="19"/>
        </w:rPr>
        <w:t xml:space="preserve">if the </w:t>
      </w:r>
      <w:r w:rsidRPr="00626169">
        <w:rPr>
          <w:rStyle w:val="normaltextrun1"/>
          <w:rFonts w:ascii="Times" w:hAnsi="Times" w:cs="Times"/>
          <w:szCs w:val="19"/>
        </w:rPr>
        <w:t xml:space="preserve">proposals in ED 297 </w:t>
      </w:r>
      <w:r w:rsidRPr="00626169">
        <w:rPr>
          <w:rStyle w:val="normaltextrun1"/>
          <w:rFonts w:ascii="Times" w:hAnsi="Times" w:cs="Times"/>
          <w:i/>
          <w:iCs/>
          <w:szCs w:val="19"/>
        </w:rPr>
        <w:t>Removal of Special Purpose Financial Statements for Certain For-Profit Private Sector Entities</w:t>
      </w:r>
      <w:r w:rsidRPr="006C1EC1">
        <w:rPr>
          <w:rStyle w:val="normaltextrun1"/>
          <w:rFonts w:ascii="Times" w:hAnsi="Times" w:cs="Times"/>
          <w:szCs w:val="19"/>
        </w:rPr>
        <w:t xml:space="preserve"> </w:t>
      </w:r>
      <w:r w:rsidRPr="00626169">
        <w:rPr>
          <w:rStyle w:val="normaltextrun1"/>
          <w:rFonts w:ascii="Times" w:hAnsi="Times" w:cs="Times"/>
          <w:szCs w:val="19"/>
        </w:rPr>
        <w:t xml:space="preserve">to remove the ability for certain for-profit private sector entities to prepare special purpose financial statements are finalised </w:t>
      </w:r>
      <w:r>
        <w:rPr>
          <w:rStyle w:val="normaltextrun1"/>
          <w:rFonts w:ascii="Times" w:hAnsi="Times" w:cs="Times"/>
          <w:szCs w:val="19"/>
        </w:rPr>
        <w:t>as proposed, so that they are effective for</w:t>
      </w:r>
      <w:r w:rsidRPr="00626169">
        <w:rPr>
          <w:rStyle w:val="normaltextrun1"/>
          <w:rFonts w:ascii="Times" w:hAnsi="Times" w:cs="Times"/>
          <w:szCs w:val="19"/>
        </w:rPr>
        <w:t xml:space="preserve"> </w:t>
      </w:r>
      <w:r>
        <w:rPr>
          <w:rStyle w:val="normaltextrun1"/>
          <w:rFonts w:ascii="Times" w:hAnsi="Times" w:cs="Times"/>
          <w:szCs w:val="19"/>
        </w:rPr>
        <w:t xml:space="preserve">annual reporting periods beginning on or after 1 July </w:t>
      </w:r>
      <w:r w:rsidRPr="00626169">
        <w:rPr>
          <w:rStyle w:val="normaltextrun1"/>
          <w:rFonts w:ascii="Times" w:hAnsi="Times" w:cs="Times"/>
          <w:szCs w:val="19"/>
        </w:rPr>
        <w:t xml:space="preserve">2020, the requirements of this Standard would only be </w:t>
      </w:r>
      <w:r>
        <w:rPr>
          <w:rStyle w:val="normaltextrun1"/>
          <w:rFonts w:ascii="Times" w:hAnsi="Times" w:cs="Times"/>
          <w:szCs w:val="19"/>
        </w:rPr>
        <w:t xml:space="preserve">relevant </w:t>
      </w:r>
      <w:r w:rsidRPr="00626169">
        <w:rPr>
          <w:rStyle w:val="normaltextrun1"/>
          <w:rFonts w:ascii="Times" w:hAnsi="Times" w:cs="Times"/>
          <w:szCs w:val="19"/>
        </w:rPr>
        <w:t>for a short period of time</w:t>
      </w:r>
      <w:r>
        <w:rPr>
          <w:rStyle w:val="normaltextrun1"/>
          <w:rFonts w:ascii="Times" w:hAnsi="Times" w:cs="Times"/>
          <w:szCs w:val="19"/>
        </w:rPr>
        <w:t xml:space="preserve"> for</w:t>
      </w:r>
      <w:r w:rsidRPr="00952D74">
        <w:rPr>
          <w:rStyle w:val="normaltextrun1"/>
          <w:rFonts w:ascii="Times" w:hAnsi="Times" w:cs="Times"/>
          <w:szCs w:val="19"/>
        </w:rPr>
        <w:t xml:space="preserve"> </w:t>
      </w:r>
      <w:r>
        <w:rPr>
          <w:rStyle w:val="normaltextrun1"/>
          <w:rFonts w:ascii="Times" w:hAnsi="Times" w:cs="Times"/>
          <w:szCs w:val="19"/>
        </w:rPr>
        <w:t xml:space="preserve">these </w:t>
      </w:r>
      <w:r w:rsidRPr="00952D74">
        <w:rPr>
          <w:rStyle w:val="normaltextrun1"/>
          <w:rFonts w:ascii="Times" w:hAnsi="Times" w:cs="Times"/>
          <w:szCs w:val="19"/>
        </w:rPr>
        <w:t>for-profit private sector entities</w:t>
      </w:r>
      <w:r>
        <w:rPr>
          <w:rStyle w:val="normaltextrun1"/>
          <w:rFonts w:ascii="Times" w:hAnsi="Times" w:cs="Times"/>
          <w:szCs w:val="19"/>
        </w:rPr>
        <w:t xml:space="preserve">. The Board </w:t>
      </w:r>
      <w:r w:rsidRPr="00626169">
        <w:rPr>
          <w:rStyle w:val="normaltextrun1"/>
          <w:rFonts w:ascii="Times" w:hAnsi="Times" w:cs="Times"/>
          <w:szCs w:val="19"/>
        </w:rPr>
        <w:t xml:space="preserve">therefore </w:t>
      </w:r>
      <w:r>
        <w:rPr>
          <w:rStyle w:val="normaltextrun1"/>
          <w:rFonts w:ascii="Times" w:hAnsi="Times" w:cs="Times"/>
          <w:szCs w:val="19"/>
        </w:rPr>
        <w:t xml:space="preserve">considered that </w:t>
      </w:r>
      <w:r w:rsidRPr="00626169">
        <w:rPr>
          <w:rStyle w:val="normaltextrun1"/>
          <w:rFonts w:ascii="Times" w:hAnsi="Times" w:cs="Times"/>
          <w:szCs w:val="19"/>
        </w:rPr>
        <w:t xml:space="preserve">the costs to prepare the disclosures </w:t>
      </w:r>
      <w:r>
        <w:rPr>
          <w:rStyle w:val="normaltextrun1"/>
          <w:rFonts w:ascii="Times" w:hAnsi="Times" w:cs="Times"/>
          <w:szCs w:val="19"/>
        </w:rPr>
        <w:t xml:space="preserve">in this Standard for these for-profit private sector entities </w:t>
      </w:r>
      <w:r w:rsidRPr="00626169">
        <w:rPr>
          <w:rStyle w:val="normaltextrun1"/>
          <w:rFonts w:ascii="Times" w:hAnsi="Times" w:cs="Times"/>
          <w:szCs w:val="19"/>
        </w:rPr>
        <w:t>would arguably outweigh the benefits. If however the proposals in ED</w:t>
      </w:r>
      <w:r>
        <w:rPr>
          <w:rStyle w:val="normaltextrun1"/>
          <w:rFonts w:ascii="Times" w:hAnsi="Times" w:cs="Times"/>
          <w:szCs w:val="19"/>
        </w:rPr>
        <w:t> </w:t>
      </w:r>
      <w:r w:rsidRPr="00626169">
        <w:rPr>
          <w:rStyle w:val="normaltextrun1"/>
          <w:rFonts w:ascii="Times" w:hAnsi="Times" w:cs="Times"/>
          <w:szCs w:val="19"/>
        </w:rPr>
        <w:t xml:space="preserve">297 are not finalised as proposed, the Board will reconsider </w:t>
      </w:r>
      <w:r>
        <w:rPr>
          <w:rStyle w:val="normaltextrun1"/>
          <w:rFonts w:ascii="Times" w:hAnsi="Times" w:cs="Times"/>
          <w:szCs w:val="19"/>
        </w:rPr>
        <w:t>the application of the requirements in this Standard for for-profit private sector entities</w:t>
      </w:r>
      <w:r w:rsidRPr="00626169">
        <w:rPr>
          <w:rStyle w:val="normaltextrun1"/>
          <w:rFonts w:ascii="Times" w:hAnsi="Times" w:cs="Times"/>
          <w:szCs w:val="19"/>
        </w:rPr>
        <w:t>.</w:t>
      </w:r>
    </w:p>
    <w:p w14:paraId="5857E6A1" w14:textId="77777777" w:rsidR="007274EF" w:rsidRPr="00CB2705" w:rsidRDefault="007274EF" w:rsidP="00CB2705">
      <w:pPr>
        <w:pStyle w:val="IASBSectionTitle3Ind"/>
      </w:pPr>
      <w:r w:rsidRPr="00CB2705">
        <w:t xml:space="preserve">Disclosure requirements </w:t>
      </w:r>
    </w:p>
    <w:p w14:paraId="3F3788B4" w14:textId="77777777" w:rsidR="007274EF" w:rsidRPr="00626169" w:rsidRDefault="007274EF" w:rsidP="00B9506E">
      <w:pPr>
        <w:pStyle w:val="NumBC1"/>
        <w:numPr>
          <w:ilvl w:val="0"/>
          <w:numId w:val="24"/>
        </w:numPr>
        <w:spacing w:before="100" w:after="0"/>
        <w:ind w:left="782" w:hanging="782"/>
        <w:rPr>
          <w:rStyle w:val="normaltextrun1"/>
          <w:rFonts w:ascii="Times" w:hAnsi="Times" w:cs="Times"/>
          <w:szCs w:val="19"/>
        </w:rPr>
      </w:pPr>
      <w:bookmarkStart w:id="65" w:name="_Ref21423742"/>
      <w:bookmarkStart w:id="66" w:name="_Ref21442760"/>
      <w:r w:rsidRPr="00626169">
        <w:rPr>
          <w:rStyle w:val="normaltextrun1"/>
          <w:rFonts w:ascii="Times" w:hAnsi="Times" w:cs="Times"/>
          <w:szCs w:val="19"/>
        </w:rPr>
        <w:t xml:space="preserve">In order to </w:t>
      </w:r>
      <w:r>
        <w:rPr>
          <w:rStyle w:val="normaltextrun1"/>
          <w:rFonts w:ascii="Times" w:hAnsi="Times" w:cs="Times"/>
          <w:szCs w:val="19"/>
        </w:rPr>
        <w:t>simplify</w:t>
      </w:r>
      <w:r w:rsidRPr="00626169">
        <w:rPr>
          <w:rStyle w:val="normaltextrun1"/>
          <w:rFonts w:ascii="Times" w:hAnsi="Times" w:cs="Times"/>
          <w:szCs w:val="19"/>
        </w:rPr>
        <w:t xml:space="preserve"> the new disclosures and </w:t>
      </w:r>
      <w:r>
        <w:rPr>
          <w:rStyle w:val="normaltextrun1"/>
          <w:rFonts w:ascii="Times" w:hAnsi="Times" w:cs="Times"/>
          <w:szCs w:val="19"/>
        </w:rPr>
        <w:t xml:space="preserve">minimise </w:t>
      </w:r>
      <w:r w:rsidRPr="00626169">
        <w:rPr>
          <w:rStyle w:val="normaltextrun1"/>
          <w:rFonts w:ascii="Times" w:hAnsi="Times" w:cs="Times"/>
          <w:szCs w:val="19"/>
        </w:rPr>
        <w:t xml:space="preserve">any possible burden associated with preparing the new disclosures, the Board decided to amend the disclosure requirements to adopt a two-step approach </w:t>
      </w:r>
      <w:bookmarkEnd w:id="65"/>
      <w:r w:rsidRPr="00626169">
        <w:rPr>
          <w:rStyle w:val="normaltextrun1"/>
          <w:rFonts w:ascii="Times" w:hAnsi="Times" w:cs="Times"/>
          <w:szCs w:val="19"/>
        </w:rPr>
        <w:t>to assessing and disclosing compliance with the recognition and measurement requirements in Australian Accounting Standards and also clarified a number of other aspects of the disclosure requirements.</w:t>
      </w:r>
      <w:bookmarkEnd w:id="66"/>
    </w:p>
    <w:p w14:paraId="50842F8A" w14:textId="7218AF45" w:rsidR="007274EF" w:rsidRPr="006D44FE" w:rsidRDefault="007274EF" w:rsidP="00B9506E">
      <w:pPr>
        <w:pStyle w:val="NumBC1"/>
        <w:numPr>
          <w:ilvl w:val="0"/>
          <w:numId w:val="24"/>
        </w:numPr>
        <w:spacing w:before="100" w:after="0"/>
        <w:ind w:left="782" w:hanging="782"/>
        <w:rPr>
          <w:rStyle w:val="normaltextrun1"/>
          <w:rFonts w:ascii="Times" w:hAnsi="Times" w:cs="Times"/>
          <w:szCs w:val="19"/>
        </w:rPr>
      </w:pPr>
      <w:bookmarkStart w:id="67" w:name="_Ref21443323"/>
      <w:bookmarkStart w:id="68" w:name="_Ref22214038"/>
      <w:r w:rsidRPr="006D44FE">
        <w:rPr>
          <w:rStyle w:val="normaltextrun1"/>
          <w:rFonts w:ascii="Times" w:hAnsi="Times" w:cs="Times"/>
          <w:szCs w:val="19"/>
        </w:rPr>
        <w:t xml:space="preserve">The Board decided that not-for-profit </w:t>
      </w:r>
      <w:r>
        <w:rPr>
          <w:rStyle w:val="normaltextrun1"/>
          <w:rFonts w:ascii="Times" w:hAnsi="Times" w:cs="Times"/>
          <w:szCs w:val="19"/>
        </w:rPr>
        <w:t>private sector</w:t>
      </w:r>
      <w:r w:rsidRPr="006D44FE">
        <w:rPr>
          <w:rStyle w:val="normaltextrun1"/>
          <w:rFonts w:ascii="Times" w:hAnsi="Times" w:cs="Times"/>
          <w:szCs w:val="19"/>
        </w:rPr>
        <w:t xml:space="preserve"> entities </w:t>
      </w:r>
      <w:r>
        <w:rPr>
          <w:rStyle w:val="normaltextrun1"/>
          <w:rFonts w:ascii="Times" w:hAnsi="Times" w:cs="Times"/>
          <w:szCs w:val="19"/>
        </w:rPr>
        <w:t xml:space="preserve">required to apply this Standard </w:t>
      </w:r>
      <w:r w:rsidRPr="006D44FE">
        <w:rPr>
          <w:rStyle w:val="normaltextrun1"/>
          <w:rFonts w:ascii="Times" w:hAnsi="Times" w:cs="Times"/>
          <w:szCs w:val="19"/>
        </w:rPr>
        <w:t>should</w:t>
      </w:r>
      <w:r>
        <w:rPr>
          <w:rStyle w:val="normaltextrun1"/>
          <w:rFonts w:ascii="Times" w:hAnsi="Times" w:cs="Times"/>
          <w:szCs w:val="19"/>
        </w:rPr>
        <w:t xml:space="preserve"> assess</w:t>
      </w:r>
      <w:r>
        <w:rPr>
          <w:rStyle w:val="normaltextrun1"/>
          <w:szCs w:val="19"/>
        </w:rPr>
        <w:t xml:space="preserve">, </w:t>
      </w:r>
      <w:r w:rsidRPr="006D44FE">
        <w:rPr>
          <w:rStyle w:val="normaltextrun1"/>
          <w:szCs w:val="19"/>
        </w:rPr>
        <w:t xml:space="preserve">for each </w:t>
      </w:r>
      <w:r>
        <w:rPr>
          <w:rStyle w:val="normaltextrun1"/>
          <w:szCs w:val="19"/>
        </w:rPr>
        <w:t xml:space="preserve">material </w:t>
      </w:r>
      <w:r w:rsidRPr="006D44FE">
        <w:rPr>
          <w:rStyle w:val="normaltextrun1"/>
          <w:szCs w:val="19"/>
        </w:rPr>
        <w:t>accounting policy</w:t>
      </w:r>
      <w:r>
        <w:rPr>
          <w:rStyle w:val="normaltextrun1"/>
          <w:szCs w:val="19"/>
        </w:rPr>
        <w:t xml:space="preserve"> applied and</w:t>
      </w:r>
      <w:r w:rsidRPr="006D44FE">
        <w:rPr>
          <w:rStyle w:val="normaltextrun1"/>
          <w:szCs w:val="19"/>
        </w:rPr>
        <w:t xml:space="preserve"> disclosed in the special purpose financial statements, </w:t>
      </w:r>
      <w:r>
        <w:rPr>
          <w:rStyle w:val="normaltextrun1"/>
          <w:szCs w:val="19"/>
        </w:rPr>
        <w:t>whether</w:t>
      </w:r>
      <w:r w:rsidRPr="006D44FE">
        <w:rPr>
          <w:rStyle w:val="normaltextrun1"/>
          <w:szCs w:val="19"/>
        </w:rPr>
        <w:t xml:space="preserve"> the policy</w:t>
      </w:r>
      <w:r>
        <w:rPr>
          <w:rStyle w:val="normaltextrun1"/>
          <w:szCs w:val="19"/>
        </w:rPr>
        <w:t xml:space="preserve"> does not</w:t>
      </w:r>
      <w:r w:rsidRPr="006D44FE">
        <w:rPr>
          <w:rStyle w:val="normaltextrun1"/>
          <w:szCs w:val="19"/>
        </w:rPr>
        <w:t xml:space="preserve"> compl</w:t>
      </w:r>
      <w:r>
        <w:rPr>
          <w:rStyle w:val="normaltextrun1"/>
          <w:szCs w:val="19"/>
        </w:rPr>
        <w:t>y</w:t>
      </w:r>
      <w:r w:rsidRPr="006D44FE">
        <w:rPr>
          <w:rStyle w:val="normaltextrun1"/>
          <w:szCs w:val="19"/>
        </w:rPr>
        <w:t xml:space="preserve"> with the recognition and measurement requirements</w:t>
      </w:r>
      <w:r>
        <w:rPr>
          <w:rStyle w:val="normaltextrun1"/>
          <w:szCs w:val="19"/>
        </w:rPr>
        <w:t xml:space="preserve"> </w:t>
      </w:r>
      <w:r w:rsidRPr="006D44FE">
        <w:rPr>
          <w:rStyle w:val="normaltextrun1"/>
          <w:szCs w:val="19"/>
        </w:rPr>
        <w:t>in Australian Accounting Standards</w:t>
      </w:r>
      <w:r>
        <w:rPr>
          <w:rStyle w:val="normaltextrun1"/>
          <w:szCs w:val="19"/>
        </w:rPr>
        <w:t xml:space="preserve"> </w:t>
      </w:r>
      <w:r w:rsidRPr="006D44FE">
        <w:rPr>
          <w:szCs w:val="19"/>
        </w:rPr>
        <w:t xml:space="preserve">(except for requirements set out in AASB 10 or AASB 128 </w:t>
      </w:r>
      <w:r w:rsidRPr="006D44FE">
        <w:rPr>
          <w:i/>
          <w:szCs w:val="19"/>
        </w:rPr>
        <w:t>Investments in Associates and Joint Ventures</w:t>
      </w:r>
      <w:r w:rsidRPr="006D44FE">
        <w:rPr>
          <w:szCs w:val="19"/>
        </w:rPr>
        <w:t>)</w:t>
      </w:r>
      <w:r w:rsidRPr="006D44FE">
        <w:rPr>
          <w:rStyle w:val="normaltextrun1"/>
          <w:szCs w:val="19"/>
        </w:rPr>
        <w:t xml:space="preserve">.  </w:t>
      </w:r>
      <w:r>
        <w:rPr>
          <w:rStyle w:val="normaltextrun1"/>
          <w:szCs w:val="19"/>
        </w:rPr>
        <w:t xml:space="preserve">If a material accounting policy does not comply with the recognition and measurement requirements in Australian Accounting Standards </w:t>
      </w:r>
      <w:r w:rsidRPr="00D2700E">
        <w:rPr>
          <w:szCs w:val="19"/>
        </w:rPr>
        <w:t>(except for requirements set out in AASB 10 or AASB</w:t>
      </w:r>
      <w:r w:rsidR="005767AA">
        <w:rPr>
          <w:szCs w:val="19"/>
        </w:rPr>
        <w:t> </w:t>
      </w:r>
      <w:r w:rsidRPr="00D2700E">
        <w:rPr>
          <w:szCs w:val="19"/>
        </w:rPr>
        <w:t>128)</w:t>
      </w:r>
      <w:r>
        <w:rPr>
          <w:rStyle w:val="normaltextrun1"/>
          <w:szCs w:val="19"/>
        </w:rPr>
        <w:t>, that fact shall be disclosed with a</w:t>
      </w:r>
      <w:r w:rsidRPr="006D44FE">
        <w:rPr>
          <w:rStyle w:val="normaltextrun1"/>
          <w:szCs w:val="19"/>
        </w:rPr>
        <w:t xml:space="preserve">n indication of </w:t>
      </w:r>
      <w:r>
        <w:rPr>
          <w:rStyle w:val="normaltextrun1"/>
          <w:szCs w:val="19"/>
        </w:rPr>
        <w:t>how it does not comply</w:t>
      </w:r>
      <w:r w:rsidRPr="006D44FE">
        <w:rPr>
          <w:rStyle w:val="normaltextrun1"/>
          <w:szCs w:val="19"/>
        </w:rPr>
        <w:t xml:space="preserve">.  Alternatively, </w:t>
      </w:r>
      <w:r>
        <w:rPr>
          <w:rStyle w:val="normaltextrun1"/>
          <w:szCs w:val="19"/>
        </w:rPr>
        <w:t xml:space="preserve">if </w:t>
      </w:r>
      <w:r w:rsidRPr="006D44FE">
        <w:rPr>
          <w:rStyle w:val="normaltextrun1"/>
          <w:szCs w:val="19"/>
        </w:rPr>
        <w:t xml:space="preserve">a not-for-profit </w:t>
      </w:r>
      <w:r>
        <w:rPr>
          <w:rStyle w:val="normaltextrun1"/>
          <w:szCs w:val="19"/>
        </w:rPr>
        <w:t xml:space="preserve">private sector </w:t>
      </w:r>
      <w:r w:rsidRPr="006D44FE">
        <w:rPr>
          <w:rStyle w:val="normaltextrun1"/>
          <w:szCs w:val="19"/>
        </w:rPr>
        <w:t xml:space="preserve">entity </w:t>
      </w:r>
      <w:r>
        <w:rPr>
          <w:rStyle w:val="normaltextrun1"/>
          <w:szCs w:val="19"/>
        </w:rPr>
        <w:t>has not made</w:t>
      </w:r>
      <w:r w:rsidRPr="006D44FE">
        <w:rPr>
          <w:rStyle w:val="normaltextrun1"/>
          <w:szCs w:val="19"/>
        </w:rPr>
        <w:t xml:space="preserve"> this assessment, </w:t>
      </w:r>
      <w:r>
        <w:rPr>
          <w:rStyle w:val="normaltextrun1"/>
          <w:szCs w:val="19"/>
        </w:rPr>
        <w:t xml:space="preserve">it should </w:t>
      </w:r>
      <w:r w:rsidRPr="006D44FE">
        <w:rPr>
          <w:rStyle w:val="normaltextrun1"/>
          <w:rFonts w:ascii="Times" w:hAnsi="Times" w:cs="Times"/>
          <w:szCs w:val="19"/>
        </w:rPr>
        <w:t>disclose th</w:t>
      </w:r>
      <w:r>
        <w:rPr>
          <w:rStyle w:val="normaltextrun1"/>
          <w:rFonts w:ascii="Times" w:hAnsi="Times" w:cs="Times"/>
          <w:szCs w:val="19"/>
        </w:rPr>
        <w:t>at</w:t>
      </w:r>
      <w:r w:rsidRPr="006D44FE">
        <w:rPr>
          <w:rStyle w:val="normaltextrun1"/>
          <w:rFonts w:ascii="Times" w:hAnsi="Times" w:cs="Times"/>
          <w:szCs w:val="19"/>
        </w:rPr>
        <w:t xml:space="preserve"> fact.</w:t>
      </w:r>
      <w:bookmarkEnd w:id="67"/>
      <w:bookmarkEnd w:id="68"/>
    </w:p>
    <w:p w14:paraId="7A20AC47" w14:textId="77777777" w:rsidR="007274EF" w:rsidRPr="00851927" w:rsidRDefault="007274EF" w:rsidP="00B9506E">
      <w:pPr>
        <w:pStyle w:val="NumBC1"/>
        <w:numPr>
          <w:ilvl w:val="0"/>
          <w:numId w:val="24"/>
        </w:numPr>
        <w:spacing w:before="100" w:after="0"/>
        <w:ind w:left="782" w:hanging="782"/>
        <w:rPr>
          <w:rStyle w:val="normaltextrun1"/>
          <w:rFonts w:ascii="Times" w:hAnsi="Times" w:cs="Times"/>
          <w:szCs w:val="19"/>
        </w:rPr>
      </w:pPr>
      <w:r w:rsidRPr="00851927">
        <w:rPr>
          <w:rStyle w:val="normaltextrun1"/>
          <w:rFonts w:ascii="Times" w:hAnsi="Times" w:cs="Times"/>
          <w:szCs w:val="19"/>
        </w:rPr>
        <w:t xml:space="preserve">After </w:t>
      </w:r>
      <w:r>
        <w:rPr>
          <w:rStyle w:val="normaltextrun1"/>
          <w:rFonts w:ascii="Times" w:hAnsi="Times" w:cs="Times"/>
          <w:szCs w:val="19"/>
        </w:rPr>
        <w:t>making the disclosures</w:t>
      </w:r>
      <w:r w:rsidRPr="00851927">
        <w:rPr>
          <w:rStyle w:val="normaltextrun1"/>
          <w:rFonts w:ascii="Times" w:hAnsi="Times" w:cs="Times"/>
          <w:szCs w:val="19"/>
        </w:rPr>
        <w:t xml:space="preserve"> noted in paragraph</w:t>
      </w:r>
      <w:r>
        <w:rPr>
          <w:rStyle w:val="normaltextrun1"/>
          <w:rFonts w:ascii="Times" w:hAnsi="Times" w:cs="Times"/>
          <w:szCs w:val="19"/>
        </w:rPr>
        <w:t xml:space="preserve"> </w:t>
      </w:r>
      <w:r>
        <w:rPr>
          <w:rStyle w:val="normaltextrun1"/>
          <w:rFonts w:ascii="Times" w:hAnsi="Times" w:cs="Times"/>
          <w:szCs w:val="19"/>
        </w:rPr>
        <w:fldChar w:fldCharType="begin" w:fldLock="1"/>
      </w:r>
      <w:r>
        <w:rPr>
          <w:rStyle w:val="normaltextrun1"/>
          <w:rFonts w:ascii="Times" w:hAnsi="Times" w:cs="Times"/>
          <w:szCs w:val="19"/>
        </w:rPr>
        <w:instrText xml:space="preserve"> REF _Ref21443323 \r \h </w:instrText>
      </w:r>
      <w:r>
        <w:rPr>
          <w:rStyle w:val="normaltextrun1"/>
          <w:rFonts w:ascii="Times" w:hAnsi="Times" w:cs="Times"/>
          <w:szCs w:val="19"/>
        </w:rPr>
      </w:r>
      <w:r>
        <w:rPr>
          <w:rStyle w:val="normaltextrun1"/>
          <w:rFonts w:ascii="Times" w:hAnsi="Times" w:cs="Times"/>
          <w:szCs w:val="19"/>
        </w:rPr>
        <w:fldChar w:fldCharType="separate"/>
      </w:r>
      <w:r>
        <w:rPr>
          <w:rStyle w:val="normaltextrun1"/>
          <w:rFonts w:ascii="Times" w:hAnsi="Times" w:cs="Times"/>
          <w:szCs w:val="19"/>
        </w:rPr>
        <w:t>BC49</w:t>
      </w:r>
      <w:r>
        <w:rPr>
          <w:rStyle w:val="normaltextrun1"/>
          <w:rFonts w:ascii="Times" w:hAnsi="Times" w:cs="Times"/>
          <w:szCs w:val="19"/>
        </w:rPr>
        <w:fldChar w:fldCharType="end"/>
      </w:r>
      <w:r w:rsidRPr="00851927">
        <w:rPr>
          <w:rStyle w:val="normaltextrun1"/>
          <w:rFonts w:ascii="Times" w:hAnsi="Times" w:cs="Times"/>
          <w:szCs w:val="19"/>
        </w:rPr>
        <w:t xml:space="preserve">, the not-for-profit </w:t>
      </w:r>
      <w:r>
        <w:rPr>
          <w:rStyle w:val="normaltextrun1"/>
          <w:rFonts w:ascii="Times" w:hAnsi="Times" w:cs="Times"/>
          <w:szCs w:val="19"/>
        </w:rPr>
        <w:t xml:space="preserve">private sector </w:t>
      </w:r>
      <w:r w:rsidRPr="00851927">
        <w:rPr>
          <w:rStyle w:val="normaltextrun1"/>
          <w:rFonts w:ascii="Times" w:hAnsi="Times" w:cs="Times"/>
          <w:szCs w:val="19"/>
        </w:rPr>
        <w:t xml:space="preserve">entity will then disclose, whether the financial statements </w:t>
      </w:r>
      <w:r>
        <w:rPr>
          <w:rStyle w:val="normaltextrun1"/>
          <w:rFonts w:ascii="Times" w:hAnsi="Times" w:cs="Times"/>
          <w:szCs w:val="19"/>
        </w:rPr>
        <w:t>overall</w:t>
      </w:r>
      <w:r w:rsidRPr="00851927">
        <w:rPr>
          <w:rStyle w:val="normaltextrun1"/>
          <w:rFonts w:ascii="Times" w:hAnsi="Times" w:cs="Times"/>
          <w:szCs w:val="19"/>
        </w:rPr>
        <w:t>:</w:t>
      </w:r>
    </w:p>
    <w:p w14:paraId="527E1641" w14:textId="77777777" w:rsidR="007274EF" w:rsidRPr="00851927" w:rsidRDefault="007274EF" w:rsidP="00B9506E">
      <w:pPr>
        <w:pStyle w:val="Default"/>
        <w:numPr>
          <w:ilvl w:val="0"/>
          <w:numId w:val="25"/>
        </w:numPr>
        <w:spacing w:before="100"/>
        <w:ind w:left="1564" w:hanging="782"/>
        <w:jc w:val="both"/>
        <w:rPr>
          <w:rStyle w:val="normaltextrun1"/>
          <w:szCs w:val="19"/>
        </w:rPr>
      </w:pPr>
      <w:r w:rsidRPr="00851927">
        <w:rPr>
          <w:rStyle w:val="normaltextrun1"/>
          <w:sz w:val="19"/>
          <w:szCs w:val="19"/>
        </w:rPr>
        <w:t>comply with the recognition and measurement requirements in Australian Accounting Standards</w:t>
      </w:r>
      <w:r>
        <w:rPr>
          <w:rStyle w:val="normaltextrun1"/>
          <w:sz w:val="19"/>
          <w:szCs w:val="19"/>
        </w:rPr>
        <w:t xml:space="preserve"> </w:t>
      </w:r>
      <w:r w:rsidRPr="00851927">
        <w:rPr>
          <w:sz w:val="19"/>
          <w:szCs w:val="19"/>
        </w:rPr>
        <w:t>(except for requirements set out in AASB 10 or AASB 128)</w:t>
      </w:r>
      <w:r>
        <w:rPr>
          <w:rStyle w:val="normaltextrun1"/>
          <w:sz w:val="19"/>
          <w:szCs w:val="19"/>
        </w:rPr>
        <w:t xml:space="preserve"> -</w:t>
      </w:r>
      <w:r w:rsidRPr="00851927">
        <w:rPr>
          <w:rStyle w:val="normaltextrun1"/>
          <w:sz w:val="19"/>
          <w:szCs w:val="19"/>
        </w:rPr>
        <w:t xml:space="preserve"> that is there are no </w:t>
      </w:r>
      <w:r>
        <w:rPr>
          <w:rStyle w:val="normaltextrun1"/>
          <w:sz w:val="19"/>
          <w:szCs w:val="19"/>
        </w:rPr>
        <w:t xml:space="preserve">material </w:t>
      </w:r>
      <w:r w:rsidRPr="00851927">
        <w:rPr>
          <w:rStyle w:val="normaltextrun1"/>
          <w:sz w:val="19"/>
          <w:szCs w:val="19"/>
        </w:rPr>
        <w:t>accounting policies disclosed in the special purpose financial statements</w:t>
      </w:r>
      <w:r>
        <w:rPr>
          <w:rStyle w:val="normaltextrun1"/>
          <w:sz w:val="19"/>
          <w:szCs w:val="19"/>
        </w:rPr>
        <w:t xml:space="preserve"> that would not comply and have not been assessed in respect of </w:t>
      </w:r>
      <w:r w:rsidRPr="002638C0">
        <w:rPr>
          <w:rStyle w:val="normaltextrun1"/>
          <w:sz w:val="19"/>
          <w:szCs w:val="19"/>
        </w:rPr>
        <w:t>the recognition and measurement requirements in Australian Accounting Standards</w:t>
      </w:r>
      <w:r>
        <w:rPr>
          <w:rStyle w:val="normaltextrun1"/>
          <w:sz w:val="19"/>
          <w:szCs w:val="19"/>
        </w:rPr>
        <w:t xml:space="preserve"> </w:t>
      </w:r>
      <w:r w:rsidRPr="002638C0">
        <w:rPr>
          <w:sz w:val="19"/>
          <w:szCs w:val="19"/>
        </w:rPr>
        <w:t>(except for requirements set out in AASB 10 or AASB 128)</w:t>
      </w:r>
      <w:r w:rsidRPr="00851927">
        <w:rPr>
          <w:rStyle w:val="normaltextrun1"/>
          <w:sz w:val="19"/>
          <w:szCs w:val="19"/>
        </w:rPr>
        <w:t>;</w:t>
      </w:r>
    </w:p>
    <w:p w14:paraId="4A289C32" w14:textId="77777777" w:rsidR="007274EF" w:rsidRPr="00851927" w:rsidRDefault="007274EF" w:rsidP="00B9506E">
      <w:pPr>
        <w:pStyle w:val="Default"/>
        <w:numPr>
          <w:ilvl w:val="0"/>
          <w:numId w:val="25"/>
        </w:numPr>
        <w:spacing w:before="100"/>
        <w:ind w:left="1564" w:hanging="782"/>
        <w:jc w:val="both"/>
        <w:rPr>
          <w:rStyle w:val="normaltextrun1"/>
          <w:sz w:val="19"/>
          <w:szCs w:val="19"/>
        </w:rPr>
      </w:pPr>
      <w:r w:rsidRPr="00851927">
        <w:rPr>
          <w:rStyle w:val="normaltextrun1"/>
          <w:sz w:val="19"/>
          <w:szCs w:val="19"/>
        </w:rPr>
        <w:t>do not comply with the recognition and measurement requirements in Australian Accounting Standards</w:t>
      </w:r>
      <w:r>
        <w:rPr>
          <w:rStyle w:val="normaltextrun1"/>
          <w:sz w:val="19"/>
          <w:szCs w:val="19"/>
        </w:rPr>
        <w:t xml:space="preserve"> </w:t>
      </w:r>
      <w:r w:rsidRPr="00851927">
        <w:rPr>
          <w:sz w:val="19"/>
          <w:szCs w:val="19"/>
        </w:rPr>
        <w:t>(except for requirements set out in AASB 10 or AASB 128</w:t>
      </w:r>
      <w:r>
        <w:rPr>
          <w:sz w:val="19"/>
          <w:szCs w:val="19"/>
        </w:rPr>
        <w:t xml:space="preserve">) </w:t>
      </w:r>
      <w:r>
        <w:rPr>
          <w:rStyle w:val="normaltextrun1"/>
          <w:sz w:val="19"/>
          <w:szCs w:val="19"/>
        </w:rPr>
        <w:t>-</w:t>
      </w:r>
      <w:r w:rsidRPr="00851927">
        <w:rPr>
          <w:rStyle w:val="normaltextrun1"/>
          <w:sz w:val="19"/>
          <w:szCs w:val="19"/>
        </w:rPr>
        <w:t xml:space="preserve"> that is there are one or more instances of </w:t>
      </w:r>
      <w:r>
        <w:rPr>
          <w:rStyle w:val="normaltextrun1"/>
          <w:sz w:val="19"/>
          <w:szCs w:val="19"/>
        </w:rPr>
        <w:t xml:space="preserve">material </w:t>
      </w:r>
      <w:r w:rsidRPr="00851927">
        <w:rPr>
          <w:rStyle w:val="normaltextrun1"/>
          <w:sz w:val="19"/>
          <w:szCs w:val="19"/>
        </w:rPr>
        <w:t>accounting policies disclosed in the special purpose financial statements that do not comply with the recognition and measurement requirements in Australian Accounting Standards</w:t>
      </w:r>
      <w:r>
        <w:rPr>
          <w:rStyle w:val="normaltextrun1"/>
          <w:sz w:val="19"/>
          <w:szCs w:val="19"/>
        </w:rPr>
        <w:t xml:space="preserve"> </w:t>
      </w:r>
      <w:r w:rsidRPr="00851927">
        <w:rPr>
          <w:sz w:val="19"/>
          <w:szCs w:val="19"/>
        </w:rPr>
        <w:t>(except for requirements set out in AASB 10 or AASB 128)</w:t>
      </w:r>
      <w:r w:rsidRPr="00851927">
        <w:rPr>
          <w:rStyle w:val="normaltextrun1"/>
          <w:sz w:val="19"/>
          <w:szCs w:val="19"/>
        </w:rPr>
        <w:t>; or</w:t>
      </w:r>
    </w:p>
    <w:p w14:paraId="12FD092D" w14:textId="77777777" w:rsidR="007274EF" w:rsidRPr="00851927" w:rsidRDefault="007274EF" w:rsidP="00B9506E">
      <w:pPr>
        <w:pStyle w:val="Default"/>
        <w:numPr>
          <w:ilvl w:val="0"/>
          <w:numId w:val="25"/>
        </w:numPr>
        <w:spacing w:before="100"/>
        <w:ind w:left="1564" w:hanging="782"/>
        <w:jc w:val="both"/>
        <w:rPr>
          <w:rStyle w:val="normaltextrun1"/>
          <w:sz w:val="19"/>
          <w:szCs w:val="19"/>
        </w:rPr>
      </w:pPr>
      <w:r w:rsidRPr="00851927">
        <w:rPr>
          <w:rStyle w:val="normaltextrun1"/>
          <w:sz w:val="19"/>
          <w:szCs w:val="19"/>
        </w:rPr>
        <w:t xml:space="preserve">compliance with </w:t>
      </w:r>
      <w:r>
        <w:rPr>
          <w:rStyle w:val="normaltextrun1"/>
          <w:sz w:val="19"/>
          <w:szCs w:val="19"/>
        </w:rPr>
        <w:t xml:space="preserve">all </w:t>
      </w:r>
      <w:r w:rsidRPr="00851927">
        <w:rPr>
          <w:rStyle w:val="normaltextrun1"/>
          <w:sz w:val="19"/>
          <w:szCs w:val="19"/>
        </w:rPr>
        <w:t xml:space="preserve">the recognition and measurement requirements in Australian Accounting Standards </w:t>
      </w:r>
      <w:r w:rsidRPr="00851927">
        <w:rPr>
          <w:sz w:val="19"/>
          <w:szCs w:val="19"/>
        </w:rPr>
        <w:t>(except for requirements set out in AASB 10 or AASB 128)</w:t>
      </w:r>
      <w:r>
        <w:rPr>
          <w:sz w:val="19"/>
          <w:szCs w:val="19"/>
        </w:rPr>
        <w:t xml:space="preserve"> </w:t>
      </w:r>
      <w:r w:rsidRPr="00851927">
        <w:rPr>
          <w:rStyle w:val="normaltextrun1"/>
          <w:sz w:val="19"/>
          <w:szCs w:val="19"/>
        </w:rPr>
        <w:t>has not been assessed</w:t>
      </w:r>
      <w:r>
        <w:rPr>
          <w:rStyle w:val="normaltextrun1"/>
          <w:sz w:val="19"/>
          <w:szCs w:val="19"/>
        </w:rPr>
        <w:t xml:space="preserve"> -</w:t>
      </w:r>
      <w:r w:rsidRPr="00851927">
        <w:rPr>
          <w:rStyle w:val="normaltextrun1"/>
          <w:sz w:val="19"/>
          <w:szCs w:val="19"/>
        </w:rPr>
        <w:t xml:space="preserve"> that is there are one or more instances where the not-for-profit </w:t>
      </w:r>
      <w:r>
        <w:rPr>
          <w:rStyle w:val="normaltextrun1"/>
          <w:sz w:val="19"/>
          <w:szCs w:val="19"/>
        </w:rPr>
        <w:t xml:space="preserve">private sector </w:t>
      </w:r>
      <w:r w:rsidRPr="00851927">
        <w:rPr>
          <w:rStyle w:val="normaltextrun1"/>
          <w:sz w:val="19"/>
          <w:szCs w:val="19"/>
        </w:rPr>
        <w:t>entity has not assessed whether or not the</w:t>
      </w:r>
      <w:r>
        <w:rPr>
          <w:rStyle w:val="normaltextrun1"/>
          <w:sz w:val="19"/>
          <w:szCs w:val="19"/>
        </w:rPr>
        <w:t xml:space="preserve"> material</w:t>
      </w:r>
      <w:r w:rsidRPr="00851927">
        <w:rPr>
          <w:rStyle w:val="normaltextrun1"/>
          <w:sz w:val="19"/>
          <w:szCs w:val="19"/>
        </w:rPr>
        <w:t xml:space="preserve"> accounting policies disclosed in the special purpose financial statements comply with the recognition and measurement requirements in Australian Accounting Standards</w:t>
      </w:r>
      <w:r>
        <w:rPr>
          <w:rStyle w:val="normaltextrun1"/>
          <w:sz w:val="19"/>
          <w:szCs w:val="19"/>
        </w:rPr>
        <w:t xml:space="preserve"> </w:t>
      </w:r>
      <w:r w:rsidRPr="00851927">
        <w:rPr>
          <w:sz w:val="19"/>
          <w:szCs w:val="19"/>
        </w:rPr>
        <w:t>(except for requirements set out in AASB 10 or AASB 128)</w:t>
      </w:r>
      <w:r w:rsidRPr="00851927">
        <w:rPr>
          <w:rStyle w:val="normaltextrun1"/>
          <w:sz w:val="19"/>
          <w:szCs w:val="19"/>
        </w:rPr>
        <w:t>.</w:t>
      </w:r>
    </w:p>
    <w:p w14:paraId="1055C31D" w14:textId="77777777" w:rsidR="007274EF" w:rsidRPr="00851927" w:rsidRDefault="007274EF" w:rsidP="00B9506E">
      <w:pPr>
        <w:pStyle w:val="NumBC1"/>
        <w:numPr>
          <w:ilvl w:val="0"/>
          <w:numId w:val="24"/>
        </w:numPr>
        <w:spacing w:before="100" w:after="0"/>
        <w:ind w:left="782" w:hanging="782"/>
        <w:rPr>
          <w:rStyle w:val="normaltextrun1"/>
          <w:rFonts w:ascii="Times" w:hAnsi="Times" w:cs="Times"/>
          <w:szCs w:val="19"/>
        </w:rPr>
      </w:pPr>
      <w:r w:rsidRPr="00851927">
        <w:t>The Board decided to include an option for a</w:t>
      </w:r>
      <w:r>
        <w:t xml:space="preserve"> not-for-profit</w:t>
      </w:r>
      <w:r w:rsidRPr="00851927">
        <w:t xml:space="preserve"> </w:t>
      </w:r>
      <w:r>
        <w:t xml:space="preserve">private sector </w:t>
      </w:r>
      <w:r w:rsidRPr="00851927">
        <w:t xml:space="preserve">entity to disclose that they have not assessed whether or not the accounting policies disclosed in the special purpose financial statements comply with </w:t>
      </w:r>
      <w:r>
        <w:t xml:space="preserve">all </w:t>
      </w:r>
      <w:r w:rsidRPr="00851927">
        <w:t>the recognition and measurement requirements</w:t>
      </w:r>
      <w:r>
        <w:t xml:space="preserve"> </w:t>
      </w:r>
      <w:r w:rsidRPr="00851927">
        <w:t>in Australian Accounting Standards</w:t>
      </w:r>
      <w:r>
        <w:t xml:space="preserve"> </w:t>
      </w:r>
      <w:r w:rsidRPr="00851927">
        <w:rPr>
          <w:szCs w:val="19"/>
        </w:rPr>
        <w:t>(except for requirements set out in AASB 10 or AASB 128)</w:t>
      </w:r>
      <w:r w:rsidRPr="00851927">
        <w:t xml:space="preserve">, because allowing an entity to make such a disclosure would require minimal </w:t>
      </w:r>
      <w:r>
        <w:t xml:space="preserve">additional </w:t>
      </w:r>
      <w:r w:rsidRPr="00851927">
        <w:t xml:space="preserve">effort </w:t>
      </w:r>
      <w:r>
        <w:t>(as entities would not be required to complete additional assessment of</w:t>
      </w:r>
      <w:r w:rsidRPr="003B2A58">
        <w:t xml:space="preserve"> compliance with the recognition and measurement requirements in Australian Accounting Standards</w:t>
      </w:r>
      <w:r>
        <w:t xml:space="preserve"> but merely make the disclosures based on their existing understanding of the entity’s accounting policies).</w:t>
      </w:r>
      <w:r w:rsidRPr="00851927">
        <w:t xml:space="preserve"> </w:t>
      </w:r>
      <w:r>
        <w:t xml:space="preserve">This disclosure, however, </w:t>
      </w:r>
      <w:r w:rsidRPr="00851927">
        <w:t xml:space="preserve">would highlight potential instances of non-compliance with </w:t>
      </w:r>
      <w:r>
        <w:t xml:space="preserve">the recognition and measurement requirements in </w:t>
      </w:r>
      <w:r w:rsidRPr="00851927">
        <w:t xml:space="preserve">Australian Accounting Standards to users of the special purpose financial statements, as well as potential governance issues, and would also allow users </w:t>
      </w:r>
      <w:r>
        <w:t xml:space="preserve">of the special purpose financial statements </w:t>
      </w:r>
      <w:r w:rsidRPr="00851927">
        <w:t>to seek additional information if required.</w:t>
      </w:r>
      <w:r w:rsidRPr="00851927">
        <w:rPr>
          <w:rStyle w:val="normaltextrun1"/>
          <w:rFonts w:ascii="Times" w:hAnsi="Times" w:cs="Times"/>
          <w:szCs w:val="19"/>
        </w:rPr>
        <w:t xml:space="preserve"> </w:t>
      </w:r>
    </w:p>
    <w:p w14:paraId="452AF91D" w14:textId="77777777" w:rsidR="007274EF" w:rsidRPr="00851927" w:rsidRDefault="007274EF" w:rsidP="00B9506E">
      <w:pPr>
        <w:pStyle w:val="NumBC1"/>
        <w:numPr>
          <w:ilvl w:val="0"/>
          <w:numId w:val="24"/>
        </w:numPr>
        <w:spacing w:before="100" w:after="0"/>
        <w:ind w:left="782" w:hanging="782"/>
      </w:pPr>
      <w:r w:rsidRPr="00851927">
        <w:t xml:space="preserve">The Board confirmed that it is their expectation that the new disclosures are intended to identify instances of non-compliance with the recognition and measurement requirements in Australian Accounting Standards that are material to the special purpose financial statements.  The Board considered whether an entity that has </w:t>
      </w:r>
      <w:r>
        <w:t>disclosed</w:t>
      </w:r>
      <w:r w:rsidRPr="00851927">
        <w:t xml:space="preserve"> </w:t>
      </w:r>
      <w:r>
        <w:t>non</w:t>
      </w:r>
      <w:r w:rsidRPr="006C1EC1">
        <w:t>-compl</w:t>
      </w:r>
      <w:r>
        <w:t>iance</w:t>
      </w:r>
      <w:r w:rsidRPr="00851927">
        <w:t xml:space="preserve"> with the recognition and measurement requirements</w:t>
      </w:r>
      <w:r>
        <w:t xml:space="preserve"> </w:t>
      </w:r>
      <w:r w:rsidRPr="00851927">
        <w:t>in Australian Accounting Standards</w:t>
      </w:r>
      <w:r>
        <w:t xml:space="preserve"> </w:t>
      </w:r>
      <w:r w:rsidRPr="00851927">
        <w:rPr>
          <w:szCs w:val="19"/>
        </w:rPr>
        <w:t>(except for requirements set out in AASB 10 or AASB 128)</w:t>
      </w:r>
      <w:r w:rsidRPr="00851927">
        <w:t xml:space="preserve"> </w:t>
      </w:r>
      <w:r>
        <w:t xml:space="preserve">for an accounting policy that is not material to the entity, </w:t>
      </w:r>
      <w:r w:rsidRPr="00851927">
        <w:t xml:space="preserve">could still claim </w:t>
      </w:r>
      <w:r>
        <w:t xml:space="preserve">that its financial statements overall complied </w:t>
      </w:r>
      <w:r w:rsidRPr="00851927">
        <w:t xml:space="preserve">with the recognition and </w:t>
      </w:r>
      <w:r w:rsidRPr="00851927">
        <w:lastRenderedPageBreak/>
        <w:t xml:space="preserve">measurement requirements in Australian Accounting Standards.  </w:t>
      </w:r>
      <w:r>
        <w:t>The Board confirmed i</w:t>
      </w:r>
      <w:r w:rsidRPr="00851927">
        <w:t xml:space="preserve">f there is one instance of </w:t>
      </w:r>
      <w:r>
        <w:t>a material accounting policy applied and disclosed in the special purpose financial statements</w:t>
      </w:r>
      <w:r w:rsidRPr="00851927">
        <w:t xml:space="preserve"> </w:t>
      </w:r>
      <w:r>
        <w:t xml:space="preserve">not complying </w:t>
      </w:r>
      <w:r w:rsidRPr="00851927">
        <w:t xml:space="preserve">with the recognition and measurement requirements in Australian Accounting Standards or </w:t>
      </w:r>
      <w:r>
        <w:t>not</w:t>
      </w:r>
      <w:r w:rsidRPr="00851927">
        <w:t xml:space="preserve"> be</w:t>
      </w:r>
      <w:r>
        <w:t>ing</w:t>
      </w:r>
      <w:r w:rsidRPr="00851927">
        <w:t xml:space="preserve"> assessed, the entity cannot claim </w:t>
      </w:r>
      <w:r>
        <w:t>that its financial statements overall</w:t>
      </w:r>
      <w:r w:rsidRPr="00851927">
        <w:t xml:space="preserve"> compl</w:t>
      </w:r>
      <w:r>
        <w:t>y</w:t>
      </w:r>
      <w:r w:rsidRPr="00851927">
        <w:t xml:space="preserve"> with </w:t>
      </w:r>
      <w:r>
        <w:t xml:space="preserve">all </w:t>
      </w:r>
      <w:r w:rsidRPr="00851927">
        <w:t>the recognition and measurement requirements in Australian Accounting Standards.</w:t>
      </w:r>
    </w:p>
    <w:p w14:paraId="1CA3B59D" w14:textId="77777777" w:rsidR="007274EF" w:rsidRDefault="007274EF" w:rsidP="00B9506E">
      <w:pPr>
        <w:pStyle w:val="NumBC1"/>
        <w:numPr>
          <w:ilvl w:val="0"/>
          <w:numId w:val="24"/>
        </w:numPr>
        <w:spacing w:before="100" w:after="0"/>
        <w:ind w:left="782" w:hanging="782"/>
        <w:rPr>
          <w:rStyle w:val="normaltextrun1"/>
          <w:rFonts w:ascii="Times" w:hAnsi="Times" w:cs="Times"/>
          <w:szCs w:val="19"/>
        </w:rPr>
      </w:pPr>
      <w:r w:rsidRPr="00851927">
        <w:rPr>
          <w:rStyle w:val="normaltextrun1"/>
          <w:rFonts w:ascii="Times" w:hAnsi="Times" w:cs="Times"/>
          <w:szCs w:val="19"/>
        </w:rPr>
        <w:t xml:space="preserve">The Board acknowledged the diversity in views regarding whether or not consolidation and the equity method of accounting are recognition and measurement requirements, presentation and disclosure requirements, neither or both, and the effect this diversity in views may have on the ability of an entity to determine whether or not they have complied with all the recognition and measurement requirements in Australian Accounting Standards.  </w:t>
      </w:r>
    </w:p>
    <w:p w14:paraId="4F7B06F9" w14:textId="77777777" w:rsidR="007274EF" w:rsidRPr="00851927" w:rsidRDefault="007274EF" w:rsidP="00B9506E">
      <w:pPr>
        <w:pStyle w:val="NumBC1"/>
        <w:numPr>
          <w:ilvl w:val="0"/>
          <w:numId w:val="24"/>
        </w:numPr>
        <w:spacing w:before="100" w:after="0"/>
        <w:ind w:left="782" w:hanging="782"/>
        <w:rPr>
          <w:rStyle w:val="normaltextrun1"/>
          <w:rFonts w:ascii="Times" w:hAnsi="Times" w:cs="Times"/>
          <w:szCs w:val="19"/>
        </w:rPr>
      </w:pPr>
      <w:r w:rsidRPr="00851927">
        <w:rPr>
          <w:rStyle w:val="normaltextrun1"/>
          <w:rFonts w:ascii="Times" w:hAnsi="Times" w:cs="Times"/>
          <w:szCs w:val="19"/>
        </w:rPr>
        <w:t xml:space="preserve">The Board considered whether the recent amendment to paragraph 9 of AASB 1053 made via AASB 2019-1 </w:t>
      </w:r>
      <w:r w:rsidRPr="006C1EC1">
        <w:rPr>
          <w:rStyle w:val="normaltextrun1"/>
          <w:rFonts w:ascii="Times" w:hAnsi="Times" w:cs="Times"/>
          <w:i/>
          <w:szCs w:val="19"/>
        </w:rPr>
        <w:t>Amendments to Australian Accounting Standards – References to the Conceptual Framework</w:t>
      </w:r>
      <w:r w:rsidRPr="00851927">
        <w:rPr>
          <w:rStyle w:val="normaltextrun1"/>
          <w:rFonts w:ascii="Times" w:hAnsi="Times" w:cs="Times"/>
          <w:szCs w:val="19"/>
        </w:rPr>
        <w:t xml:space="preserve"> clarified that consolidation and the equity method of accounting are recognition and measurement requirements, however noted that </w:t>
      </w:r>
      <w:r>
        <w:rPr>
          <w:rStyle w:val="normaltextrun1"/>
          <w:rFonts w:ascii="Times" w:hAnsi="Times" w:cs="Times"/>
          <w:szCs w:val="19"/>
        </w:rPr>
        <w:t xml:space="preserve">the intention of </w:t>
      </w:r>
      <w:r w:rsidRPr="00851927">
        <w:rPr>
          <w:rStyle w:val="normaltextrun1"/>
          <w:rFonts w:ascii="Times" w:hAnsi="Times" w:cs="Times"/>
          <w:szCs w:val="19"/>
        </w:rPr>
        <w:t>this amendment</w:t>
      </w:r>
      <w:r>
        <w:rPr>
          <w:rStyle w:val="normaltextrun1"/>
          <w:rFonts w:ascii="Times" w:hAnsi="Times" w:cs="Times"/>
          <w:szCs w:val="19"/>
        </w:rPr>
        <w:t xml:space="preserve"> was to provide certainty that an entity not consolidating or equity accounting must apply the transitional provisions in AASB 1 or AASB 108, and the Board had determined to not make a conclusive decision on it.</w:t>
      </w:r>
    </w:p>
    <w:p w14:paraId="3DC76E7A" w14:textId="77777777" w:rsidR="007274EF" w:rsidRPr="00851927" w:rsidRDefault="007274EF" w:rsidP="00B9506E">
      <w:pPr>
        <w:pStyle w:val="NumBC1"/>
        <w:numPr>
          <w:ilvl w:val="0"/>
          <w:numId w:val="24"/>
        </w:numPr>
        <w:spacing w:before="100" w:after="0"/>
        <w:ind w:left="782" w:hanging="782"/>
        <w:rPr>
          <w:rStyle w:val="normaltextrun1"/>
          <w:rFonts w:ascii="Times" w:hAnsi="Times" w:cs="Times"/>
          <w:szCs w:val="19"/>
        </w:rPr>
      </w:pPr>
      <w:r w:rsidRPr="00851927">
        <w:rPr>
          <w:rStyle w:val="normaltextrun1"/>
          <w:rFonts w:ascii="Times" w:hAnsi="Times" w:cs="Times"/>
          <w:szCs w:val="19"/>
        </w:rPr>
        <w:t>For the avoidance of doubt the Board decided to make it clear that for the purposes of th</w:t>
      </w:r>
      <w:r>
        <w:rPr>
          <w:rStyle w:val="normaltextrun1"/>
          <w:rFonts w:ascii="Times" w:hAnsi="Times" w:cs="Times"/>
          <w:szCs w:val="19"/>
        </w:rPr>
        <w:t>e</w:t>
      </w:r>
      <w:r w:rsidRPr="00851927">
        <w:rPr>
          <w:rStyle w:val="normaltextrun1"/>
          <w:rFonts w:ascii="Times" w:hAnsi="Times" w:cs="Times"/>
          <w:szCs w:val="19"/>
        </w:rPr>
        <w:t xml:space="preserve"> disclosure</w:t>
      </w:r>
      <w:r>
        <w:rPr>
          <w:rStyle w:val="normaltextrun1"/>
          <w:rFonts w:ascii="Times" w:hAnsi="Times" w:cs="Times"/>
          <w:szCs w:val="19"/>
        </w:rPr>
        <w:t>s in paragraphs 9A(c) and 9A(d) of this Standard</w:t>
      </w:r>
      <w:r w:rsidRPr="00851927">
        <w:rPr>
          <w:rStyle w:val="normaltextrun1"/>
          <w:rFonts w:ascii="Times" w:hAnsi="Times" w:cs="Times"/>
          <w:szCs w:val="19"/>
        </w:rPr>
        <w:t>, recognition and measurement requirements exclude consolidation and the equity method of accounting</w:t>
      </w:r>
      <w:r>
        <w:rPr>
          <w:rStyle w:val="normaltextrun1"/>
          <w:rFonts w:ascii="Times" w:hAnsi="Times" w:cs="Times"/>
          <w:szCs w:val="19"/>
        </w:rPr>
        <w:t xml:space="preserve"> as</w:t>
      </w:r>
      <w:r w:rsidRPr="00851927">
        <w:rPr>
          <w:rStyle w:val="normaltextrun1"/>
          <w:rFonts w:ascii="Times" w:hAnsi="Times" w:cs="Times"/>
          <w:szCs w:val="19"/>
        </w:rPr>
        <w:t xml:space="preserve"> the application of consolidation and the equity method of accounting are the subject of separate disclosure requirements in this Standard.</w:t>
      </w:r>
    </w:p>
    <w:p w14:paraId="26E60701" w14:textId="56E0BBC4" w:rsidR="007274EF" w:rsidRPr="00851927" w:rsidRDefault="007274EF" w:rsidP="00B9506E">
      <w:pPr>
        <w:pStyle w:val="NumBC1"/>
        <w:numPr>
          <w:ilvl w:val="0"/>
          <w:numId w:val="24"/>
        </w:numPr>
        <w:spacing w:before="100" w:after="0"/>
        <w:ind w:left="782" w:hanging="782"/>
        <w:rPr>
          <w:rStyle w:val="normaltextrun1"/>
          <w:rFonts w:ascii="Times" w:hAnsi="Times" w:cs="Times"/>
          <w:szCs w:val="19"/>
        </w:rPr>
      </w:pPr>
      <w:r w:rsidRPr="00851927">
        <w:rPr>
          <w:rStyle w:val="normaltextrun1"/>
          <w:rFonts w:ascii="Times" w:hAnsi="Times" w:cs="Times"/>
          <w:szCs w:val="19"/>
        </w:rPr>
        <w:t xml:space="preserve">The Board also reconsidered the proposal in ED 293 to relieve a not-for-profit entity from the requirement to determine whether or not its interests in other entities give rise to interests in subsidiaries, associates or joint ventures. The Board acknowledged that there may be some instances where a not-for-profit </w:t>
      </w:r>
      <w:r>
        <w:rPr>
          <w:rStyle w:val="normaltextrun1"/>
          <w:rFonts w:ascii="Times" w:hAnsi="Times" w:cs="Times"/>
          <w:szCs w:val="19"/>
        </w:rPr>
        <w:t xml:space="preserve">private sector </w:t>
      </w:r>
      <w:r w:rsidRPr="00851927">
        <w:rPr>
          <w:rStyle w:val="normaltextrun1"/>
          <w:rFonts w:ascii="Times" w:hAnsi="Times" w:cs="Times"/>
          <w:szCs w:val="19"/>
        </w:rPr>
        <w:t>entity may be required by legislation to make this determination</w:t>
      </w:r>
      <w:r>
        <w:rPr>
          <w:rStyle w:val="normaltextrun1"/>
          <w:rFonts w:ascii="Times" w:hAnsi="Times" w:cs="Times"/>
          <w:szCs w:val="19"/>
        </w:rPr>
        <w:t xml:space="preserve"> to assess their financial reporting requirements</w:t>
      </w:r>
      <w:r w:rsidRPr="00851927">
        <w:rPr>
          <w:rStyle w:val="normaltextrun1"/>
          <w:rFonts w:ascii="Times" w:hAnsi="Times" w:cs="Times"/>
          <w:szCs w:val="19"/>
        </w:rPr>
        <w:t>, and therefore decided that this relief should only be available where there is no legislative requirement for a not-for-profit entity to make this determination.  For example, and as noted in paragraph</w:t>
      </w:r>
      <w:r>
        <w:rPr>
          <w:rStyle w:val="normaltextrun1"/>
          <w:rFonts w:ascii="Times" w:hAnsi="Times" w:cs="Times"/>
          <w:szCs w:val="19"/>
        </w:rPr>
        <w:t xml:space="preserve"> </w:t>
      </w:r>
      <w:r>
        <w:rPr>
          <w:rStyle w:val="normaltextrun1"/>
          <w:rFonts w:ascii="Times" w:hAnsi="Times" w:cs="Times"/>
          <w:szCs w:val="19"/>
        </w:rPr>
        <w:fldChar w:fldCharType="begin" w:fldLock="1"/>
      </w:r>
      <w:r>
        <w:rPr>
          <w:rStyle w:val="normaltextrun1"/>
          <w:rFonts w:ascii="Times" w:hAnsi="Times" w:cs="Times"/>
          <w:szCs w:val="19"/>
        </w:rPr>
        <w:instrText xml:space="preserve"> REF _Ref21429237 \r \h </w:instrText>
      </w:r>
      <w:r>
        <w:rPr>
          <w:rStyle w:val="normaltextrun1"/>
          <w:rFonts w:ascii="Times" w:hAnsi="Times" w:cs="Times"/>
          <w:szCs w:val="19"/>
        </w:rPr>
      </w:r>
      <w:r>
        <w:rPr>
          <w:rStyle w:val="normaltextrun1"/>
          <w:rFonts w:ascii="Times" w:hAnsi="Times" w:cs="Times"/>
          <w:szCs w:val="19"/>
        </w:rPr>
        <w:fldChar w:fldCharType="separate"/>
      </w:r>
      <w:r>
        <w:rPr>
          <w:rStyle w:val="normaltextrun1"/>
          <w:rFonts w:ascii="Times" w:hAnsi="Times" w:cs="Times"/>
          <w:szCs w:val="19"/>
        </w:rPr>
        <w:t>BC29</w:t>
      </w:r>
      <w:r>
        <w:rPr>
          <w:rStyle w:val="normaltextrun1"/>
          <w:rFonts w:ascii="Times" w:hAnsi="Times" w:cs="Times"/>
          <w:szCs w:val="19"/>
        </w:rPr>
        <w:fldChar w:fldCharType="end"/>
      </w:r>
      <w:r w:rsidRPr="00851927">
        <w:rPr>
          <w:rStyle w:val="normaltextrun1"/>
          <w:rFonts w:ascii="Times" w:hAnsi="Times" w:cs="Times"/>
          <w:szCs w:val="19"/>
        </w:rPr>
        <w:t xml:space="preserve">, section 45A of the </w:t>
      </w:r>
      <w:r w:rsidRPr="00851927">
        <w:rPr>
          <w:rStyle w:val="normaltextrun1"/>
          <w:rFonts w:ascii="Times" w:hAnsi="Times" w:cs="Times"/>
          <w:i/>
          <w:szCs w:val="19"/>
        </w:rPr>
        <w:t>Corporations Act 2001</w:t>
      </w:r>
      <w:r w:rsidRPr="00851927">
        <w:rPr>
          <w:rStyle w:val="normaltextrun1"/>
          <w:rFonts w:ascii="Times" w:hAnsi="Times" w:cs="Times"/>
          <w:szCs w:val="19"/>
        </w:rPr>
        <w:t xml:space="preserve"> requires the assessment of thresholds for small and large proprietary companies to be determined on a consolidated basis (ie the parent and the entities it controls (subsidiaries)) in accordance with the accounting standards even if the standards do not otherwise apply to some or all of the companies concerned.  While it is not common, it is possible for a not-for-profit entity to be structured using a proprietary company structure and the entity would therefore be subject to section 45A of the </w:t>
      </w:r>
      <w:r w:rsidRPr="00851927">
        <w:rPr>
          <w:rStyle w:val="normaltextrun1"/>
          <w:rFonts w:ascii="Times" w:hAnsi="Times" w:cs="Times"/>
          <w:i/>
          <w:szCs w:val="19"/>
        </w:rPr>
        <w:t>Corporations Act 2001</w:t>
      </w:r>
      <w:r w:rsidR="002D38A4">
        <w:rPr>
          <w:rStyle w:val="normaltextrun1"/>
          <w:rFonts w:ascii="Times" w:hAnsi="Times" w:cs="Times"/>
          <w:szCs w:val="19"/>
        </w:rPr>
        <w:t>.</w:t>
      </w:r>
    </w:p>
    <w:p w14:paraId="61A76C2E" w14:textId="77777777" w:rsidR="007274EF" w:rsidRPr="00851927" w:rsidRDefault="007274EF" w:rsidP="00B9506E">
      <w:pPr>
        <w:pStyle w:val="NumBC1"/>
        <w:numPr>
          <w:ilvl w:val="0"/>
          <w:numId w:val="24"/>
        </w:numPr>
        <w:spacing w:before="100" w:after="0"/>
        <w:ind w:left="782" w:hanging="782"/>
        <w:rPr>
          <w:rStyle w:val="normaltextrun1"/>
          <w:szCs w:val="19"/>
        </w:rPr>
      </w:pPr>
      <w:bookmarkStart w:id="69" w:name="_Ref21442765"/>
      <w:r w:rsidRPr="00851927">
        <w:rPr>
          <w:rStyle w:val="normaltextrun1"/>
          <w:szCs w:val="19"/>
        </w:rPr>
        <w:t xml:space="preserve">The </w:t>
      </w:r>
      <w:r w:rsidRPr="00851927">
        <w:rPr>
          <w:rStyle w:val="normaltextrun1"/>
          <w:i/>
          <w:iCs/>
          <w:szCs w:val="19"/>
        </w:rPr>
        <w:t>Implementation guidance and illustrative examples</w:t>
      </w:r>
      <w:r>
        <w:rPr>
          <w:rStyle w:val="normaltextrun1"/>
          <w:i/>
          <w:iCs/>
          <w:szCs w:val="19"/>
        </w:rPr>
        <w:t xml:space="preserve"> </w:t>
      </w:r>
      <w:r w:rsidRPr="00120FA7">
        <w:rPr>
          <w:rStyle w:val="normaltextrun1"/>
          <w:i/>
          <w:iCs/>
          <w:szCs w:val="19"/>
        </w:rPr>
        <w:t>for not-for-profit private sector entities</w:t>
      </w:r>
      <w:r w:rsidRPr="00851927">
        <w:rPr>
          <w:rStyle w:val="normaltextrun1"/>
          <w:szCs w:val="19"/>
        </w:rPr>
        <w:t xml:space="preserve"> w</w:t>
      </w:r>
      <w:r>
        <w:rPr>
          <w:rStyle w:val="normaltextrun1"/>
          <w:szCs w:val="19"/>
        </w:rPr>
        <w:t>as</w:t>
      </w:r>
      <w:r w:rsidRPr="00851927">
        <w:rPr>
          <w:rStyle w:val="normaltextrun1"/>
          <w:szCs w:val="19"/>
        </w:rPr>
        <w:t xml:space="preserve"> updated to reflect these decisions of the Board.</w:t>
      </w:r>
      <w:bookmarkEnd w:id="69"/>
    </w:p>
    <w:p w14:paraId="6EEE111A" w14:textId="77777777" w:rsidR="007274EF" w:rsidRPr="00CB2705" w:rsidRDefault="007274EF" w:rsidP="00CB2705">
      <w:pPr>
        <w:pStyle w:val="IASBSectionTitle3Ind"/>
      </w:pPr>
      <w:r w:rsidRPr="00CB2705">
        <w:t>Due process</w:t>
      </w:r>
    </w:p>
    <w:p w14:paraId="3E12FDF8" w14:textId="77777777" w:rsidR="007274EF" w:rsidRPr="006C1EC1" w:rsidRDefault="007274EF" w:rsidP="00B9506E">
      <w:pPr>
        <w:pStyle w:val="NumBC1"/>
        <w:numPr>
          <w:ilvl w:val="0"/>
          <w:numId w:val="24"/>
        </w:numPr>
        <w:spacing w:before="100" w:after="0"/>
        <w:ind w:left="782" w:hanging="782"/>
      </w:pPr>
      <w:r w:rsidRPr="00851927">
        <w:rPr>
          <w:rStyle w:val="normaltextrun1"/>
          <w:rFonts w:eastAsiaTheme="minorEastAsia"/>
        </w:rPr>
        <w:t xml:space="preserve">In responding to the specific feedback from respondents to ED 293 </w:t>
      </w:r>
      <w:r w:rsidRPr="00851927">
        <w:t>regarding the costs of the proposed disclosures exceeding any benefits and the short term nature of the proposals</w:t>
      </w:r>
      <w:r>
        <w:t>, particularly for for-profit private sector entities</w:t>
      </w:r>
      <w:r w:rsidRPr="00851927">
        <w:t xml:space="preserve">, </w:t>
      </w:r>
      <w:r w:rsidRPr="006C1EC1">
        <w:t>the Board consider</w:t>
      </w:r>
      <w:r>
        <w:t>ed</w:t>
      </w:r>
      <w:r w:rsidRPr="006C1EC1">
        <w:t xml:space="preserve"> that </w:t>
      </w:r>
      <w:r>
        <w:t xml:space="preserve">as </w:t>
      </w:r>
      <w:r w:rsidRPr="006C1EC1">
        <w:t xml:space="preserve">the disclosures required by this Standard </w:t>
      </w:r>
      <w:r>
        <w:t xml:space="preserve">apply only to not-for-profit private sector entities and </w:t>
      </w:r>
      <w:r w:rsidRPr="006C1EC1">
        <w:t xml:space="preserve">are less burdensome than those proposed in ED 293 </w:t>
      </w:r>
      <w:r>
        <w:t>(</w:t>
      </w:r>
      <w:r w:rsidRPr="006C1EC1">
        <w:t xml:space="preserve">while still providing users with </w:t>
      </w:r>
      <w:r>
        <w:t xml:space="preserve">useful </w:t>
      </w:r>
      <w:r w:rsidRPr="006C1EC1">
        <w:t>information regarding whether or not an entity has complied with the recognition and measurement requirements in Australian Accounting Standards</w:t>
      </w:r>
      <w:r>
        <w:t>),</w:t>
      </w:r>
      <w:r>
        <w:rPr>
          <w:rFonts w:eastAsiaTheme="minorEastAsia"/>
        </w:rPr>
        <w:t xml:space="preserve"> </w:t>
      </w:r>
      <w:r w:rsidRPr="006C1EC1">
        <w:rPr>
          <w:rStyle w:val="normaltextrun1"/>
          <w:rFonts w:eastAsiaTheme="minorEastAsia"/>
        </w:rPr>
        <w:t xml:space="preserve">there was no </w:t>
      </w:r>
      <w:r w:rsidRPr="006C1EC1">
        <w:t>need to undertake further due process and re-expose the requirements</w:t>
      </w:r>
      <w:r>
        <w:t xml:space="preserve"> of this Standard</w:t>
      </w:r>
      <w:r w:rsidRPr="00851927">
        <w:rPr>
          <w:rStyle w:val="normaltextrun1"/>
          <w:rFonts w:eastAsiaTheme="minorEastAsia"/>
        </w:rPr>
        <w:t>.</w:t>
      </w:r>
    </w:p>
    <w:p w14:paraId="79A5DFBE" w14:textId="0F59BF0B" w:rsidR="007274EF" w:rsidRPr="00851927" w:rsidRDefault="007274EF" w:rsidP="00B9506E">
      <w:pPr>
        <w:pStyle w:val="NumBC1"/>
        <w:numPr>
          <w:ilvl w:val="0"/>
          <w:numId w:val="24"/>
        </w:numPr>
        <w:spacing w:before="100" w:after="0"/>
        <w:ind w:left="782" w:hanging="782"/>
        <w:rPr>
          <w:rStyle w:val="normaltextrun1"/>
        </w:rPr>
      </w:pPr>
      <w:r w:rsidRPr="00851927">
        <w:rPr>
          <w:rStyle w:val="normaltextrun1"/>
          <w:rFonts w:eastAsiaTheme="minorEastAsia"/>
        </w:rPr>
        <w:t>The Board also decided that notwithstanding its</w:t>
      </w:r>
      <w:r w:rsidR="00F02D8E">
        <w:rPr>
          <w:rStyle w:val="normaltextrun1"/>
          <w:rFonts w:eastAsiaTheme="minorEastAsia"/>
        </w:rPr>
        <w:t xml:space="preserve"> </w:t>
      </w:r>
      <w:r w:rsidRPr="00851927">
        <w:rPr>
          <w:rStyle w:val="normaltextrun1"/>
          <w:rFonts w:eastAsiaTheme="minorEastAsia"/>
        </w:rPr>
        <w:t xml:space="preserve">decision to limit the scope of the </w:t>
      </w:r>
      <w:r>
        <w:rPr>
          <w:rStyle w:val="normaltextrun1"/>
          <w:rFonts w:eastAsiaTheme="minorEastAsia"/>
        </w:rPr>
        <w:t xml:space="preserve">requirements in this Standard </w:t>
      </w:r>
      <w:r w:rsidRPr="00851927">
        <w:rPr>
          <w:rStyle w:val="normaltextrun1"/>
          <w:rFonts w:eastAsiaTheme="minorEastAsia"/>
        </w:rPr>
        <w:t xml:space="preserve">to not-for-profit </w:t>
      </w:r>
      <w:r>
        <w:rPr>
          <w:rStyle w:val="normaltextrun1"/>
          <w:rFonts w:eastAsiaTheme="minorEastAsia"/>
        </w:rPr>
        <w:t xml:space="preserve">private sector </w:t>
      </w:r>
      <w:r w:rsidRPr="00851927">
        <w:rPr>
          <w:rStyle w:val="normaltextrun1"/>
          <w:rFonts w:eastAsiaTheme="minorEastAsia"/>
        </w:rPr>
        <w:t>entities, issuing a fatal-flaw review version of this Standard</w:t>
      </w:r>
      <w:r w:rsidR="00F02D8E">
        <w:rPr>
          <w:rStyle w:val="normaltextrun1"/>
          <w:rFonts w:eastAsiaTheme="minorEastAsia"/>
        </w:rPr>
        <w:t xml:space="preserve"> </w:t>
      </w:r>
      <w:r w:rsidRPr="00851927">
        <w:rPr>
          <w:rStyle w:val="normaltextrun1"/>
          <w:rFonts w:eastAsiaTheme="minorEastAsia"/>
        </w:rPr>
        <w:t>for public comment</w:t>
      </w:r>
      <w:r w:rsidR="00F02D8E">
        <w:rPr>
          <w:rStyle w:val="normaltextrun1"/>
          <w:rFonts w:eastAsiaTheme="minorEastAsia"/>
        </w:rPr>
        <w:t xml:space="preserve"> </w:t>
      </w:r>
      <w:r w:rsidRPr="00851927">
        <w:rPr>
          <w:rStyle w:val="normaltextrun1"/>
          <w:rFonts w:eastAsiaTheme="minorEastAsia"/>
        </w:rPr>
        <w:t>was not required</w:t>
      </w:r>
      <w:r w:rsidR="00F02D8E">
        <w:rPr>
          <w:rStyle w:val="normaltextrun1"/>
          <w:rFonts w:eastAsiaTheme="minorEastAsia"/>
        </w:rPr>
        <w:t xml:space="preserve"> </w:t>
      </w:r>
      <w:r w:rsidRPr="00851927">
        <w:rPr>
          <w:rStyle w:val="normaltextrun1"/>
          <w:rFonts w:eastAsiaTheme="minorEastAsia"/>
        </w:rPr>
        <w:t>as the Board did not</w:t>
      </w:r>
      <w:r w:rsidR="00F02D8E">
        <w:rPr>
          <w:rStyle w:val="normaltextrun1"/>
          <w:rFonts w:eastAsiaTheme="minorEastAsia"/>
        </w:rPr>
        <w:t xml:space="preserve"> </w:t>
      </w:r>
      <w:r w:rsidRPr="00851927">
        <w:rPr>
          <w:rStyle w:val="normaltextrun1"/>
          <w:rFonts w:eastAsiaTheme="minorEastAsia"/>
        </w:rPr>
        <w:t>make any</w:t>
      </w:r>
      <w:r w:rsidR="00F02D8E">
        <w:rPr>
          <w:rStyle w:val="normaltextrun1"/>
          <w:rFonts w:eastAsiaTheme="minorEastAsia"/>
        </w:rPr>
        <w:t xml:space="preserve"> </w:t>
      </w:r>
      <w:r w:rsidRPr="00851927">
        <w:rPr>
          <w:rStyle w:val="normaltextrun1"/>
          <w:rFonts w:eastAsiaTheme="minorEastAsia"/>
        </w:rPr>
        <w:t>other</w:t>
      </w:r>
      <w:r w:rsidR="00F02D8E">
        <w:rPr>
          <w:rStyle w:val="normaltextrun1"/>
          <w:rFonts w:eastAsiaTheme="minorEastAsia"/>
        </w:rPr>
        <w:t xml:space="preserve"> </w:t>
      </w:r>
      <w:r w:rsidRPr="00851927">
        <w:rPr>
          <w:rStyle w:val="normaltextrun1"/>
          <w:rFonts w:eastAsiaTheme="minorEastAsia"/>
        </w:rPr>
        <w:t>major chang</w:t>
      </w:r>
      <w:r w:rsidR="002D38A4">
        <w:rPr>
          <w:rStyle w:val="normaltextrun1"/>
          <w:rFonts w:eastAsiaTheme="minorEastAsia"/>
        </w:rPr>
        <w:t>es to the proposals in ED 293.</w:t>
      </w:r>
    </w:p>
    <w:p w14:paraId="6B857541" w14:textId="77777777" w:rsidR="007274EF" w:rsidRPr="00851927" w:rsidRDefault="007274EF" w:rsidP="00B9506E">
      <w:pPr>
        <w:pStyle w:val="NumBC1"/>
        <w:numPr>
          <w:ilvl w:val="0"/>
          <w:numId w:val="24"/>
        </w:numPr>
        <w:spacing w:before="100" w:after="0"/>
        <w:ind w:left="782" w:hanging="782"/>
        <w:rPr>
          <w:rStyle w:val="normaltextrun1"/>
        </w:rPr>
      </w:pPr>
      <w:r w:rsidRPr="003766A0">
        <w:t>The Board also inform</w:t>
      </w:r>
      <w:r>
        <w:t>ed</w:t>
      </w:r>
      <w:r w:rsidRPr="003766A0">
        <w:t xml:space="preserve"> other regulators of the outcome of </w:t>
      </w:r>
      <w:r>
        <w:t>ED 293</w:t>
      </w:r>
      <w:r w:rsidRPr="003766A0">
        <w:t xml:space="preserve">, </w:t>
      </w:r>
      <w:r>
        <w:t xml:space="preserve">to </w:t>
      </w:r>
      <w:r w:rsidRPr="003766A0">
        <w:t xml:space="preserve">help them </w:t>
      </w:r>
      <w:r>
        <w:t xml:space="preserve">identify </w:t>
      </w:r>
      <w:r w:rsidRPr="003766A0">
        <w:t xml:space="preserve">whether there are any regulatory consequences of the proposed disclosure requirements. </w:t>
      </w:r>
    </w:p>
    <w:p w14:paraId="79F03AEB" w14:textId="77777777" w:rsidR="007274EF" w:rsidRPr="002536A6" w:rsidRDefault="007274EF" w:rsidP="002536A6">
      <w:pPr>
        <w:pStyle w:val="Heading2"/>
        <w:pBdr>
          <w:bottom w:val="single" w:sz="4" w:space="1" w:color="auto"/>
        </w:pBdr>
        <w:spacing w:before="400" w:line="240" w:lineRule="auto"/>
        <w:rPr>
          <w:rFonts w:ascii="Arial" w:hAnsi="Arial"/>
          <w:sz w:val="26"/>
        </w:rPr>
      </w:pPr>
      <w:r w:rsidRPr="002536A6">
        <w:rPr>
          <w:rFonts w:ascii="Arial" w:hAnsi="Arial"/>
          <w:sz w:val="26"/>
        </w:rPr>
        <w:t>Effective date</w:t>
      </w:r>
    </w:p>
    <w:p w14:paraId="10113067" w14:textId="77777777" w:rsidR="007274EF" w:rsidRPr="003766A0" w:rsidRDefault="007274EF" w:rsidP="00B9506E">
      <w:pPr>
        <w:pStyle w:val="NumBC1"/>
        <w:numPr>
          <w:ilvl w:val="0"/>
          <w:numId w:val="24"/>
        </w:numPr>
        <w:spacing w:before="100" w:after="0"/>
        <w:ind w:left="782" w:hanging="782"/>
      </w:pPr>
      <w:r w:rsidRPr="003766A0">
        <w:t xml:space="preserve">The Board confirmed that the narrow scope amendment </w:t>
      </w:r>
      <w:r>
        <w:t>in this Standard</w:t>
      </w:r>
      <w:r w:rsidRPr="003766A0">
        <w:t xml:space="preserve"> is an interim measure, until the broader project proposing to remove the ability for certain entities to prepare special purpose financial statements is completed (</w:t>
      </w:r>
      <w:r>
        <w:t>which would take some time</w:t>
      </w:r>
      <w:r w:rsidRPr="003766A0">
        <w:t xml:space="preserve"> for not-for-profit entities), and confirmed, </w:t>
      </w:r>
      <w:r>
        <w:t>as</w:t>
      </w:r>
      <w:r w:rsidRPr="003766A0">
        <w:t xml:space="preserve"> outlined in this Basis for Conclusions, that the amendment is urgently needed to provide more transparency to the users of publicly lodged special purpose financial statements </w:t>
      </w:r>
      <w:r>
        <w:t xml:space="preserve">of not-for-profit private sector entities </w:t>
      </w:r>
      <w:r w:rsidRPr="003766A0">
        <w:t>and to increase the comparability of special purpose financial statements with other special purpose financial statements and general purpose financial statements.</w:t>
      </w:r>
    </w:p>
    <w:p w14:paraId="7E7A8999" w14:textId="77777777" w:rsidR="007274EF" w:rsidRPr="003766A0" w:rsidRDefault="007274EF" w:rsidP="00B9506E">
      <w:pPr>
        <w:pStyle w:val="NumBC1"/>
        <w:numPr>
          <w:ilvl w:val="0"/>
          <w:numId w:val="24"/>
        </w:numPr>
        <w:spacing w:before="100" w:after="0"/>
        <w:ind w:left="782" w:hanging="782"/>
      </w:pPr>
      <w:r w:rsidRPr="003766A0">
        <w:lastRenderedPageBreak/>
        <w:t xml:space="preserve">As noted in paragraph </w:t>
      </w:r>
      <w:r>
        <w:fldChar w:fldCharType="begin" w:fldLock="1"/>
      </w:r>
      <w:r>
        <w:instrText xml:space="preserve"> REF _Ref9248175 \r \h </w:instrText>
      </w:r>
      <w:r>
        <w:fldChar w:fldCharType="separate"/>
      </w:r>
      <w:r>
        <w:t>BC37</w:t>
      </w:r>
      <w:r>
        <w:fldChar w:fldCharType="end"/>
      </w:r>
      <w:r>
        <w:t xml:space="preserve"> </w:t>
      </w:r>
      <w:r w:rsidRPr="003766A0">
        <w:t>above, the amendments do not require entities to change their existing accounting policies</w:t>
      </w:r>
      <w:r>
        <w:t xml:space="preserve"> or perform additional assessment of compliance with the recognition and measurement requirements in Australian Accounting Standards</w:t>
      </w:r>
      <w:r w:rsidRPr="003766A0">
        <w:t>, and therefore the information required to be disclosed is based on an entity’s existing financial reporting policies and practices.  Accordingly, it is not necessary to provide an extended operative date.</w:t>
      </w:r>
    </w:p>
    <w:p w14:paraId="3DFDBCE6" w14:textId="77777777" w:rsidR="007274EF" w:rsidRPr="00BC0794" w:rsidRDefault="007274EF" w:rsidP="00B9506E">
      <w:pPr>
        <w:pStyle w:val="NumBC1"/>
        <w:numPr>
          <w:ilvl w:val="0"/>
          <w:numId w:val="24"/>
        </w:numPr>
        <w:spacing w:before="100" w:after="0"/>
        <w:ind w:left="782" w:hanging="782"/>
      </w:pPr>
      <w:r>
        <w:t>Based on the above, t</w:t>
      </w:r>
      <w:r w:rsidRPr="003766A0">
        <w:t xml:space="preserve">he Board decided </w:t>
      </w:r>
      <w:r>
        <w:t xml:space="preserve">this Standard </w:t>
      </w:r>
      <w:r w:rsidRPr="003766A0">
        <w:t>should be effective for annual periods ending on or after 30 June 2020</w:t>
      </w:r>
      <w:r>
        <w:t xml:space="preserve">, with </w:t>
      </w:r>
      <w:r w:rsidRPr="003766A0">
        <w:t>early voluntary disclosure allowed.</w:t>
      </w:r>
      <w:bookmarkEnd w:id="30"/>
      <w:bookmarkEnd w:id="31"/>
    </w:p>
    <w:p w14:paraId="77D7CF59" w14:textId="77777777" w:rsidR="009B2D75" w:rsidRDefault="009B2D75" w:rsidP="00724E10">
      <w:pPr>
        <w:spacing w:line="240" w:lineRule="auto"/>
        <w:rPr>
          <w:sz w:val="19"/>
          <w:szCs w:val="19"/>
        </w:rPr>
      </w:pPr>
    </w:p>
    <w:p w14:paraId="6F35C36C" w14:textId="3185DF64" w:rsidR="009B2D75" w:rsidRDefault="009B2D75" w:rsidP="00724E10">
      <w:pPr>
        <w:spacing w:line="240" w:lineRule="auto"/>
        <w:rPr>
          <w:sz w:val="19"/>
          <w:szCs w:val="19"/>
        </w:rPr>
        <w:sectPr w:rsidR="009B2D75" w:rsidSect="00A958E3">
          <w:pgSz w:w="11907" w:h="16840" w:code="9"/>
          <w:pgMar w:top="1440" w:right="1440" w:bottom="1440" w:left="1440" w:header="709" w:footer="709" w:gutter="0"/>
          <w:cols w:space="720"/>
          <w:docGrid w:linePitch="272"/>
        </w:sectPr>
      </w:pPr>
    </w:p>
    <w:p w14:paraId="7C96F952" w14:textId="77777777" w:rsidR="009B2D75" w:rsidRPr="00766E15" w:rsidRDefault="009B2D75" w:rsidP="009B2D75">
      <w:pPr>
        <w:pStyle w:val="ConvSectionTitle"/>
        <w:jc w:val="both"/>
      </w:pPr>
      <w:r w:rsidRPr="00766E15">
        <w:lastRenderedPageBreak/>
        <w:t>Basis for Conclusions</w:t>
      </w:r>
      <w:r>
        <w:t xml:space="preserve"> on AASB 2019-5</w:t>
      </w:r>
    </w:p>
    <w:p w14:paraId="46E7BEFE" w14:textId="77777777" w:rsidR="009B2D75" w:rsidRPr="00766E15" w:rsidRDefault="009B2D75" w:rsidP="009B2D75">
      <w:pPr>
        <w:pStyle w:val="IASBNote"/>
      </w:pPr>
      <w:r w:rsidRPr="00766E15">
        <w:t xml:space="preserve">This Basis for Conclusions accompanies, but is not </w:t>
      </w:r>
      <w:r w:rsidRPr="006763B1">
        <w:t xml:space="preserve">part of, </w:t>
      </w:r>
      <w:r>
        <w:t xml:space="preserve">AASB 1054.  The Basis for Conclusions was originally published with </w:t>
      </w:r>
      <w:r w:rsidRPr="007A7678">
        <w:t>AASB </w:t>
      </w:r>
      <w:r>
        <w:t xml:space="preserve">2019-5 </w:t>
      </w:r>
      <w:r w:rsidRPr="003819E0">
        <w:rPr>
          <w:i w:val="0"/>
        </w:rPr>
        <w:t>Amendments to Australian Accounting Standards – Disclosure of the Effect of New IFRS Standards Not Yet Issued in Australia</w:t>
      </w:r>
      <w:r>
        <w:t>.</w:t>
      </w:r>
    </w:p>
    <w:p w14:paraId="4396E805" w14:textId="77777777" w:rsidR="009B2D75" w:rsidRPr="00766E15" w:rsidRDefault="009B2D75" w:rsidP="009B2D75">
      <w:pPr>
        <w:pStyle w:val="IASBSectionTitle1NonInd"/>
        <w:jc w:val="both"/>
      </w:pPr>
      <w:r w:rsidRPr="00766E15">
        <w:t>Introduction</w:t>
      </w:r>
    </w:p>
    <w:p w14:paraId="0F4FE82D" w14:textId="77777777" w:rsidR="009B2D75" w:rsidRPr="00FA65FC" w:rsidRDefault="009B2D75" w:rsidP="00B9506E">
      <w:pPr>
        <w:pStyle w:val="NumBC1"/>
        <w:numPr>
          <w:ilvl w:val="0"/>
          <w:numId w:val="10"/>
        </w:numPr>
        <w:spacing w:before="100" w:after="0"/>
      </w:pPr>
      <w:r w:rsidRPr="00FA65FC">
        <w:t>This Basis for Conclusions summarises the Australian Accounting Standards Board’s considerations in reaching the conclusions in this Standard. It sets out the reasons why the Board developed the Standard, the approach taken to developing the Standard and the key decisions made. In making decisions, individual Board members gave greater weight to some fac</w:t>
      </w:r>
      <w:r>
        <w:t>tors than to others.</w:t>
      </w:r>
    </w:p>
    <w:p w14:paraId="078AD075" w14:textId="77777777" w:rsidR="009B2D75" w:rsidRPr="00766E15" w:rsidRDefault="009B2D75" w:rsidP="009B2D75">
      <w:pPr>
        <w:pStyle w:val="IASBSectionTitle1NonInd"/>
        <w:jc w:val="both"/>
        <w:rPr>
          <w:iCs/>
        </w:rPr>
      </w:pPr>
      <w:r w:rsidRPr="00766E15">
        <w:t xml:space="preserve">Reasons for </w:t>
      </w:r>
      <w:r>
        <w:t>issuing this Standard</w:t>
      </w:r>
    </w:p>
    <w:p w14:paraId="736BBE44" w14:textId="77777777" w:rsidR="009B2D75" w:rsidRPr="00FA65FC" w:rsidRDefault="009B2D75" w:rsidP="00B9506E">
      <w:pPr>
        <w:pStyle w:val="NumPlain1"/>
        <w:numPr>
          <w:ilvl w:val="0"/>
          <w:numId w:val="9"/>
        </w:numPr>
      </w:pPr>
      <w:r w:rsidRPr="00FA65FC">
        <w:t xml:space="preserve">In line with the Board’s Key Performance Indicators, when an IFRS Standard is issued by the International Accounting Standards Board (IASB), the Board aims to issue an equivalent Australian Accounting Standard within two months of the release of the IFRS Standard. The Board’s intention is that for-profit publicly accountable entities that comply with Australian Accounting Standards should be able to assert </w:t>
      </w:r>
      <w:r>
        <w:t>compliance with IFRS Standards.</w:t>
      </w:r>
    </w:p>
    <w:p w14:paraId="076F2587" w14:textId="77777777" w:rsidR="009B2D75" w:rsidRPr="00FA65FC" w:rsidRDefault="009B2D75" w:rsidP="00B9506E">
      <w:pPr>
        <w:pStyle w:val="NumPlain1"/>
        <w:numPr>
          <w:ilvl w:val="0"/>
          <w:numId w:val="9"/>
        </w:numPr>
      </w:pPr>
      <w:r w:rsidRPr="00FA65FC">
        <w:t xml:space="preserve">The Board noted that, without these amendments, this would not be possible in a situation where an entity’s reporting date falls between the date of the IASB issuing an IFRS Standard and the AASB issuing the corresponding Australian Accounting Standard, as the AASB 108 </w:t>
      </w:r>
      <w:r w:rsidRPr="00FA65FC">
        <w:rPr>
          <w:i/>
          <w:iCs/>
        </w:rPr>
        <w:t>Accounting Policies, Changes in Accounting Estimates and Errors</w:t>
      </w:r>
      <w:r w:rsidRPr="00FA65FC">
        <w:t xml:space="preserve"> disclosure requirements would not apply in relation to that IFRS Standard. Under these circumstances, an entity would not be able to assert compliance with IFRS Standards unless it elected to make the disclosures set out in paragraphs 30 and 31 of AASB 108 in </w:t>
      </w:r>
      <w:r>
        <w:t>relation to that IFRS Standard.</w:t>
      </w:r>
    </w:p>
    <w:p w14:paraId="4DFF5208" w14:textId="77777777" w:rsidR="009B2D75" w:rsidRPr="00FA65FC" w:rsidRDefault="009B2D75" w:rsidP="00B9506E">
      <w:pPr>
        <w:pStyle w:val="NoNumPlain1"/>
        <w:numPr>
          <w:ilvl w:val="0"/>
          <w:numId w:val="9"/>
        </w:numPr>
        <w:spacing w:before="100" w:after="0" w:line="240" w:lineRule="auto"/>
        <w:jc w:val="both"/>
        <w:rPr>
          <w:sz w:val="19"/>
          <w:szCs w:val="19"/>
        </w:rPr>
      </w:pPr>
      <w:r w:rsidRPr="00FA65FC">
        <w:rPr>
          <w:sz w:val="19"/>
          <w:szCs w:val="19"/>
        </w:rPr>
        <w:t xml:space="preserve">The Board decided to add an additional disclosure requirement to AASB 1054 </w:t>
      </w:r>
      <w:r w:rsidRPr="00FA65FC">
        <w:rPr>
          <w:i/>
          <w:iCs/>
          <w:sz w:val="19"/>
          <w:szCs w:val="19"/>
        </w:rPr>
        <w:t>Australian Additional Disclosures</w:t>
      </w:r>
      <w:r w:rsidRPr="00FA65FC">
        <w:rPr>
          <w:sz w:val="19"/>
          <w:szCs w:val="19"/>
        </w:rPr>
        <w:t xml:space="preserve"> requiring an entity that intends to comply with IFRS Standards to disclose the information in paragraphs 30 and 31 of AASB 108 on the potential effect on the entity’s financial statements of an IFRS Standard that has not yet been issued by the Board. This disclosure requirement will be particularly relevant to for-profit publicly accountable entities seeking IFRS compliance. Not-for-profit entities need not provide the disclosures if they are not able to or are not seeking to comply with IFRS Standards.</w:t>
      </w:r>
    </w:p>
    <w:p w14:paraId="56FADA44" w14:textId="77777777" w:rsidR="009B2D75" w:rsidRPr="00FA65FC" w:rsidRDefault="009B2D75" w:rsidP="00B9506E">
      <w:pPr>
        <w:pStyle w:val="NoNumPlain1"/>
        <w:numPr>
          <w:ilvl w:val="0"/>
          <w:numId w:val="9"/>
        </w:numPr>
        <w:spacing w:before="100" w:after="0" w:line="240" w:lineRule="auto"/>
        <w:jc w:val="both"/>
        <w:rPr>
          <w:sz w:val="19"/>
          <w:szCs w:val="19"/>
        </w:rPr>
      </w:pPr>
      <w:r w:rsidRPr="00FA65FC">
        <w:rPr>
          <w:sz w:val="19"/>
          <w:szCs w:val="19"/>
        </w:rPr>
        <w:t xml:space="preserve">The disclosures set out in paragraphs 30 and 31 are not required of Tier 2 entities under Australian Accounting Standards – Reduced Disclosure Requirements. Similarly, these disclosures are not proposed to be required of Tier 2 entities in Exposure Draft ED 295 </w:t>
      </w:r>
      <w:r w:rsidRPr="00FA65FC">
        <w:rPr>
          <w:i/>
          <w:iCs/>
          <w:sz w:val="19"/>
          <w:szCs w:val="19"/>
        </w:rPr>
        <w:t>General Purpose Financial Statements</w:t>
      </w:r>
      <w:r w:rsidRPr="00FA65FC">
        <w:rPr>
          <w:sz w:val="19"/>
          <w:szCs w:val="19"/>
        </w:rPr>
        <w:t xml:space="preserve"> – </w:t>
      </w:r>
      <w:r w:rsidRPr="00FA65FC">
        <w:rPr>
          <w:i/>
          <w:iCs/>
          <w:sz w:val="19"/>
          <w:szCs w:val="19"/>
        </w:rPr>
        <w:t>Simplified Disclosures for For-Profit and Not-for-Profit Tier 2 Entities.</w:t>
      </w:r>
      <w:r w:rsidRPr="00FA65FC">
        <w:rPr>
          <w:sz w:val="19"/>
          <w:szCs w:val="19"/>
        </w:rPr>
        <w:t xml:space="preserve"> Therefore, the Board decided it would be appropriate not to require Tier 2 entities to provide the disclosures in relation to new IFRS Standards not yet issued in Australia. Tier 2 entities preparing general purpose financial statements under the Reduced Disclosure Requirements will not be in compliance with IFRS Standards, and so such entities could not intend to comply with IFRS Standards. Although the disclosure requirement therefore would not apply to Tier 2 entities, the Board decided to make explicit the non-application to Tier 2 entities.</w:t>
      </w:r>
    </w:p>
    <w:p w14:paraId="709448FA" w14:textId="77777777" w:rsidR="009B2D75" w:rsidRPr="00FA65FC" w:rsidRDefault="009B2D75" w:rsidP="00B9506E">
      <w:pPr>
        <w:pStyle w:val="NoNumPlain1"/>
        <w:numPr>
          <w:ilvl w:val="0"/>
          <w:numId w:val="9"/>
        </w:numPr>
        <w:spacing w:before="100" w:after="0" w:line="240" w:lineRule="auto"/>
        <w:jc w:val="both"/>
        <w:rPr>
          <w:sz w:val="19"/>
          <w:szCs w:val="19"/>
        </w:rPr>
      </w:pPr>
      <w:r w:rsidRPr="00FA65FC">
        <w:rPr>
          <w:sz w:val="19"/>
          <w:szCs w:val="19"/>
        </w:rPr>
        <w:t>The Board also noted that the New Zealand equivalent of AASB 1054, Financial Reporting Standard FRS</w:t>
      </w:r>
      <w:r>
        <w:rPr>
          <w:sz w:val="19"/>
          <w:szCs w:val="19"/>
        </w:rPr>
        <w:t> </w:t>
      </w:r>
      <w:r w:rsidRPr="00FA65FC">
        <w:rPr>
          <w:sz w:val="19"/>
          <w:szCs w:val="19"/>
        </w:rPr>
        <w:t xml:space="preserve">44 </w:t>
      </w:r>
      <w:r w:rsidRPr="00FA65FC">
        <w:rPr>
          <w:i/>
          <w:iCs/>
          <w:sz w:val="19"/>
          <w:szCs w:val="19"/>
        </w:rPr>
        <w:t>New Zealand Additional Disclosures</w:t>
      </w:r>
      <w:r w:rsidRPr="00FA65FC">
        <w:rPr>
          <w:sz w:val="19"/>
          <w:szCs w:val="19"/>
        </w:rPr>
        <w:t xml:space="preserve">, has been amended similarly in relation to IFRS Standards that have not yet been issued in New Zealand. </w:t>
      </w:r>
      <w:r w:rsidRPr="00FA65FC">
        <w:rPr>
          <w:i/>
          <w:iCs/>
          <w:sz w:val="19"/>
          <w:szCs w:val="19"/>
        </w:rPr>
        <w:t>The</w:t>
      </w:r>
      <w:r w:rsidRPr="00FA65FC">
        <w:rPr>
          <w:sz w:val="19"/>
          <w:szCs w:val="19"/>
        </w:rPr>
        <w:t xml:space="preserve"> </w:t>
      </w:r>
      <w:r w:rsidRPr="00FA65FC">
        <w:rPr>
          <w:i/>
          <w:iCs/>
          <w:sz w:val="19"/>
          <w:szCs w:val="19"/>
        </w:rPr>
        <w:t>AASB’s For-Profit Entity Standard-Setting Framework</w:t>
      </w:r>
      <w:r w:rsidRPr="00FA65FC">
        <w:rPr>
          <w:sz w:val="19"/>
          <w:szCs w:val="19"/>
        </w:rPr>
        <w:t xml:space="preserve"> requires that, wherever possible, differences between accounting standards issued in Australia and New Zealand should be minimised to reduce costs for e</w:t>
      </w:r>
      <w:r>
        <w:rPr>
          <w:sz w:val="19"/>
          <w:szCs w:val="19"/>
        </w:rPr>
        <w:t>ntities operating trans-Tasman.</w:t>
      </w:r>
    </w:p>
    <w:p w14:paraId="03C09CB4" w14:textId="77777777" w:rsidR="009B2D75" w:rsidRPr="00766E15" w:rsidRDefault="009B2D75" w:rsidP="009B2D75">
      <w:pPr>
        <w:pStyle w:val="IASBSectionTitle1NonInd"/>
        <w:jc w:val="both"/>
        <w:rPr>
          <w:iCs/>
        </w:rPr>
      </w:pPr>
      <w:r w:rsidRPr="008C5537">
        <w:t>Issue of Fatal-Flaw Review version</w:t>
      </w:r>
    </w:p>
    <w:p w14:paraId="41F1E4C2" w14:textId="0F485EDD" w:rsidR="00FA65FC" w:rsidRPr="00FA65FC" w:rsidRDefault="009B2D75" w:rsidP="00B9506E">
      <w:pPr>
        <w:pStyle w:val="NoNumPlain1"/>
        <w:numPr>
          <w:ilvl w:val="0"/>
          <w:numId w:val="9"/>
        </w:numPr>
        <w:spacing w:before="100" w:after="0" w:line="240" w:lineRule="auto"/>
        <w:jc w:val="both"/>
        <w:rPr>
          <w:sz w:val="19"/>
          <w:szCs w:val="19"/>
        </w:rPr>
      </w:pPr>
      <w:r w:rsidRPr="00FA65FC">
        <w:rPr>
          <w:sz w:val="19"/>
          <w:szCs w:val="19"/>
        </w:rPr>
        <w:t>In October 2019, the Board issued a Fatal-Flaw Review version of the amendment for public comment with a two-week comment period. The Board decided to provide only a short comment period as it considered the matter was straightforward and not controversial. The Board received one submission on the Fatal-Flaw Review version. The Board considered the feedback received and decided that the proposed amending Standard did not require amendment and that further due process was not needed. Accordingly, the Board finalised the amending Standard to add the disclosure requirement to AASB 1054.</w:t>
      </w:r>
    </w:p>
    <w:sectPr w:rsidR="00FA65FC" w:rsidRPr="00FA65FC" w:rsidSect="00A958E3">
      <w:pgSz w:w="11907" w:h="16840" w:code="9"/>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EE91" w14:textId="77777777" w:rsidR="0073410A" w:rsidRDefault="0073410A">
      <w:r>
        <w:separator/>
      </w:r>
    </w:p>
  </w:endnote>
  <w:endnote w:type="continuationSeparator" w:id="0">
    <w:p w14:paraId="6430BD1E" w14:textId="77777777" w:rsidR="0073410A" w:rsidRDefault="0073410A">
      <w:r>
        <w:continuationSeparator/>
      </w:r>
    </w:p>
  </w:endnote>
  <w:endnote w:type="continuationNotice" w:id="1">
    <w:p w14:paraId="30FC6BAA" w14:textId="77777777" w:rsidR="0073410A" w:rsidRDefault="007341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charset w:val="00"/>
    <w:family w:val="swiss"/>
    <w:pitch w:val="variable"/>
    <w:sig w:usb0="800000AF" w:usb1="4000204A" w:usb2="00000000" w:usb3="00000000" w:csb0="00000001" w:csb1="00000000"/>
  </w:font>
  <w:font w:name="HelveticaNeueLT Std Blk">
    <w:altName w:val="Arial"/>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29" w14:textId="77777777" w:rsidR="00962ABB" w:rsidRDefault="00962ABB" w:rsidP="00A958E3">
    <w:pPr>
      <w:pStyle w:val="Footer"/>
    </w:pPr>
    <w:r>
      <w:t xml:space="preserve">AASB </w:t>
    </w:r>
    <w:r>
      <w:fldChar w:fldCharType="begin" w:fldLock="1"/>
    </w:r>
    <w:r>
      <w:instrText xml:space="preserve"> REF DocNo  \* charformat </w:instrText>
    </w:r>
    <w:r>
      <w:fldChar w:fldCharType="separate"/>
    </w:r>
    <w:r w:rsidRPr="00C50009">
      <w:t>1054</w:t>
    </w:r>
    <w:r>
      <w:fldChar w:fldCharType="end"/>
    </w:r>
    <w:r>
      <w:t>-compiled</w:t>
    </w:r>
    <w:r>
      <w:tab/>
    </w:r>
    <w:r w:rsidRPr="002F6ADC">
      <w:rPr>
        <w:b w:val="0"/>
      </w:rPr>
      <w:fldChar w:fldCharType="begin"/>
    </w:r>
    <w:r w:rsidRPr="002F6ADC">
      <w:rPr>
        <w:b w:val="0"/>
      </w:rPr>
      <w:instrText>PAGE</w:instrText>
    </w:r>
    <w:r w:rsidRPr="002F6ADC">
      <w:rPr>
        <w:b w:val="0"/>
      </w:rPr>
      <w:fldChar w:fldCharType="separate"/>
    </w:r>
    <w:r w:rsidR="001B5DF1">
      <w:rPr>
        <w:b w:val="0"/>
        <w:noProof/>
      </w:rPr>
      <w:t>2</w:t>
    </w:r>
    <w:r w:rsidRPr="002F6ADC">
      <w:rPr>
        <w:b w:val="0"/>
      </w:rPr>
      <w:fldChar w:fldCharType="end"/>
    </w:r>
    <w:r>
      <w:tab/>
    </w:r>
    <w:r>
      <w:rPr>
        <w:bCs/>
      </w:rPr>
      <w:t>COPYRIGHT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A" w14:textId="1B69CE88" w:rsidR="00962ABB" w:rsidRPr="00A958E3" w:rsidRDefault="00962ABB" w:rsidP="00A958E3">
    <w:pPr>
      <w:pStyle w:val="Footer"/>
    </w:pPr>
    <w:r w:rsidRPr="00A958E3">
      <w:t xml:space="preserve">AASB </w:t>
    </w:r>
    <w:r w:rsidRPr="00A958E3">
      <w:fldChar w:fldCharType="begin" w:fldLock="1"/>
    </w:r>
    <w:r w:rsidRPr="00A958E3">
      <w:instrText xml:space="preserve"> REF DocNo  \* charformat </w:instrText>
    </w:r>
    <w:r>
      <w:instrText xml:space="preserve"> \* MERGEFORMAT </w:instrText>
    </w:r>
    <w:r w:rsidRPr="00A958E3">
      <w:fldChar w:fldCharType="separate"/>
    </w:r>
    <w:r w:rsidRPr="00A958E3">
      <w:t>1054</w:t>
    </w:r>
    <w:r w:rsidRPr="00A958E3">
      <w:fldChar w:fldCharType="end"/>
    </w:r>
    <w:r w:rsidRPr="00A958E3">
      <w:t>-compiled</w:t>
    </w:r>
    <w:r w:rsidRPr="00A958E3">
      <w:tab/>
    </w:r>
    <w:r w:rsidRPr="002F6ADC">
      <w:rPr>
        <w:b w:val="0"/>
      </w:rPr>
      <w:fldChar w:fldCharType="begin"/>
    </w:r>
    <w:r w:rsidRPr="002F6ADC">
      <w:rPr>
        <w:b w:val="0"/>
      </w:rPr>
      <w:instrText>PAGE</w:instrText>
    </w:r>
    <w:r w:rsidRPr="002F6ADC">
      <w:rPr>
        <w:b w:val="0"/>
      </w:rPr>
      <w:fldChar w:fldCharType="separate"/>
    </w:r>
    <w:r w:rsidR="001B5DF1">
      <w:rPr>
        <w:b w:val="0"/>
        <w:noProof/>
      </w:rPr>
      <w:t>24</w:t>
    </w:r>
    <w:r w:rsidRPr="002F6ADC">
      <w:rPr>
        <w:b w:val="0"/>
      </w:rPr>
      <w:fldChar w:fldCharType="end"/>
    </w:r>
    <w:r w:rsidRPr="00A958E3">
      <w:tab/>
      <w:t>BASIS FOR CONCLUSIONS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C" w14:textId="77777777" w:rsidR="00962ABB" w:rsidRDefault="00962ABB" w:rsidP="00A95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2C" w14:textId="77777777" w:rsidR="00962ABB" w:rsidRDefault="00962ABB" w:rsidP="00A958E3">
    <w:pPr>
      <w:pStyle w:val="Footer"/>
    </w:pPr>
    <w:r>
      <w:t xml:space="preserve">AASB </w:t>
    </w:r>
    <w:r>
      <w:fldChar w:fldCharType="begin" w:fldLock="1"/>
    </w:r>
    <w:r>
      <w:instrText xml:space="preserve"> REF DocNo  \* charformat </w:instrText>
    </w:r>
    <w:r>
      <w:fldChar w:fldCharType="separate"/>
    </w:r>
    <w:r w:rsidRPr="00C50009">
      <w:t>1054</w:t>
    </w:r>
    <w:r>
      <w:fldChar w:fldCharType="end"/>
    </w:r>
    <w:r>
      <w:t>-compiled</w:t>
    </w:r>
    <w:r>
      <w:tab/>
    </w:r>
    <w:r w:rsidRPr="002F6ADC">
      <w:rPr>
        <w:b w:val="0"/>
      </w:rPr>
      <w:fldChar w:fldCharType="begin"/>
    </w:r>
    <w:r w:rsidRPr="002F6ADC">
      <w:rPr>
        <w:b w:val="0"/>
      </w:rPr>
      <w:instrText>PAGE</w:instrText>
    </w:r>
    <w:r w:rsidRPr="002F6ADC">
      <w:rPr>
        <w:b w:val="0"/>
      </w:rPr>
      <w:fldChar w:fldCharType="separate"/>
    </w:r>
    <w:r w:rsidR="001B5DF1">
      <w:rPr>
        <w:b w:val="0"/>
        <w:noProof/>
      </w:rPr>
      <w:t>3</w:t>
    </w:r>
    <w:r w:rsidRPr="002F6ADC">
      <w:rPr>
        <w:b w:val="0"/>
      </w:rPr>
      <w:fldChar w:fldCharType="end"/>
    </w:r>
    <w:r>
      <w:tab/>
    </w:r>
    <w:r>
      <w:rPr>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1" w14:textId="77777777" w:rsidR="00962ABB" w:rsidRDefault="00962ABB" w:rsidP="00A958E3">
    <w:pPr>
      <w:pStyle w:val="Footer"/>
    </w:pPr>
    <w:r>
      <w:t xml:space="preserve">AASB </w:t>
    </w:r>
    <w:r>
      <w:fldChar w:fldCharType="begin" w:fldLock="1"/>
    </w:r>
    <w:r>
      <w:instrText xml:space="preserve"> REF DocNo  \* charformat </w:instrText>
    </w:r>
    <w:r>
      <w:fldChar w:fldCharType="separate"/>
    </w:r>
    <w:r w:rsidRPr="00C50009">
      <w:t>1054</w:t>
    </w:r>
    <w:r>
      <w:fldChar w:fldCharType="end"/>
    </w:r>
    <w:r>
      <w:t>-compiled</w:t>
    </w:r>
    <w:r>
      <w:tab/>
    </w:r>
    <w:r w:rsidRPr="002F6ADC">
      <w:rPr>
        <w:b w:val="0"/>
      </w:rPr>
      <w:fldChar w:fldCharType="begin"/>
    </w:r>
    <w:r w:rsidRPr="002F6ADC">
      <w:rPr>
        <w:b w:val="0"/>
      </w:rPr>
      <w:instrText>PAGE</w:instrText>
    </w:r>
    <w:r w:rsidRPr="002F6ADC">
      <w:rPr>
        <w:b w:val="0"/>
      </w:rPr>
      <w:fldChar w:fldCharType="separate"/>
    </w:r>
    <w:r w:rsidR="001B5DF1">
      <w:rPr>
        <w:b w:val="0"/>
        <w:noProof/>
      </w:rPr>
      <w:t>4</w:t>
    </w:r>
    <w:r w:rsidRPr="002F6ADC">
      <w:rPr>
        <w:b w:val="0"/>
      </w:rPr>
      <w:fldChar w:fldCharType="end"/>
    </w:r>
    <w:r>
      <w:tab/>
    </w:r>
    <w:r>
      <w:rPr>
        <w:bCs/>
      </w:rPr>
      <w:t>COMPARISON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5" w14:textId="77777777" w:rsidR="00962ABB" w:rsidRDefault="00962ABB" w:rsidP="00464071">
    <w:pPr>
      <w:pStyle w:val="Footer"/>
    </w:pPr>
    <w:r>
      <w:t xml:space="preserve">AASB </w:t>
    </w:r>
    <w:r>
      <w:fldChar w:fldCharType="begin" w:fldLock="1"/>
    </w:r>
    <w:r>
      <w:instrText xml:space="preserve"> REF DocNo  \* charformat </w:instrText>
    </w:r>
    <w:r>
      <w:fldChar w:fldCharType="separate"/>
    </w:r>
    <w:r w:rsidRPr="00C50009">
      <w:t>1054</w:t>
    </w:r>
    <w:r>
      <w:fldChar w:fldCharType="end"/>
    </w:r>
    <w:r>
      <w:t>-compiled</w:t>
    </w:r>
    <w:r>
      <w:tab/>
    </w:r>
    <w:r w:rsidRPr="002F6ADC">
      <w:rPr>
        <w:b w:val="0"/>
      </w:rPr>
      <w:fldChar w:fldCharType="begin"/>
    </w:r>
    <w:r w:rsidRPr="002F6ADC">
      <w:rPr>
        <w:b w:val="0"/>
      </w:rPr>
      <w:instrText>PAGE</w:instrText>
    </w:r>
    <w:r w:rsidRPr="002F6ADC">
      <w:rPr>
        <w:b w:val="0"/>
      </w:rPr>
      <w:fldChar w:fldCharType="separate"/>
    </w:r>
    <w:r w:rsidR="001B5DF1">
      <w:rPr>
        <w:b w:val="0"/>
        <w:noProof/>
      </w:rPr>
      <w:t>7</w:t>
    </w:r>
    <w:r w:rsidRPr="002F6ADC">
      <w:rPr>
        <w:b w:val="0"/>
      </w:rPr>
      <w:fldChar w:fldCharType="end"/>
    </w:r>
    <w:r>
      <w:tab/>
    </w:r>
    <w:r>
      <w:rPr>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FEBE" w14:textId="44A6622A" w:rsidR="00C624A5" w:rsidRDefault="00C624A5" w:rsidP="00464071">
    <w:pPr>
      <w:pStyle w:val="Footer"/>
    </w:pPr>
    <w:r>
      <w:t xml:space="preserve">AASB </w:t>
    </w:r>
    <w:r>
      <w:fldChar w:fldCharType="begin" w:fldLock="1"/>
    </w:r>
    <w:r>
      <w:instrText xml:space="preserve"> REF DocNo  \* charformat </w:instrText>
    </w:r>
    <w:r>
      <w:fldChar w:fldCharType="separate"/>
    </w:r>
    <w:r w:rsidRPr="00C50009">
      <w:t>1054</w:t>
    </w:r>
    <w:r>
      <w:fldChar w:fldCharType="end"/>
    </w:r>
    <w:r>
      <w:t>-compiled</w:t>
    </w:r>
    <w:r>
      <w:tab/>
    </w:r>
    <w:r w:rsidRPr="002F6ADC">
      <w:rPr>
        <w:b w:val="0"/>
      </w:rPr>
      <w:fldChar w:fldCharType="begin"/>
    </w:r>
    <w:r w:rsidRPr="002F6ADC">
      <w:rPr>
        <w:b w:val="0"/>
      </w:rPr>
      <w:instrText>PAGE</w:instrText>
    </w:r>
    <w:r w:rsidRPr="002F6ADC">
      <w:rPr>
        <w:b w:val="0"/>
      </w:rPr>
      <w:fldChar w:fldCharType="separate"/>
    </w:r>
    <w:r>
      <w:rPr>
        <w:b w:val="0"/>
        <w:noProof/>
      </w:rPr>
      <w:t>7</w:t>
    </w:r>
    <w:r w:rsidRPr="002F6ADC">
      <w:rPr>
        <w:b w:val="0"/>
      </w:rPr>
      <w:fldChar w:fldCharType="end"/>
    </w:r>
    <w:r>
      <w:tab/>
    </w:r>
    <w:r>
      <w:rPr>
        <w:bCs/>
      </w:rPr>
      <w:t>APPENDIX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7A01" w14:textId="559D9690" w:rsidR="00962ABB" w:rsidRDefault="00962ABB" w:rsidP="00AE7922">
    <w:pPr>
      <w:pStyle w:val="Footer"/>
      <w:jc w:val="right"/>
      <w:rPr>
        <w:b w:val="0"/>
      </w:rPr>
    </w:pPr>
    <w:r>
      <w:t xml:space="preserve">AASB </w:t>
    </w:r>
    <w:r>
      <w:fldChar w:fldCharType="begin" w:fldLock="1"/>
    </w:r>
    <w:r>
      <w:instrText xml:space="preserve"> REF DocNo  \* charformat </w:instrText>
    </w:r>
    <w:r>
      <w:fldChar w:fldCharType="separate"/>
    </w:r>
    <w:r w:rsidRPr="00C50009">
      <w:t>1054</w:t>
    </w:r>
    <w:r>
      <w:fldChar w:fldCharType="end"/>
    </w:r>
    <w:r>
      <w:t>-compiled</w:t>
    </w:r>
    <w:r>
      <w:tab/>
    </w:r>
    <w:r w:rsidRPr="00331C77">
      <w:rPr>
        <w:b w:val="0"/>
      </w:rPr>
      <w:fldChar w:fldCharType="begin"/>
    </w:r>
    <w:r w:rsidRPr="00331C77">
      <w:rPr>
        <w:b w:val="0"/>
      </w:rPr>
      <w:instrText>PAGE</w:instrText>
    </w:r>
    <w:r w:rsidRPr="00331C77">
      <w:rPr>
        <w:b w:val="0"/>
      </w:rPr>
      <w:fldChar w:fldCharType="separate"/>
    </w:r>
    <w:r w:rsidR="001B5DF1">
      <w:rPr>
        <w:b w:val="0"/>
        <w:noProof/>
      </w:rPr>
      <w:t>15</w:t>
    </w:r>
    <w:r w:rsidRPr="00331C77">
      <w:rPr>
        <w:b w:val="0"/>
      </w:rPr>
      <w:fldChar w:fldCharType="end"/>
    </w:r>
    <w:r>
      <w:tab/>
      <w:t>GUIDANCE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98A4" w14:textId="77777777" w:rsidR="00962ABB" w:rsidRDefault="00962AB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ADAE" w14:textId="6EA7A3A8" w:rsidR="00962ABB" w:rsidRDefault="00962ABB" w:rsidP="00A958E3">
    <w:pPr>
      <w:pStyle w:val="Footer"/>
    </w:pPr>
    <w:r>
      <w:t xml:space="preserve">AASB </w:t>
    </w:r>
    <w:r>
      <w:fldChar w:fldCharType="begin" w:fldLock="1"/>
    </w:r>
    <w:r>
      <w:instrText xml:space="preserve"> REF DocNo  \* charformat </w:instrText>
    </w:r>
    <w:r>
      <w:fldChar w:fldCharType="separate"/>
    </w:r>
    <w:r w:rsidRPr="00C50009">
      <w:t>1054</w:t>
    </w:r>
    <w:r>
      <w:fldChar w:fldCharType="end"/>
    </w:r>
    <w:r>
      <w:t>-compiled</w:t>
    </w:r>
    <w:r>
      <w:tab/>
    </w:r>
    <w:r w:rsidRPr="002F6ADC">
      <w:rPr>
        <w:b w:val="0"/>
      </w:rPr>
      <w:fldChar w:fldCharType="begin"/>
    </w:r>
    <w:r w:rsidRPr="002F6ADC">
      <w:rPr>
        <w:b w:val="0"/>
      </w:rPr>
      <w:instrText>PAGE</w:instrText>
    </w:r>
    <w:r w:rsidRPr="002F6ADC">
      <w:rPr>
        <w:b w:val="0"/>
      </w:rPr>
      <w:fldChar w:fldCharType="separate"/>
    </w:r>
    <w:r w:rsidR="001B5DF1">
      <w:rPr>
        <w:b w:val="0"/>
        <w:noProof/>
      </w:rPr>
      <w:t>16</w:t>
    </w:r>
    <w:r w:rsidRPr="002F6ADC">
      <w:rPr>
        <w:b w:val="0"/>
      </w:rPr>
      <w:fldChar w:fldCharType="end"/>
    </w:r>
    <w:r>
      <w:tab/>
    </w:r>
    <w:r>
      <w:rPr>
        <w:bCs/>
      </w:rPr>
      <w:t>COMPILATION DETAILS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9" w14:textId="77777777" w:rsidR="00962ABB" w:rsidRDefault="00962ABB" w:rsidP="00A95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CFAA" w14:textId="77777777" w:rsidR="0073410A" w:rsidRDefault="0073410A">
      <w:r>
        <w:separator/>
      </w:r>
    </w:p>
  </w:footnote>
  <w:footnote w:type="continuationSeparator" w:id="0">
    <w:p w14:paraId="3B145CC2" w14:textId="77777777" w:rsidR="0073410A" w:rsidRDefault="0073410A">
      <w:r>
        <w:continuationSeparator/>
      </w:r>
    </w:p>
  </w:footnote>
  <w:footnote w:type="continuationNotice" w:id="1">
    <w:p w14:paraId="3F91E0A0" w14:textId="77777777" w:rsidR="0073410A" w:rsidRDefault="0073410A">
      <w:pPr>
        <w:spacing w:line="240" w:lineRule="auto"/>
      </w:pPr>
    </w:p>
  </w:footnote>
  <w:footnote w:id="2">
    <w:p w14:paraId="4A44A962" w14:textId="26EC8ED6" w:rsidR="00962ABB" w:rsidRPr="00BE07AF" w:rsidRDefault="00962ABB" w:rsidP="000E5ADA">
      <w:pPr>
        <w:pStyle w:val="FootnoteText"/>
        <w:spacing w:line="240" w:lineRule="auto"/>
        <w:ind w:left="284" w:hanging="284"/>
        <w:jc w:val="both"/>
        <w:rPr>
          <w:szCs w:val="16"/>
        </w:rPr>
      </w:pPr>
      <w:r w:rsidRPr="00A41CF7">
        <w:rPr>
          <w:rStyle w:val="FootnoteReference"/>
          <w:szCs w:val="16"/>
          <w:vertAlign w:val="baseline"/>
        </w:rPr>
        <w:footnoteRef/>
      </w:r>
      <w:r w:rsidRPr="00A41CF7">
        <w:rPr>
          <w:szCs w:val="16"/>
        </w:rPr>
        <w:t xml:space="preserve"> </w:t>
      </w:r>
      <w:r w:rsidRPr="00BE07AF">
        <w:rPr>
          <w:szCs w:val="16"/>
        </w:rPr>
        <w:tab/>
        <w:t>“Reporting entity means an entity in respect of which it is reasonable to expect the existence of users who rely on the entity’s general purpose financial statements for information that will be useful to them for making and evaluating decisions abou</w:t>
      </w:r>
      <w:r>
        <w:rPr>
          <w:szCs w:val="16"/>
        </w:rPr>
        <w:t xml:space="preserve">t the allocation of resources. </w:t>
      </w:r>
      <w:r w:rsidRPr="00BE07AF">
        <w:rPr>
          <w:szCs w:val="16"/>
        </w:rPr>
        <w:t>A reporting entity can be a single entity or a group comprising a parent</w:t>
      </w:r>
      <w:r>
        <w:rPr>
          <w:szCs w:val="16"/>
        </w:rPr>
        <w:t xml:space="preserve"> and all of its subsidiaries.” </w:t>
      </w:r>
      <w:r w:rsidRPr="00BE07AF">
        <w:rPr>
          <w:szCs w:val="16"/>
        </w:rPr>
        <w:t>AASB 1053, Appendix A.</w:t>
      </w:r>
    </w:p>
  </w:footnote>
  <w:footnote w:id="3">
    <w:p w14:paraId="4722E8AC" w14:textId="77777777" w:rsidR="00962ABB" w:rsidRPr="00340590" w:rsidRDefault="00962ABB" w:rsidP="000E5ADA">
      <w:pPr>
        <w:pStyle w:val="FootnoteText"/>
        <w:spacing w:line="240" w:lineRule="auto"/>
        <w:ind w:left="284" w:hanging="284"/>
        <w:jc w:val="both"/>
        <w:rPr>
          <w:szCs w:val="16"/>
        </w:rPr>
      </w:pPr>
      <w:r w:rsidRPr="00A41CF7">
        <w:rPr>
          <w:rStyle w:val="FootnoteReference"/>
          <w:szCs w:val="16"/>
          <w:vertAlign w:val="baseline"/>
        </w:rPr>
        <w:footnoteRef/>
      </w:r>
      <w:r w:rsidRPr="00BE07AF">
        <w:rPr>
          <w:szCs w:val="16"/>
        </w:rPr>
        <w:t xml:space="preserve"> </w:t>
      </w:r>
      <w:r w:rsidRPr="00BE07AF">
        <w:rPr>
          <w:szCs w:val="16"/>
        </w:rPr>
        <w:tab/>
        <w:t xml:space="preserve">A “ ‘general purpose financial report’ </w:t>
      </w:r>
      <w:r w:rsidRPr="00C65EAC">
        <w:rPr>
          <w:szCs w:val="16"/>
        </w:rPr>
        <w:t>means a financial report intended to meet the information needs common to users who are unable</w:t>
      </w:r>
      <w:r w:rsidRPr="00340590">
        <w:rPr>
          <w:szCs w:val="16"/>
        </w:rPr>
        <w:t xml:space="preserve"> to command the preparation of reports tailored so as to satisfy, specifically, all of their information needs”.  SAC 1, paragraph 6</w:t>
      </w:r>
      <w:r>
        <w:rPr>
          <w:szCs w:val="16"/>
        </w:rPr>
        <w:t>.</w:t>
      </w:r>
    </w:p>
  </w:footnote>
  <w:footnote w:id="4">
    <w:p w14:paraId="2144E0AF" w14:textId="1EF0D571" w:rsidR="00962ABB" w:rsidRPr="00340590" w:rsidRDefault="00962ABB" w:rsidP="000E5ADA">
      <w:pPr>
        <w:pStyle w:val="FootnoteText"/>
        <w:spacing w:line="240" w:lineRule="auto"/>
        <w:ind w:left="284" w:hanging="284"/>
        <w:jc w:val="both"/>
      </w:pPr>
      <w:r w:rsidRPr="00A41CF7">
        <w:rPr>
          <w:rStyle w:val="FootnoteReference"/>
          <w:vertAlign w:val="baseline"/>
        </w:rPr>
        <w:footnoteRef/>
      </w:r>
      <w:r w:rsidRPr="00A41CF7">
        <w:t xml:space="preserve"> </w:t>
      </w:r>
      <w:r w:rsidRPr="00340590">
        <w:tab/>
        <w:t xml:space="preserve">For those entities that are required to prepare and lodge financial statements with </w:t>
      </w:r>
      <w:r>
        <w:t xml:space="preserve">the </w:t>
      </w:r>
      <w:r w:rsidRPr="00340590">
        <w:t xml:space="preserve">Australian Securities and Investments Commission </w:t>
      </w:r>
      <w:r>
        <w:t>(</w:t>
      </w:r>
      <w:r w:rsidRPr="00340590">
        <w:t>ASIC</w:t>
      </w:r>
      <w:r>
        <w:t>)</w:t>
      </w:r>
      <w:r w:rsidRPr="00340590">
        <w:t xml:space="preserve"> by Part 2M.3 of the </w:t>
      </w:r>
      <w:r w:rsidRPr="00240D9F">
        <w:rPr>
          <w:i/>
        </w:rPr>
        <w:t>Corporations Act 2001</w:t>
      </w:r>
      <w:r w:rsidRPr="00340590">
        <w:t xml:space="preserve">, and </w:t>
      </w:r>
      <w:r>
        <w:t xml:space="preserve">who </w:t>
      </w:r>
      <w:r w:rsidRPr="00340590">
        <w:t xml:space="preserve">are preparing special purpose financial statements, paragraph 2 of ASIC Regulatory Guide 85 </w:t>
      </w:r>
      <w:r w:rsidRPr="00947484">
        <w:rPr>
          <w:i/>
        </w:rPr>
        <w:t>Reporting requirements for non-reporting entities</w:t>
      </w:r>
      <w:r>
        <w:t xml:space="preserve"> states “…</w:t>
      </w:r>
      <w:r w:rsidRPr="00340590">
        <w:t xml:space="preserve"> ASIC believes that non-reporting entities, which are required to prepare financial reports in accordance with Chapter 2M of the Corporations Act 2001 (Act), should comply with the recognition and measurement requirements of accounting standards”.  For those entities that are required to prepare and lodge financial statements with the Australian Charities and Not-for-profits Commission (ACNC)</w:t>
      </w:r>
      <w:r>
        <w:t xml:space="preserve">, </w:t>
      </w:r>
      <w:r w:rsidRPr="00340590">
        <w:t xml:space="preserve">section 60.10(3) of ACNC Regulations requires financial statements and notes give a ‘true and fair view’, and the determination is required by the charity as well as the auditors in their audit report.  </w:t>
      </w:r>
    </w:p>
  </w:footnote>
  <w:footnote w:id="5">
    <w:p w14:paraId="6A6C5703" w14:textId="77777777" w:rsidR="00962ABB" w:rsidRDefault="00962ABB" w:rsidP="000E5ADA">
      <w:pPr>
        <w:pStyle w:val="FootnoteText"/>
        <w:spacing w:line="240" w:lineRule="auto"/>
        <w:ind w:left="284" w:hanging="284"/>
        <w:jc w:val="both"/>
      </w:pPr>
      <w:r w:rsidRPr="00724E10">
        <w:rPr>
          <w:rStyle w:val="FootnoteReference"/>
          <w:vertAlign w:val="baseline"/>
        </w:rPr>
        <w:footnoteRef/>
      </w:r>
      <w:r w:rsidRPr="00724E10">
        <w:t xml:space="preserve"> </w:t>
      </w:r>
      <w:r>
        <w:tab/>
      </w:r>
      <w:r w:rsidRPr="007000FD">
        <w:t>Research Report 11.</w:t>
      </w:r>
    </w:p>
  </w:footnote>
  <w:footnote w:id="6">
    <w:p w14:paraId="59530C31" w14:textId="77777777" w:rsidR="00962ABB" w:rsidRPr="006D3ADC" w:rsidRDefault="00962ABB" w:rsidP="000E5ADA">
      <w:pPr>
        <w:pStyle w:val="FootnoteText"/>
        <w:spacing w:line="240" w:lineRule="auto"/>
        <w:ind w:left="284" w:hanging="284"/>
        <w:jc w:val="both"/>
      </w:pPr>
      <w:r w:rsidRPr="00724E10">
        <w:rPr>
          <w:rStyle w:val="FootnoteReference"/>
          <w:vertAlign w:val="baseline"/>
        </w:rPr>
        <w:footnoteRef/>
      </w:r>
      <w:r w:rsidRPr="00724E10">
        <w:t xml:space="preserve"> </w:t>
      </w:r>
      <w:r w:rsidRPr="005B1AEF">
        <w:tab/>
      </w:r>
      <w:r>
        <w:t>Appendix 2, Research Report 11.</w:t>
      </w:r>
    </w:p>
  </w:footnote>
  <w:footnote w:id="7">
    <w:p w14:paraId="6207A88A" w14:textId="77777777" w:rsidR="00962ABB" w:rsidRPr="00340590" w:rsidRDefault="00962ABB" w:rsidP="000E5ADA">
      <w:pPr>
        <w:pStyle w:val="FootnoteText"/>
        <w:spacing w:line="240" w:lineRule="auto"/>
        <w:ind w:left="284" w:hanging="284"/>
        <w:jc w:val="both"/>
        <w:rPr>
          <w:szCs w:val="16"/>
        </w:rPr>
      </w:pPr>
      <w:r w:rsidRPr="00724E10">
        <w:rPr>
          <w:rStyle w:val="FootnoteReference"/>
          <w:szCs w:val="16"/>
          <w:vertAlign w:val="baseline"/>
        </w:rPr>
        <w:footnoteRef/>
      </w:r>
      <w:r w:rsidRPr="00724E10">
        <w:rPr>
          <w:szCs w:val="16"/>
        </w:rPr>
        <w:t xml:space="preserve"> </w:t>
      </w:r>
      <w:r w:rsidRPr="00084572">
        <w:rPr>
          <w:szCs w:val="16"/>
        </w:rPr>
        <w:tab/>
      </w:r>
      <w:r>
        <w:rPr>
          <w:szCs w:val="16"/>
        </w:rPr>
        <w:t>Financial statements lodged with the ACNC are available from the ACNC’s website for no cost, therefore it is reasonable to expect that financial statements are being accessed by public users.  Research Report 11 noted that of the approximately 16,000 charities lodging financial statements with the ACNC in 2016, approximately one third declared that they were preparing special purpose financial statements.</w:t>
      </w:r>
    </w:p>
  </w:footnote>
  <w:footnote w:id="8">
    <w:p w14:paraId="5AD98FD2" w14:textId="77777777" w:rsidR="00962ABB" w:rsidRPr="00340590" w:rsidRDefault="00962ABB" w:rsidP="000E5ADA">
      <w:pPr>
        <w:pStyle w:val="FootnoteText"/>
        <w:spacing w:line="240" w:lineRule="auto"/>
        <w:ind w:left="284" w:hanging="284"/>
        <w:jc w:val="both"/>
        <w:rPr>
          <w:szCs w:val="16"/>
        </w:rPr>
      </w:pPr>
      <w:r w:rsidRPr="00724E10">
        <w:rPr>
          <w:rStyle w:val="FootnoteReference"/>
          <w:szCs w:val="16"/>
          <w:vertAlign w:val="baseline"/>
        </w:rPr>
        <w:footnoteRef/>
      </w:r>
      <w:r w:rsidRPr="00724E10">
        <w:rPr>
          <w:szCs w:val="16"/>
        </w:rPr>
        <w:t xml:space="preserve"> </w:t>
      </w:r>
      <w:r w:rsidRPr="003E4CA5">
        <w:rPr>
          <w:szCs w:val="16"/>
        </w:rPr>
        <w:tab/>
      </w:r>
      <w:r w:rsidRPr="00340590">
        <w:rPr>
          <w:szCs w:val="16"/>
        </w:rPr>
        <w:t xml:space="preserve">This project </w:t>
      </w:r>
      <w:r>
        <w:rPr>
          <w:szCs w:val="16"/>
        </w:rPr>
        <w:t xml:space="preserve">proposes to </w:t>
      </w:r>
      <w:r w:rsidRPr="00340590">
        <w:rPr>
          <w:szCs w:val="16"/>
        </w:rPr>
        <w:t xml:space="preserve">remove ability </w:t>
      </w:r>
      <w:r>
        <w:rPr>
          <w:szCs w:val="16"/>
        </w:rPr>
        <w:t xml:space="preserve">for certain entities </w:t>
      </w:r>
      <w:r w:rsidRPr="00340590">
        <w:rPr>
          <w:szCs w:val="16"/>
        </w:rPr>
        <w:t xml:space="preserve">to prepare special purpose financial statements when </w:t>
      </w:r>
      <w:r>
        <w:rPr>
          <w:szCs w:val="16"/>
        </w:rPr>
        <w:t xml:space="preserve">they are </w:t>
      </w:r>
      <w:r w:rsidRPr="00340590">
        <w:rPr>
          <w:szCs w:val="16"/>
        </w:rPr>
        <w:t>required to comply with Australian Accounting Standards</w:t>
      </w:r>
      <w:r>
        <w:rPr>
          <w:szCs w:val="16"/>
        </w:rPr>
        <w:t xml:space="preserve"> </w:t>
      </w:r>
      <w:r w:rsidRPr="00340590">
        <w:rPr>
          <w:szCs w:val="16"/>
        </w:rPr>
        <w:t>via a phased approach, firstly in relation to for-profit entities and, in due course, in relation to not-for-profit entities.</w:t>
      </w:r>
    </w:p>
  </w:footnote>
  <w:footnote w:id="9">
    <w:p w14:paraId="676F5563" w14:textId="77777777" w:rsidR="00962ABB" w:rsidRPr="00340590" w:rsidRDefault="00962ABB" w:rsidP="000E5ADA">
      <w:pPr>
        <w:pStyle w:val="FootnoteText"/>
        <w:spacing w:line="240" w:lineRule="auto"/>
        <w:ind w:left="284" w:hanging="284"/>
        <w:jc w:val="both"/>
        <w:rPr>
          <w:szCs w:val="16"/>
        </w:rPr>
      </w:pPr>
      <w:r w:rsidRPr="00724E10">
        <w:rPr>
          <w:rStyle w:val="FootnoteReference"/>
          <w:szCs w:val="16"/>
          <w:vertAlign w:val="baseline"/>
        </w:rPr>
        <w:footnoteRef/>
      </w:r>
      <w:r w:rsidRPr="00724E10">
        <w:rPr>
          <w:szCs w:val="16"/>
        </w:rPr>
        <w:t xml:space="preserve"> </w:t>
      </w:r>
      <w:r w:rsidRPr="00D02E5E">
        <w:rPr>
          <w:szCs w:val="16"/>
        </w:rPr>
        <w:tab/>
      </w:r>
      <w:r w:rsidRPr="00340590">
        <w:rPr>
          <w:szCs w:val="16"/>
        </w:rPr>
        <w:t xml:space="preserve">And indirectly through other legislation that imposes the application of AASB 101 in the preparation of special purpose financial statements.  For example, the </w:t>
      </w:r>
      <w:r w:rsidRPr="00340590">
        <w:rPr>
          <w:i/>
          <w:szCs w:val="16"/>
        </w:rPr>
        <w:t>Australian Charities and Not-for-profits Commission Act 2012</w:t>
      </w:r>
      <w:r w:rsidRPr="00340590">
        <w:rPr>
          <w:szCs w:val="16"/>
        </w:rPr>
        <w:t xml:space="preserve">, through section 60.30 of the </w:t>
      </w:r>
      <w:r w:rsidRPr="00340590">
        <w:rPr>
          <w:i/>
          <w:szCs w:val="16"/>
        </w:rPr>
        <w:t>Australian Charities and Not‑for‑profits Commission Regulation 2013</w:t>
      </w:r>
      <w:r w:rsidRPr="00340590">
        <w:rPr>
          <w:szCs w:val="16"/>
        </w:rPr>
        <w:t xml:space="preserve">, requires charities lodging special purpose financial statements with the ACNC to comply with AASB 101, despite the fact that the application </w:t>
      </w:r>
      <w:r>
        <w:rPr>
          <w:szCs w:val="16"/>
        </w:rPr>
        <w:t xml:space="preserve">paragraph </w:t>
      </w:r>
      <w:r w:rsidRPr="00340590">
        <w:rPr>
          <w:szCs w:val="16"/>
        </w:rPr>
        <w:t>of that Standard does not directly encompass them.</w:t>
      </w:r>
    </w:p>
  </w:footnote>
  <w:footnote w:id="10">
    <w:p w14:paraId="352B9899" w14:textId="77777777" w:rsidR="00962ABB" w:rsidRPr="00FE62A0" w:rsidRDefault="00962ABB" w:rsidP="000E5ADA">
      <w:pPr>
        <w:pStyle w:val="FootnoteText"/>
        <w:spacing w:line="240" w:lineRule="auto"/>
        <w:ind w:left="284" w:hanging="284"/>
        <w:jc w:val="both"/>
      </w:pPr>
      <w:r w:rsidRPr="00724E10">
        <w:rPr>
          <w:rStyle w:val="FootnoteReference"/>
          <w:vertAlign w:val="baseline"/>
        </w:rPr>
        <w:footnoteRef/>
      </w:r>
      <w:r w:rsidRPr="00724E10">
        <w:t xml:space="preserve"> </w:t>
      </w:r>
      <w:r w:rsidRPr="00D02E5E">
        <w:tab/>
      </w:r>
      <w:r>
        <w:t>Paragraph 6.1(c) of APES 205.</w:t>
      </w:r>
    </w:p>
  </w:footnote>
  <w:footnote w:id="11">
    <w:p w14:paraId="6489F30E" w14:textId="77777777" w:rsidR="00962ABB" w:rsidRDefault="00962ABB" w:rsidP="000E5ADA">
      <w:pPr>
        <w:pStyle w:val="FootnoteText"/>
        <w:spacing w:line="240" w:lineRule="auto"/>
        <w:ind w:left="284" w:hanging="284"/>
        <w:jc w:val="both"/>
      </w:pPr>
      <w:r w:rsidRPr="00724E10">
        <w:rPr>
          <w:rStyle w:val="FootnoteReference"/>
          <w:vertAlign w:val="baseline"/>
        </w:rPr>
        <w:footnoteRef/>
      </w:r>
      <w:r w:rsidRPr="00724E10">
        <w:t xml:space="preserve"> </w:t>
      </w:r>
      <w:r w:rsidRPr="00D02E5E">
        <w:tab/>
      </w:r>
      <w:r w:rsidRPr="00B22502">
        <w:t>Research Report 12 examine</w:t>
      </w:r>
      <w:r>
        <w:t>d</w:t>
      </w:r>
      <w:r w:rsidRPr="00B22502">
        <w:t xml:space="preserve"> the financial reporting practices of for-profit entities, including large proprietary companies, small foreign-controlled proprietary companies, for-profit unlisted public companies and other small proprietary companies, lodging financial statements with ASIC</w:t>
      </w:r>
      <w:r>
        <w:t>.  Research Report 12 noted that w</w:t>
      </w:r>
      <w:r w:rsidRPr="009F794C">
        <w:t>hen performing their initial assessment as to whether or not the accounting policies applied in the special purpose financial statements complied with the recognition and measurement requirements in Australian Accounting Standards, it was initially unclear to the researchers whether or not 34% of the entities in question complied with the recognition and measurement requirements in Australian Accounting Standards.</w:t>
      </w:r>
    </w:p>
  </w:footnote>
  <w:footnote w:id="12">
    <w:p w14:paraId="1B3E593F" w14:textId="77777777" w:rsidR="00962ABB" w:rsidRPr="00340590" w:rsidRDefault="00962ABB" w:rsidP="00B9506E">
      <w:pPr>
        <w:pStyle w:val="FootnoteText"/>
        <w:spacing w:line="240" w:lineRule="auto"/>
        <w:ind w:left="284" w:hanging="284"/>
        <w:jc w:val="both"/>
        <w:rPr>
          <w:szCs w:val="16"/>
        </w:rPr>
      </w:pPr>
      <w:r w:rsidRPr="00724E10">
        <w:rPr>
          <w:rStyle w:val="FootnoteReference"/>
          <w:szCs w:val="16"/>
          <w:vertAlign w:val="baseline"/>
        </w:rPr>
        <w:footnoteRef/>
      </w:r>
      <w:r w:rsidRPr="00724E10">
        <w:rPr>
          <w:szCs w:val="16"/>
        </w:rPr>
        <w:t xml:space="preserve"> </w:t>
      </w:r>
      <w:r w:rsidRPr="00D02E5E">
        <w:rPr>
          <w:szCs w:val="16"/>
        </w:rPr>
        <w:tab/>
      </w:r>
      <w:r w:rsidRPr="00340590">
        <w:rPr>
          <w:szCs w:val="16"/>
        </w:rPr>
        <w:t>Such outreach included responses received on ITC 39, user surveys</w:t>
      </w:r>
      <w:r>
        <w:rPr>
          <w:szCs w:val="16"/>
        </w:rPr>
        <w:t xml:space="preserve">, </w:t>
      </w:r>
      <w:r w:rsidRPr="00340590">
        <w:rPr>
          <w:szCs w:val="16"/>
        </w:rPr>
        <w:t>participation of stakeholders at ITC 39 roundtable events</w:t>
      </w:r>
      <w:r>
        <w:rPr>
          <w:szCs w:val="16"/>
        </w:rPr>
        <w:t xml:space="preserve"> and targeted outreach with not-for-profit private sector stakeholders</w:t>
      </w:r>
      <w:r w:rsidRPr="00340590">
        <w:rPr>
          <w:szCs w:val="16"/>
        </w:rPr>
        <w:t>.</w:t>
      </w:r>
    </w:p>
  </w:footnote>
  <w:footnote w:id="13">
    <w:p w14:paraId="41F294B6" w14:textId="77777777" w:rsidR="00962ABB" w:rsidRDefault="00962ABB" w:rsidP="00B9506E">
      <w:pPr>
        <w:pStyle w:val="FootnoteText"/>
        <w:spacing w:line="240" w:lineRule="auto"/>
        <w:ind w:left="284" w:hanging="284"/>
        <w:jc w:val="both"/>
      </w:pPr>
      <w:r w:rsidRPr="00724E10">
        <w:rPr>
          <w:rStyle w:val="FootnoteReference"/>
          <w:vertAlign w:val="baseline"/>
        </w:rPr>
        <w:footnoteRef/>
      </w:r>
      <w:r w:rsidRPr="00D02E5E">
        <w:t xml:space="preserve"> </w:t>
      </w:r>
      <w:r w:rsidRPr="00D02E5E">
        <w:tab/>
      </w:r>
      <w:r>
        <w:t>Research Report 12 estimated that of those for-profit non-disclosing entities preparing and lodging special purpose financial statements 66% explicitly stated that they followed the recognition and measurement requirements in Australian Accounting Standards, 10% were assessed to have complied with the recognition and measurement requirements in Australian Accounting Standards based on a qualitative review of the accounting policies, despite the absence of an explicit statement to that effect, 10% did not comply with the recognition and measurement requirements in Australian Accounting Standards (of which only 0.5% clearly stated so), and the extent of compliance (or otherwise) with the recognition and measurement requirements in Australian Accounting Standards of the remaining 14% was unclear.</w:t>
      </w:r>
    </w:p>
  </w:footnote>
  <w:footnote w:id="14">
    <w:p w14:paraId="123FE742" w14:textId="78BA47CD" w:rsidR="00962ABB" w:rsidRPr="00340590" w:rsidRDefault="00962ABB" w:rsidP="00B9506E">
      <w:pPr>
        <w:pStyle w:val="FootnoteText"/>
        <w:spacing w:line="240" w:lineRule="auto"/>
        <w:ind w:left="284" w:hanging="284"/>
        <w:jc w:val="both"/>
      </w:pPr>
      <w:r w:rsidRPr="00724E10">
        <w:rPr>
          <w:rStyle w:val="FootnoteReference"/>
          <w:vertAlign w:val="baseline"/>
        </w:rPr>
        <w:footnoteRef/>
      </w:r>
      <w:r w:rsidRPr="00D02E5E">
        <w:t xml:space="preserve"> </w:t>
      </w:r>
      <w:r w:rsidRPr="00340590">
        <w:tab/>
        <w:t xml:space="preserve">And AASB 107 </w:t>
      </w:r>
      <w:r>
        <w:rPr>
          <w:i/>
        </w:rPr>
        <w:t>Statement of Cash Flows</w:t>
      </w:r>
      <w:r w:rsidRPr="00340590">
        <w:t xml:space="preserve">, AASB 108 and AASB 1048 </w:t>
      </w:r>
      <w:r w:rsidRPr="00340590">
        <w:rPr>
          <w:i/>
        </w:rPr>
        <w:t>Interpretation of Standards</w:t>
      </w:r>
      <w:r w:rsidRPr="00340590">
        <w:t>, although they were not considered appropriate candidates to give effect to the amendments</w:t>
      </w:r>
      <w:r>
        <w:t xml:space="preserve"> proposed in ED 293</w:t>
      </w:r>
      <w:r w:rsidRPr="00340590">
        <w:t xml:space="preserve">, as noted in paragraph </w:t>
      </w:r>
      <w:r w:rsidRPr="00340590">
        <w:fldChar w:fldCharType="begin"/>
      </w:r>
      <w:r w:rsidRPr="00340590">
        <w:instrText xml:space="preserve"> REF _Ref9248351 \r \h </w:instrText>
      </w:r>
      <w:r>
        <w:instrText xml:space="preserve"> \* MERGEFORMAT </w:instrText>
      </w:r>
      <w:r w:rsidRPr="00340590">
        <w:fldChar w:fldCharType="separate"/>
      </w:r>
      <w:r w:rsidR="00E04D7B">
        <w:t>BC23</w:t>
      </w:r>
      <w:r w:rsidRPr="00340590">
        <w:fldChar w:fldCharType="end"/>
      </w:r>
      <w:r w:rsidRPr="00340590">
        <w:t xml:space="preserve"> below.</w:t>
      </w:r>
    </w:p>
  </w:footnote>
  <w:footnote w:id="15">
    <w:p w14:paraId="389779FC" w14:textId="77777777" w:rsidR="00962ABB" w:rsidRPr="00340590" w:rsidRDefault="00962ABB" w:rsidP="00B9506E">
      <w:pPr>
        <w:pStyle w:val="FootnoteText"/>
        <w:keepLines/>
        <w:spacing w:line="240" w:lineRule="auto"/>
        <w:ind w:left="284" w:hanging="284"/>
        <w:jc w:val="both"/>
        <w:rPr>
          <w:szCs w:val="16"/>
        </w:rPr>
      </w:pPr>
      <w:r w:rsidRPr="00724E10">
        <w:rPr>
          <w:rStyle w:val="FootnoteReference"/>
          <w:szCs w:val="16"/>
          <w:vertAlign w:val="baseline"/>
        </w:rPr>
        <w:footnoteRef/>
      </w:r>
      <w:r w:rsidRPr="00724E10">
        <w:rPr>
          <w:szCs w:val="16"/>
        </w:rPr>
        <w:t xml:space="preserve"> </w:t>
      </w:r>
      <w:r w:rsidRPr="00340590">
        <w:rPr>
          <w:szCs w:val="16"/>
        </w:rPr>
        <w:tab/>
        <w:t>APES 205 defines a member as “a member of a professional body that has adopted this Standard as applicable to their membership as defined by that professional body”.  APES 205 is therefore applicable, to and mandatory for, accounting professionals who are members of CPA Australia, Chartered Accountants Australia and New Zealand or the Institute of Public Accountants.  This includes accountants working in accounting firms (of all sizes), the corporate sector and in government.  Therefore, although its reach is limited, it is broader than that of AASB 1054.</w:t>
      </w:r>
    </w:p>
  </w:footnote>
  <w:footnote w:id="16">
    <w:p w14:paraId="262F9C6E" w14:textId="77777777" w:rsidR="00962ABB" w:rsidRPr="00386938" w:rsidRDefault="00962ABB" w:rsidP="00B9506E">
      <w:pPr>
        <w:pStyle w:val="FootnoteText"/>
        <w:spacing w:line="240" w:lineRule="auto"/>
        <w:ind w:left="284" w:hanging="284"/>
        <w:jc w:val="both"/>
      </w:pPr>
      <w:r w:rsidRPr="00724E10">
        <w:rPr>
          <w:rStyle w:val="FootnoteReference"/>
          <w:vertAlign w:val="baseline"/>
        </w:rPr>
        <w:footnoteRef/>
      </w:r>
      <w:r w:rsidRPr="00724E10">
        <w:t xml:space="preserve"> </w:t>
      </w:r>
      <w:r w:rsidRPr="00D02E5E">
        <w:tab/>
      </w:r>
      <w:r>
        <w:t>Paragraph 6.1(c) of APES 205.</w:t>
      </w:r>
    </w:p>
  </w:footnote>
  <w:footnote w:id="17">
    <w:p w14:paraId="0B90E04F" w14:textId="77777777" w:rsidR="00962ABB" w:rsidRPr="00A002CE" w:rsidRDefault="00962ABB" w:rsidP="00B9506E">
      <w:pPr>
        <w:pStyle w:val="FootnoteText"/>
        <w:spacing w:line="240" w:lineRule="auto"/>
        <w:ind w:left="284" w:hanging="284"/>
        <w:jc w:val="both"/>
      </w:pPr>
      <w:r w:rsidRPr="00724E10">
        <w:rPr>
          <w:rStyle w:val="FootnoteReference"/>
          <w:vertAlign w:val="baseline"/>
        </w:rPr>
        <w:footnoteRef/>
      </w:r>
      <w:r w:rsidRPr="00724E10">
        <w:t xml:space="preserve"> </w:t>
      </w:r>
      <w:r w:rsidRPr="00A002CE">
        <w:tab/>
      </w:r>
      <w:r>
        <w:t>Paragraph 8 of ASA 800.</w:t>
      </w:r>
    </w:p>
  </w:footnote>
  <w:footnote w:id="18">
    <w:p w14:paraId="4FFA00F4" w14:textId="77777777" w:rsidR="00962ABB" w:rsidRPr="00A002CE" w:rsidRDefault="00962ABB" w:rsidP="00B9506E">
      <w:pPr>
        <w:pStyle w:val="FootnoteText"/>
        <w:spacing w:line="240" w:lineRule="auto"/>
        <w:ind w:left="284" w:hanging="284"/>
        <w:jc w:val="both"/>
      </w:pPr>
      <w:r w:rsidRPr="00724E10">
        <w:rPr>
          <w:rStyle w:val="FootnoteReference"/>
          <w:vertAlign w:val="baseline"/>
        </w:rPr>
        <w:footnoteRef/>
      </w:r>
      <w:r w:rsidRPr="00724E10">
        <w:t xml:space="preserve"> </w:t>
      </w:r>
      <w:r w:rsidRPr="00A002CE">
        <w:tab/>
      </w:r>
      <w:r>
        <w:t>Paragraph 15 of ASA 700.</w:t>
      </w:r>
    </w:p>
  </w:footnote>
  <w:footnote w:id="19">
    <w:p w14:paraId="45036AB4" w14:textId="77777777" w:rsidR="00962ABB" w:rsidRDefault="00962ABB" w:rsidP="00B9506E">
      <w:pPr>
        <w:pStyle w:val="FootnoteText"/>
        <w:spacing w:line="240" w:lineRule="auto"/>
        <w:ind w:left="284" w:hanging="284"/>
        <w:jc w:val="both"/>
      </w:pPr>
      <w:r w:rsidRPr="00724E10">
        <w:rPr>
          <w:rStyle w:val="FootnoteReference"/>
          <w:vertAlign w:val="baseline"/>
        </w:rPr>
        <w:footnoteRef/>
      </w:r>
      <w:r w:rsidRPr="00D02E5E">
        <w:t xml:space="preserve"> </w:t>
      </w:r>
      <w:r w:rsidRPr="003D7192">
        <w:tab/>
      </w:r>
      <w:r>
        <w:t>“Australian Accounting Standards consist of two Tiers of reporting requirements for preparing general purpose financial statements:</w:t>
      </w:r>
    </w:p>
    <w:p w14:paraId="2F2161F8" w14:textId="77777777" w:rsidR="00962ABB" w:rsidRDefault="00962ABB" w:rsidP="00B9506E">
      <w:pPr>
        <w:pStyle w:val="FootnoteText"/>
        <w:spacing w:line="240" w:lineRule="auto"/>
        <w:ind w:left="284" w:firstLine="0"/>
        <w:jc w:val="both"/>
      </w:pPr>
      <w:r>
        <w:t xml:space="preserve">(a) </w:t>
      </w:r>
      <w:r>
        <w:tab/>
        <w:t>Tier 1: Australian Accounting Standards; and</w:t>
      </w:r>
    </w:p>
    <w:p w14:paraId="2EB8341F" w14:textId="77777777" w:rsidR="00962ABB" w:rsidRPr="003D7192" w:rsidRDefault="00962ABB" w:rsidP="00B9506E">
      <w:pPr>
        <w:pStyle w:val="FootnoteText"/>
        <w:spacing w:line="240" w:lineRule="auto"/>
        <w:ind w:left="284" w:firstLine="0"/>
        <w:jc w:val="both"/>
      </w:pPr>
      <w:r>
        <w:t xml:space="preserve">(b) </w:t>
      </w:r>
      <w:r>
        <w:tab/>
        <w:t>Tier 2: Australian Accounting Standards – Reduced Disclosure Requirements.”  Paragraph 7 of AASB 1053.</w:t>
      </w:r>
    </w:p>
  </w:footnote>
  <w:footnote w:id="20">
    <w:p w14:paraId="6BB4589C" w14:textId="77777777" w:rsidR="00962ABB" w:rsidRPr="00340590" w:rsidRDefault="00962ABB" w:rsidP="00B9506E">
      <w:pPr>
        <w:pStyle w:val="FootnoteText"/>
        <w:spacing w:line="240" w:lineRule="auto"/>
        <w:ind w:left="284" w:hanging="284"/>
        <w:jc w:val="both"/>
        <w:rPr>
          <w:rFonts w:cstheme="minorHAnsi"/>
          <w:szCs w:val="16"/>
        </w:rPr>
      </w:pPr>
      <w:r w:rsidRPr="00724E10">
        <w:rPr>
          <w:rStyle w:val="FootnoteReference"/>
          <w:rFonts w:cstheme="minorHAnsi"/>
          <w:szCs w:val="16"/>
          <w:vertAlign w:val="baseline"/>
        </w:rPr>
        <w:footnoteRef/>
      </w:r>
      <w:r w:rsidRPr="00724E10">
        <w:rPr>
          <w:rFonts w:cstheme="minorHAnsi"/>
          <w:szCs w:val="16"/>
        </w:rPr>
        <w:t xml:space="preserve"> </w:t>
      </w:r>
      <w:r w:rsidRPr="00340590">
        <w:rPr>
          <w:rFonts w:cstheme="minorHAnsi"/>
          <w:szCs w:val="16"/>
        </w:rPr>
        <w:tab/>
        <w:t xml:space="preserve">Paragraph 14 of both </w:t>
      </w:r>
      <w:r w:rsidRPr="00340590">
        <w:rPr>
          <w:rFonts w:cstheme="minorHAnsi"/>
          <w:i/>
          <w:szCs w:val="16"/>
        </w:rPr>
        <w:t>The AASB’s For-Profit Entity Standard-Setting Framework</w:t>
      </w:r>
      <w:r w:rsidRPr="00340590">
        <w:rPr>
          <w:rFonts w:cstheme="minorHAnsi"/>
          <w:szCs w:val="16"/>
        </w:rPr>
        <w:t xml:space="preserve"> and </w:t>
      </w:r>
      <w:r w:rsidRPr="00340590">
        <w:rPr>
          <w:rFonts w:cstheme="minorHAnsi"/>
          <w:i/>
          <w:szCs w:val="16"/>
        </w:rPr>
        <w:t>The AASB’s Not-for-Profit Entity Standard-Setting Framework</w:t>
      </w:r>
      <w:r w:rsidRPr="00340590">
        <w:rPr>
          <w:rFonts w:cstheme="minorHAnsi"/>
          <w:szCs w:val="16"/>
        </w:rPr>
        <w:t>.</w:t>
      </w:r>
    </w:p>
  </w:footnote>
  <w:footnote w:id="21">
    <w:p w14:paraId="00B8403A" w14:textId="77777777" w:rsidR="00962ABB" w:rsidRPr="00340590" w:rsidRDefault="00962ABB" w:rsidP="00B9506E">
      <w:pPr>
        <w:pStyle w:val="FootnoteText"/>
        <w:spacing w:line="240" w:lineRule="auto"/>
        <w:ind w:left="284" w:hanging="284"/>
        <w:jc w:val="both"/>
        <w:rPr>
          <w:szCs w:val="16"/>
        </w:rPr>
      </w:pPr>
      <w:r w:rsidRPr="00724E10">
        <w:rPr>
          <w:rStyle w:val="FootnoteReference"/>
          <w:szCs w:val="16"/>
          <w:vertAlign w:val="baseline"/>
        </w:rPr>
        <w:footnoteRef/>
      </w:r>
      <w:r w:rsidRPr="00724E10">
        <w:rPr>
          <w:szCs w:val="16"/>
        </w:rPr>
        <w:t xml:space="preserve"> </w:t>
      </w:r>
      <w:r w:rsidRPr="00340590">
        <w:rPr>
          <w:szCs w:val="16"/>
        </w:rPr>
        <w:tab/>
        <w:t>Paragraph 9 of AASB 1054 requires an entity to disclose whether the financial statements are general purpose financial statements or special purpose financial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2A" w14:textId="77777777" w:rsidR="00962ABB" w:rsidRDefault="00962A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1844" w14:textId="77777777" w:rsidR="00962ABB" w:rsidRDefault="00962A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4395" w14:textId="77777777" w:rsidR="00962ABB" w:rsidRPr="009E3D37" w:rsidRDefault="00962ABB" w:rsidP="002878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2544" w14:textId="77777777" w:rsidR="00962ABB" w:rsidRDefault="00962ABB">
    <w:pPr>
      <w:pStyle w:val="Header"/>
    </w:pPr>
    <w:r>
      <w:rPr>
        <w:noProof/>
        <w:lang w:eastAsia="en-AU"/>
      </w:rPr>
      <mc:AlternateContent>
        <mc:Choice Requires="wps">
          <w:drawing>
            <wp:inline distT="0" distB="0" distL="0" distR="0" wp14:anchorId="50B0DC35" wp14:editId="2BFCD0DF">
              <wp:extent cx="6960870" cy="1160145"/>
              <wp:effectExtent l="0" t="0" r="0" b="0"/>
              <wp:docPr id="7" name="Text Box 7" descr="Information relating to t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60870" cy="1160145"/>
                      </a:xfrm>
                      <a:prstGeom prst="rect">
                        <a:avLst/>
                      </a:prstGeom>
                    </wps:spPr>
                    <wps:bodyPr wrap="square" numCol="1" fromWordArt="1">
                      <a:prstTxWarp prst="textPlain">
                        <a:avLst>
                          <a:gd name="adj" fmla="val 50000"/>
                        </a:avLst>
                      </a:prstTxWarp>
                      <a:spAutoFit/>
                    </wps:bodyPr>
                  </wps:wsp>
                </a:graphicData>
              </a:graphic>
            </wp:inline>
          </w:drawing>
        </mc:Choice>
        <mc:Fallback>
          <w:pict>
            <v:shapetype w14:anchorId="098FF9B8" id="_x0000_t202" coordsize="21600,21600" o:spt="202" path="m,l,21600r21600,l21600,xe">
              <v:stroke joinstyle="miter"/>
              <v:path gradientshapeok="t" o:connecttype="rect"/>
            </v:shapetype>
            <v:shape id="Text Box 7" o:spid="_x0000_s1026" type="#_x0000_t202" alt="Information relating to table" style="width:548.1pt;height: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" filled="f" stroked="f">
              <o:lock v:ext="edit" text="t" shapetype="t"/>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7" w14:textId="77777777" w:rsidR="00962ABB" w:rsidRDefault="00962AB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8" w14:textId="77777777" w:rsidR="00962ABB" w:rsidRDefault="00962AB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B" w14:textId="77777777" w:rsidR="00962ABB" w:rsidRDefault="00962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2B" w14:textId="77777777" w:rsidR="00962ABB" w:rsidRDefault="00962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2D" w14:textId="77777777" w:rsidR="00962ABB" w:rsidRDefault="00962A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2F" w14:textId="77777777" w:rsidR="00962ABB" w:rsidRDefault="00962A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0" w14:textId="77777777" w:rsidR="00962ABB" w:rsidRDefault="00962A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2" w14:textId="77777777" w:rsidR="00962ABB" w:rsidRDefault="00962A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3" w14:textId="77777777" w:rsidR="00962ABB" w:rsidRDefault="00962A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4" w14:textId="77777777" w:rsidR="00962ABB" w:rsidRDefault="00962A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936" w14:textId="77777777" w:rsidR="00962ABB" w:rsidRDefault="00962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5DFB"/>
    <w:multiLevelType w:val="hybridMultilevel"/>
    <w:tmpl w:val="5F469F7C"/>
    <w:lvl w:ilvl="0" w:tplc="9B2087F6">
      <w:start w:val="1"/>
      <w:numFmt w:val="lowerLetter"/>
      <w:lvlText w:val="(%1)"/>
      <w:lvlJc w:val="left"/>
      <w:pPr>
        <w:ind w:left="1142" w:hanging="360"/>
      </w:pPr>
      <w:rPr>
        <w:rFonts w:eastAsia="Times New Roman" w:hint="default"/>
        <w:color w:val="auto"/>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 w15:restartNumberingAfterBreak="0">
    <w:nsid w:val="1D2D7F6D"/>
    <w:multiLevelType w:val="hybridMultilevel"/>
    <w:tmpl w:val="7E6A076A"/>
    <w:lvl w:ilvl="0" w:tplc="FFFFFFFF">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4B040F"/>
    <w:multiLevelType w:val="hybridMultilevel"/>
    <w:tmpl w:val="A9548B28"/>
    <w:lvl w:ilvl="0" w:tplc="57B04C9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6A5BA8"/>
    <w:multiLevelType w:val="hybridMultilevel"/>
    <w:tmpl w:val="5F469F7C"/>
    <w:lvl w:ilvl="0" w:tplc="9B2087F6">
      <w:start w:val="1"/>
      <w:numFmt w:val="lowerLetter"/>
      <w:lvlText w:val="(%1)"/>
      <w:lvlJc w:val="left"/>
      <w:pPr>
        <w:ind w:left="1142" w:hanging="360"/>
      </w:pPr>
      <w:rPr>
        <w:rFonts w:eastAsia="Times New Roman" w:hint="default"/>
        <w:color w:val="auto"/>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4" w15:restartNumberingAfterBreak="0">
    <w:nsid w:val="1F901F06"/>
    <w:multiLevelType w:val="multilevel"/>
    <w:tmpl w:val="6F5C8C48"/>
    <w:lvl w:ilvl="0">
      <w:start w:val="1"/>
      <w:numFmt w:val="decimal"/>
      <w:pStyle w:val="NumBC1"/>
      <w:lvlText w:val="BC%1"/>
      <w:lvlJc w:val="left"/>
      <w:pPr>
        <w:ind w:left="782" w:hanging="782"/>
      </w:pPr>
      <w:rPr>
        <w:rFonts w:cs="Times New Roman" w:hint="default"/>
        <w:b w:val="0"/>
        <w:bCs w:val="0"/>
        <w:i w:val="0"/>
        <w:u w:val="none"/>
      </w:rPr>
    </w:lvl>
    <w:lvl w:ilvl="1">
      <w:start w:val="1"/>
      <w:numFmt w:val="lowerLetter"/>
      <w:pStyle w:val="NumBC2"/>
      <w:lvlText w:val="(%2)"/>
      <w:lvlJc w:val="left"/>
      <w:pPr>
        <w:ind w:left="1281" w:hanging="499"/>
      </w:pPr>
      <w:rPr>
        <w:rFonts w:cs="Times New Roman" w:hint="default"/>
        <w:b w:val="0"/>
        <w:bCs w:val="0"/>
        <w:u w:val="none"/>
      </w:rPr>
    </w:lvl>
    <w:lvl w:ilvl="2">
      <w:start w:val="1"/>
      <w:numFmt w:val="lowerRoman"/>
      <w:pStyle w:val="NumBC3"/>
      <w:lvlText w:val="(%3)"/>
      <w:lvlJc w:val="left"/>
      <w:pPr>
        <w:ind w:left="2063" w:hanging="782"/>
      </w:pPr>
      <w:rPr>
        <w:rFonts w:cs="Times New Roman" w:hint="default"/>
        <w:b w:val="0"/>
        <w:bCs w:val="0"/>
        <w:u w:val="none"/>
      </w:rPr>
    </w:lvl>
    <w:lvl w:ilvl="3">
      <w:start w:val="1"/>
      <w:numFmt w:val="upperLetter"/>
      <w:pStyle w:val="NumBC4"/>
      <w:lvlText w:val="(%4)"/>
      <w:lvlJc w:val="left"/>
      <w:pPr>
        <w:tabs>
          <w:tab w:val="num" w:pos="2211"/>
        </w:tabs>
        <w:ind w:left="2211" w:hanging="624"/>
      </w:pPr>
      <w:rPr>
        <w:rFonts w:cs="Times New Roman" w:hint="default"/>
        <w:b w:val="0"/>
        <w:bCs w:val="0"/>
        <w:u w:val="none"/>
      </w:rPr>
    </w:lvl>
    <w:lvl w:ilvl="4">
      <w:start w:val="1"/>
      <w:numFmt w:val="upperRoman"/>
      <w:lvlText w:val="%5"/>
      <w:lvlJc w:val="left"/>
      <w:pPr>
        <w:tabs>
          <w:tab w:val="num" w:pos="3259"/>
        </w:tabs>
        <w:ind w:left="3259" w:hanging="708"/>
      </w:pPr>
      <w:rPr>
        <w:rFonts w:cs="Times New Roman" w:hint="default"/>
        <w:b w:val="0"/>
        <w:bCs w:val="0"/>
        <w:u w:val="none"/>
      </w:rPr>
    </w:lvl>
    <w:lvl w:ilvl="5">
      <w:start w:val="1"/>
      <w:numFmt w:val="decimal"/>
      <w:lvlText w:val="%6"/>
      <w:lvlJc w:val="left"/>
      <w:pPr>
        <w:tabs>
          <w:tab w:val="num" w:pos="3969"/>
        </w:tabs>
        <w:ind w:left="3969" w:hanging="709"/>
      </w:pPr>
      <w:rPr>
        <w:rFonts w:cs="Times New Roman" w:hint="default"/>
      </w:rPr>
    </w:lvl>
    <w:lvl w:ilvl="6">
      <w:start w:val="1"/>
      <w:numFmt w:val="lowerLetter"/>
      <w:lvlText w:val="%7)"/>
      <w:lvlJc w:val="left"/>
      <w:pPr>
        <w:tabs>
          <w:tab w:val="num" w:pos="4677"/>
        </w:tabs>
        <w:ind w:left="4677" w:hanging="708"/>
      </w:pPr>
      <w:rPr>
        <w:rFonts w:cs="Times New Roman" w:hint="default"/>
      </w:rPr>
    </w:lvl>
    <w:lvl w:ilvl="7">
      <w:start w:val="1"/>
      <w:numFmt w:val="lowerRoman"/>
      <w:lvlText w:val="%8)"/>
      <w:lvlJc w:val="left"/>
      <w:pPr>
        <w:tabs>
          <w:tab w:val="num" w:pos="5386"/>
        </w:tabs>
        <w:ind w:left="5386" w:hanging="709"/>
      </w:pPr>
      <w:rPr>
        <w:rFonts w:cs="Times New Roman" w:hint="default"/>
      </w:rPr>
    </w:lvl>
    <w:lvl w:ilvl="8">
      <w:start w:val="1"/>
      <w:numFmt w:val="lowerRoman"/>
      <w:lvlText w:val="%9)"/>
      <w:lvlJc w:val="left"/>
      <w:pPr>
        <w:tabs>
          <w:tab w:val="num" w:pos="6095"/>
        </w:tabs>
        <w:ind w:left="6095" w:hanging="709"/>
      </w:pPr>
      <w:rPr>
        <w:rFonts w:cs="Times New Roman" w:hint="default"/>
      </w:rPr>
    </w:lvl>
  </w:abstractNum>
  <w:abstractNum w:abstractNumId="5"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15:restartNumberingAfterBreak="0">
    <w:nsid w:val="24C560D6"/>
    <w:multiLevelType w:val="hybridMultilevel"/>
    <w:tmpl w:val="5F469F7C"/>
    <w:lvl w:ilvl="0" w:tplc="9B2087F6">
      <w:start w:val="1"/>
      <w:numFmt w:val="lowerLetter"/>
      <w:lvlText w:val="(%1)"/>
      <w:lvlJc w:val="left"/>
      <w:pPr>
        <w:ind w:left="1142" w:hanging="360"/>
      </w:pPr>
      <w:rPr>
        <w:rFonts w:eastAsia="Times New Roman" w:hint="default"/>
        <w:color w:val="auto"/>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7"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7F821CB"/>
    <w:multiLevelType w:val="hybridMultilevel"/>
    <w:tmpl w:val="1CDC9BEA"/>
    <w:lvl w:ilvl="0" w:tplc="D5ACD2F0">
      <w:start w:val="1"/>
      <w:numFmt w:val="bullet"/>
      <w:pStyle w:val="Bullet4"/>
      <w:lvlText w:val=""/>
      <w:lvlJc w:val="left"/>
      <w:pPr>
        <w:tabs>
          <w:tab w:val="num" w:pos="2041"/>
        </w:tabs>
        <w:ind w:left="2041" w:hanging="510"/>
      </w:pPr>
      <w:rPr>
        <w:rFonts w:ascii="Symbol" w:hAnsi="Symbol" w:hint="default"/>
      </w:rPr>
    </w:lvl>
    <w:lvl w:ilvl="1" w:tplc="E070EA90" w:tentative="1">
      <w:start w:val="1"/>
      <w:numFmt w:val="bullet"/>
      <w:lvlText w:val="o"/>
      <w:lvlJc w:val="left"/>
      <w:pPr>
        <w:tabs>
          <w:tab w:val="num" w:pos="1440"/>
        </w:tabs>
        <w:ind w:left="1440" w:hanging="360"/>
      </w:pPr>
      <w:rPr>
        <w:rFonts w:ascii="Courier New" w:hAnsi="Courier New" w:hint="default"/>
      </w:rPr>
    </w:lvl>
    <w:lvl w:ilvl="2" w:tplc="4322F4D8" w:tentative="1">
      <w:start w:val="1"/>
      <w:numFmt w:val="bullet"/>
      <w:lvlText w:val=""/>
      <w:lvlJc w:val="left"/>
      <w:pPr>
        <w:tabs>
          <w:tab w:val="num" w:pos="2160"/>
        </w:tabs>
        <w:ind w:left="2160" w:hanging="360"/>
      </w:pPr>
      <w:rPr>
        <w:rFonts w:ascii="Wingdings" w:hAnsi="Wingdings" w:hint="default"/>
      </w:rPr>
    </w:lvl>
    <w:lvl w:ilvl="3" w:tplc="B37E5AF6" w:tentative="1">
      <w:start w:val="1"/>
      <w:numFmt w:val="bullet"/>
      <w:lvlText w:val=""/>
      <w:lvlJc w:val="left"/>
      <w:pPr>
        <w:tabs>
          <w:tab w:val="num" w:pos="2880"/>
        </w:tabs>
        <w:ind w:left="2880" w:hanging="360"/>
      </w:pPr>
      <w:rPr>
        <w:rFonts w:ascii="Symbol" w:hAnsi="Symbol" w:hint="default"/>
      </w:rPr>
    </w:lvl>
    <w:lvl w:ilvl="4" w:tplc="F1A4B5BC" w:tentative="1">
      <w:start w:val="1"/>
      <w:numFmt w:val="bullet"/>
      <w:lvlText w:val="o"/>
      <w:lvlJc w:val="left"/>
      <w:pPr>
        <w:tabs>
          <w:tab w:val="num" w:pos="3600"/>
        </w:tabs>
        <w:ind w:left="3600" w:hanging="360"/>
      </w:pPr>
      <w:rPr>
        <w:rFonts w:ascii="Courier New" w:hAnsi="Courier New" w:hint="default"/>
      </w:rPr>
    </w:lvl>
    <w:lvl w:ilvl="5" w:tplc="9BFECC3E" w:tentative="1">
      <w:start w:val="1"/>
      <w:numFmt w:val="bullet"/>
      <w:lvlText w:val=""/>
      <w:lvlJc w:val="left"/>
      <w:pPr>
        <w:tabs>
          <w:tab w:val="num" w:pos="4320"/>
        </w:tabs>
        <w:ind w:left="4320" w:hanging="360"/>
      </w:pPr>
      <w:rPr>
        <w:rFonts w:ascii="Wingdings" w:hAnsi="Wingdings" w:hint="default"/>
      </w:rPr>
    </w:lvl>
    <w:lvl w:ilvl="6" w:tplc="092AF6C4" w:tentative="1">
      <w:start w:val="1"/>
      <w:numFmt w:val="bullet"/>
      <w:lvlText w:val=""/>
      <w:lvlJc w:val="left"/>
      <w:pPr>
        <w:tabs>
          <w:tab w:val="num" w:pos="5040"/>
        </w:tabs>
        <w:ind w:left="5040" w:hanging="360"/>
      </w:pPr>
      <w:rPr>
        <w:rFonts w:ascii="Symbol" w:hAnsi="Symbol" w:hint="default"/>
      </w:rPr>
    </w:lvl>
    <w:lvl w:ilvl="7" w:tplc="67FC9260" w:tentative="1">
      <w:start w:val="1"/>
      <w:numFmt w:val="bullet"/>
      <w:lvlText w:val="o"/>
      <w:lvlJc w:val="left"/>
      <w:pPr>
        <w:tabs>
          <w:tab w:val="num" w:pos="5760"/>
        </w:tabs>
        <w:ind w:left="5760" w:hanging="360"/>
      </w:pPr>
      <w:rPr>
        <w:rFonts w:ascii="Courier New" w:hAnsi="Courier New" w:hint="default"/>
      </w:rPr>
    </w:lvl>
    <w:lvl w:ilvl="8" w:tplc="E3C0DEA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842C3"/>
    <w:multiLevelType w:val="hybridMultilevel"/>
    <w:tmpl w:val="C41E4EFC"/>
    <w:lvl w:ilvl="0" w:tplc="1D4EBE58">
      <w:start w:val="1"/>
      <w:numFmt w:val="decimal"/>
      <w:lvlText w:val="BC%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587267"/>
    <w:multiLevelType w:val="hybridMultilevel"/>
    <w:tmpl w:val="4620D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9A23BD9"/>
    <w:multiLevelType w:val="hybridMultilevel"/>
    <w:tmpl w:val="809074BC"/>
    <w:lvl w:ilvl="0" w:tplc="BF56CEB0">
      <w:start w:val="1"/>
      <w:numFmt w:val="bullet"/>
      <w:pStyle w:val="Bullet2"/>
      <w:lvlText w:val=""/>
      <w:lvlJc w:val="left"/>
      <w:pPr>
        <w:tabs>
          <w:tab w:val="num" w:pos="1021"/>
        </w:tabs>
        <w:ind w:left="1021" w:hanging="511"/>
      </w:pPr>
      <w:rPr>
        <w:rFonts w:ascii="Symbol" w:hAnsi="Symbol" w:hint="default"/>
      </w:rPr>
    </w:lvl>
    <w:lvl w:ilvl="1" w:tplc="C33A3D96" w:tentative="1">
      <w:start w:val="1"/>
      <w:numFmt w:val="bullet"/>
      <w:lvlText w:val="o"/>
      <w:lvlJc w:val="left"/>
      <w:pPr>
        <w:tabs>
          <w:tab w:val="num" w:pos="1440"/>
        </w:tabs>
        <w:ind w:left="1440" w:hanging="360"/>
      </w:pPr>
      <w:rPr>
        <w:rFonts w:ascii="Courier New" w:hAnsi="Courier New" w:hint="default"/>
      </w:rPr>
    </w:lvl>
    <w:lvl w:ilvl="2" w:tplc="EDD492B2" w:tentative="1">
      <w:start w:val="1"/>
      <w:numFmt w:val="bullet"/>
      <w:lvlText w:val=""/>
      <w:lvlJc w:val="left"/>
      <w:pPr>
        <w:tabs>
          <w:tab w:val="num" w:pos="2160"/>
        </w:tabs>
        <w:ind w:left="2160" w:hanging="360"/>
      </w:pPr>
      <w:rPr>
        <w:rFonts w:ascii="Wingdings" w:hAnsi="Wingdings" w:hint="default"/>
      </w:rPr>
    </w:lvl>
    <w:lvl w:ilvl="3" w:tplc="2B18C4E0" w:tentative="1">
      <w:start w:val="1"/>
      <w:numFmt w:val="bullet"/>
      <w:lvlText w:val=""/>
      <w:lvlJc w:val="left"/>
      <w:pPr>
        <w:tabs>
          <w:tab w:val="num" w:pos="2880"/>
        </w:tabs>
        <w:ind w:left="2880" w:hanging="360"/>
      </w:pPr>
      <w:rPr>
        <w:rFonts w:ascii="Symbol" w:hAnsi="Symbol" w:hint="default"/>
      </w:rPr>
    </w:lvl>
    <w:lvl w:ilvl="4" w:tplc="7B1E9214" w:tentative="1">
      <w:start w:val="1"/>
      <w:numFmt w:val="bullet"/>
      <w:lvlText w:val="o"/>
      <w:lvlJc w:val="left"/>
      <w:pPr>
        <w:tabs>
          <w:tab w:val="num" w:pos="3600"/>
        </w:tabs>
        <w:ind w:left="3600" w:hanging="360"/>
      </w:pPr>
      <w:rPr>
        <w:rFonts w:ascii="Courier New" w:hAnsi="Courier New" w:hint="default"/>
      </w:rPr>
    </w:lvl>
    <w:lvl w:ilvl="5" w:tplc="8D36EBB2" w:tentative="1">
      <w:start w:val="1"/>
      <w:numFmt w:val="bullet"/>
      <w:lvlText w:val=""/>
      <w:lvlJc w:val="left"/>
      <w:pPr>
        <w:tabs>
          <w:tab w:val="num" w:pos="4320"/>
        </w:tabs>
        <w:ind w:left="4320" w:hanging="360"/>
      </w:pPr>
      <w:rPr>
        <w:rFonts w:ascii="Wingdings" w:hAnsi="Wingdings" w:hint="default"/>
      </w:rPr>
    </w:lvl>
    <w:lvl w:ilvl="6" w:tplc="9050F4CE" w:tentative="1">
      <w:start w:val="1"/>
      <w:numFmt w:val="bullet"/>
      <w:lvlText w:val=""/>
      <w:lvlJc w:val="left"/>
      <w:pPr>
        <w:tabs>
          <w:tab w:val="num" w:pos="5040"/>
        </w:tabs>
        <w:ind w:left="5040" w:hanging="360"/>
      </w:pPr>
      <w:rPr>
        <w:rFonts w:ascii="Symbol" w:hAnsi="Symbol" w:hint="default"/>
      </w:rPr>
    </w:lvl>
    <w:lvl w:ilvl="7" w:tplc="112418CA" w:tentative="1">
      <w:start w:val="1"/>
      <w:numFmt w:val="bullet"/>
      <w:lvlText w:val="o"/>
      <w:lvlJc w:val="left"/>
      <w:pPr>
        <w:tabs>
          <w:tab w:val="num" w:pos="5760"/>
        </w:tabs>
        <w:ind w:left="5760" w:hanging="360"/>
      </w:pPr>
      <w:rPr>
        <w:rFonts w:ascii="Courier New" w:hAnsi="Courier New" w:hint="default"/>
      </w:rPr>
    </w:lvl>
    <w:lvl w:ilvl="8" w:tplc="68366A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83DC7"/>
    <w:multiLevelType w:val="hybridMultilevel"/>
    <w:tmpl w:val="90AE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D10E72"/>
    <w:multiLevelType w:val="multilevel"/>
    <w:tmpl w:val="5282C188"/>
    <w:lvl w:ilvl="0">
      <w:start w:val="1"/>
      <w:numFmt w:val="lowerLetter"/>
      <w:lvlText w:val="(%1)"/>
      <w:lvlJc w:val="left"/>
      <w:pPr>
        <w:ind w:left="782" w:hanging="782"/>
      </w:pPr>
      <w:rPr>
        <w:rFonts w:ascii="Times New Roman" w:eastAsia="Times New Roman" w:hAnsi="Times New Roman" w:cs="Times New Roman"/>
      </w:rPr>
    </w:lvl>
    <w:lvl w:ilvl="1">
      <w:start w:val="1"/>
      <w:numFmt w:val="lowerRoman"/>
      <w:lvlText w:val="(%2)"/>
      <w:lvlJc w:val="left"/>
      <w:pPr>
        <w:tabs>
          <w:tab w:val="num" w:pos="2410"/>
        </w:tabs>
        <w:ind w:left="3193" w:hanging="783"/>
      </w:pPr>
      <w:rPr>
        <w:rFonts w:ascii="Times New Roman" w:eastAsia="Times New Roman" w:hAnsi="Times New Roman" w:cs="Times New Roman"/>
      </w:rPr>
    </w:lvl>
    <w:lvl w:ilvl="2">
      <w:start w:val="1"/>
      <w:numFmt w:val="lowerRoman"/>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4" w15:restartNumberingAfterBreak="0">
    <w:nsid w:val="457E3FB9"/>
    <w:multiLevelType w:val="hybridMultilevel"/>
    <w:tmpl w:val="61E896DE"/>
    <w:lvl w:ilvl="0" w:tplc="48FC7D2E">
      <w:start w:val="1"/>
      <w:numFmt w:val="lowerLetter"/>
      <w:lvlText w:val="(%1)"/>
      <w:lvlJc w:val="left"/>
      <w:pPr>
        <w:ind w:left="1142" w:hanging="360"/>
      </w:pPr>
      <w:rPr>
        <w:rFonts w:hint="default"/>
        <w:sz w:val="19"/>
        <w:szCs w:val="19"/>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5" w15:restartNumberingAfterBreak="0">
    <w:nsid w:val="4B52504F"/>
    <w:multiLevelType w:val="hybridMultilevel"/>
    <w:tmpl w:val="FCC49D66"/>
    <w:lvl w:ilvl="0" w:tplc="6F720AD0">
      <w:start w:val="1"/>
      <w:numFmt w:val="bullet"/>
      <w:pStyle w:val="Bullet3"/>
      <w:lvlText w:val=""/>
      <w:lvlJc w:val="left"/>
      <w:pPr>
        <w:tabs>
          <w:tab w:val="num" w:pos="1531"/>
        </w:tabs>
        <w:ind w:left="1531" w:hanging="510"/>
      </w:pPr>
      <w:rPr>
        <w:rFonts w:ascii="Symbol" w:hAnsi="Symbol" w:hint="default"/>
      </w:rPr>
    </w:lvl>
    <w:lvl w:ilvl="1" w:tplc="158262C6" w:tentative="1">
      <w:start w:val="1"/>
      <w:numFmt w:val="bullet"/>
      <w:lvlText w:val="o"/>
      <w:lvlJc w:val="left"/>
      <w:pPr>
        <w:tabs>
          <w:tab w:val="num" w:pos="1440"/>
        </w:tabs>
        <w:ind w:left="1440" w:hanging="360"/>
      </w:pPr>
      <w:rPr>
        <w:rFonts w:ascii="Courier New" w:hAnsi="Courier New" w:hint="default"/>
      </w:rPr>
    </w:lvl>
    <w:lvl w:ilvl="2" w:tplc="9E220ACC" w:tentative="1">
      <w:start w:val="1"/>
      <w:numFmt w:val="bullet"/>
      <w:lvlText w:val=""/>
      <w:lvlJc w:val="left"/>
      <w:pPr>
        <w:tabs>
          <w:tab w:val="num" w:pos="2160"/>
        </w:tabs>
        <w:ind w:left="2160" w:hanging="360"/>
      </w:pPr>
      <w:rPr>
        <w:rFonts w:ascii="Wingdings" w:hAnsi="Wingdings" w:hint="default"/>
      </w:rPr>
    </w:lvl>
    <w:lvl w:ilvl="3" w:tplc="A992B4B2" w:tentative="1">
      <w:start w:val="1"/>
      <w:numFmt w:val="bullet"/>
      <w:lvlText w:val=""/>
      <w:lvlJc w:val="left"/>
      <w:pPr>
        <w:tabs>
          <w:tab w:val="num" w:pos="2880"/>
        </w:tabs>
        <w:ind w:left="2880" w:hanging="360"/>
      </w:pPr>
      <w:rPr>
        <w:rFonts w:ascii="Symbol" w:hAnsi="Symbol" w:hint="default"/>
      </w:rPr>
    </w:lvl>
    <w:lvl w:ilvl="4" w:tplc="B1AC816A" w:tentative="1">
      <w:start w:val="1"/>
      <w:numFmt w:val="bullet"/>
      <w:lvlText w:val="o"/>
      <w:lvlJc w:val="left"/>
      <w:pPr>
        <w:tabs>
          <w:tab w:val="num" w:pos="3600"/>
        </w:tabs>
        <w:ind w:left="3600" w:hanging="360"/>
      </w:pPr>
      <w:rPr>
        <w:rFonts w:ascii="Courier New" w:hAnsi="Courier New" w:hint="default"/>
      </w:rPr>
    </w:lvl>
    <w:lvl w:ilvl="5" w:tplc="65C4899A" w:tentative="1">
      <w:start w:val="1"/>
      <w:numFmt w:val="bullet"/>
      <w:lvlText w:val=""/>
      <w:lvlJc w:val="left"/>
      <w:pPr>
        <w:tabs>
          <w:tab w:val="num" w:pos="4320"/>
        </w:tabs>
        <w:ind w:left="4320" w:hanging="360"/>
      </w:pPr>
      <w:rPr>
        <w:rFonts w:ascii="Wingdings" w:hAnsi="Wingdings" w:hint="default"/>
      </w:rPr>
    </w:lvl>
    <w:lvl w:ilvl="6" w:tplc="624C5B54" w:tentative="1">
      <w:start w:val="1"/>
      <w:numFmt w:val="bullet"/>
      <w:lvlText w:val=""/>
      <w:lvlJc w:val="left"/>
      <w:pPr>
        <w:tabs>
          <w:tab w:val="num" w:pos="5040"/>
        </w:tabs>
        <w:ind w:left="5040" w:hanging="360"/>
      </w:pPr>
      <w:rPr>
        <w:rFonts w:ascii="Symbol" w:hAnsi="Symbol" w:hint="default"/>
      </w:rPr>
    </w:lvl>
    <w:lvl w:ilvl="7" w:tplc="0CC2B69C" w:tentative="1">
      <w:start w:val="1"/>
      <w:numFmt w:val="bullet"/>
      <w:lvlText w:val="o"/>
      <w:lvlJc w:val="left"/>
      <w:pPr>
        <w:tabs>
          <w:tab w:val="num" w:pos="5760"/>
        </w:tabs>
        <w:ind w:left="5760" w:hanging="360"/>
      </w:pPr>
      <w:rPr>
        <w:rFonts w:ascii="Courier New" w:hAnsi="Courier New" w:hint="default"/>
      </w:rPr>
    </w:lvl>
    <w:lvl w:ilvl="8" w:tplc="2D58D6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2B4D1D"/>
    <w:multiLevelType w:val="hybridMultilevel"/>
    <w:tmpl w:val="C242CFD0"/>
    <w:lvl w:ilvl="0" w:tplc="6218B1F0">
      <w:start w:val="1"/>
      <w:numFmt w:val="lowerLetter"/>
      <w:lvlText w:val="(%1)"/>
      <w:lvlJc w:val="left"/>
      <w:pPr>
        <w:ind w:left="1142" w:hanging="360"/>
      </w:pPr>
      <w:rPr>
        <w:rFonts w:hint="default"/>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7" w15:restartNumberingAfterBreak="0">
    <w:nsid w:val="4D852744"/>
    <w:multiLevelType w:val="hybridMultilevel"/>
    <w:tmpl w:val="F61ADF70"/>
    <w:lvl w:ilvl="0" w:tplc="43C0A668">
      <w:start w:val="1"/>
      <w:numFmt w:val="lowerLetter"/>
      <w:lvlText w:val="(%1)"/>
      <w:lvlJc w:val="left"/>
      <w:pPr>
        <w:tabs>
          <w:tab w:val="num" w:pos="720"/>
        </w:tabs>
        <w:ind w:left="720" w:hanging="360"/>
      </w:pPr>
      <w:rPr>
        <w:rFonts w:hint="default"/>
      </w:rPr>
    </w:lvl>
    <w:lvl w:ilvl="1" w:tplc="71706360" w:tentative="1">
      <w:start w:val="1"/>
      <w:numFmt w:val="lowerLetter"/>
      <w:lvlText w:val="%2)"/>
      <w:lvlJc w:val="left"/>
      <w:pPr>
        <w:tabs>
          <w:tab w:val="num" w:pos="1440"/>
        </w:tabs>
        <w:ind w:left="1440" w:hanging="360"/>
      </w:pPr>
    </w:lvl>
    <w:lvl w:ilvl="2" w:tplc="EE84C8A4" w:tentative="1">
      <w:start w:val="1"/>
      <w:numFmt w:val="lowerLetter"/>
      <w:lvlText w:val="%3)"/>
      <w:lvlJc w:val="left"/>
      <w:pPr>
        <w:tabs>
          <w:tab w:val="num" w:pos="2160"/>
        </w:tabs>
        <w:ind w:left="2160" w:hanging="360"/>
      </w:pPr>
    </w:lvl>
    <w:lvl w:ilvl="3" w:tplc="B040253E" w:tentative="1">
      <w:start w:val="1"/>
      <w:numFmt w:val="lowerLetter"/>
      <w:lvlText w:val="%4)"/>
      <w:lvlJc w:val="left"/>
      <w:pPr>
        <w:tabs>
          <w:tab w:val="num" w:pos="2880"/>
        </w:tabs>
        <w:ind w:left="2880" w:hanging="360"/>
      </w:pPr>
    </w:lvl>
    <w:lvl w:ilvl="4" w:tplc="2D685378" w:tentative="1">
      <w:start w:val="1"/>
      <w:numFmt w:val="lowerLetter"/>
      <w:lvlText w:val="%5)"/>
      <w:lvlJc w:val="left"/>
      <w:pPr>
        <w:tabs>
          <w:tab w:val="num" w:pos="3600"/>
        </w:tabs>
        <w:ind w:left="3600" w:hanging="360"/>
      </w:pPr>
    </w:lvl>
    <w:lvl w:ilvl="5" w:tplc="A54E2FFE" w:tentative="1">
      <w:start w:val="1"/>
      <w:numFmt w:val="lowerLetter"/>
      <w:lvlText w:val="%6)"/>
      <w:lvlJc w:val="left"/>
      <w:pPr>
        <w:tabs>
          <w:tab w:val="num" w:pos="4320"/>
        </w:tabs>
        <w:ind w:left="4320" w:hanging="360"/>
      </w:pPr>
    </w:lvl>
    <w:lvl w:ilvl="6" w:tplc="A6E88894" w:tentative="1">
      <w:start w:val="1"/>
      <w:numFmt w:val="lowerLetter"/>
      <w:lvlText w:val="%7)"/>
      <w:lvlJc w:val="left"/>
      <w:pPr>
        <w:tabs>
          <w:tab w:val="num" w:pos="5040"/>
        </w:tabs>
        <w:ind w:left="5040" w:hanging="360"/>
      </w:pPr>
    </w:lvl>
    <w:lvl w:ilvl="7" w:tplc="FD0C7B86" w:tentative="1">
      <w:start w:val="1"/>
      <w:numFmt w:val="lowerLetter"/>
      <w:lvlText w:val="%8)"/>
      <w:lvlJc w:val="left"/>
      <w:pPr>
        <w:tabs>
          <w:tab w:val="num" w:pos="5760"/>
        </w:tabs>
        <w:ind w:left="5760" w:hanging="360"/>
      </w:pPr>
    </w:lvl>
    <w:lvl w:ilvl="8" w:tplc="58424C58" w:tentative="1">
      <w:start w:val="1"/>
      <w:numFmt w:val="lowerLetter"/>
      <w:lvlText w:val="%9)"/>
      <w:lvlJc w:val="left"/>
      <w:pPr>
        <w:tabs>
          <w:tab w:val="num" w:pos="6480"/>
        </w:tabs>
        <w:ind w:left="6480" w:hanging="360"/>
      </w:pPr>
    </w:lvl>
  </w:abstractNum>
  <w:abstractNum w:abstractNumId="18" w15:restartNumberingAfterBreak="0">
    <w:nsid w:val="61542243"/>
    <w:multiLevelType w:val="multilevel"/>
    <w:tmpl w:val="F446E672"/>
    <w:lvl w:ilvl="0">
      <w:start w:val="1"/>
      <w:numFmt w:val="decimal"/>
      <w:pStyle w:val="NumPlain1"/>
      <w:lvlText w:val="%1"/>
      <w:lvlJc w:val="left"/>
      <w:pPr>
        <w:tabs>
          <w:tab w:val="num" w:pos="510"/>
        </w:tabs>
        <w:ind w:left="510" w:hanging="510"/>
      </w:pPr>
      <w:rPr>
        <w:rFonts w:hint="default"/>
        <w:b w:val="0"/>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9" w15:restartNumberingAfterBreak="0">
    <w:nsid w:val="69C02929"/>
    <w:multiLevelType w:val="hybridMultilevel"/>
    <w:tmpl w:val="7F847CDE"/>
    <w:lvl w:ilvl="0" w:tplc="0E58B564">
      <w:start w:val="1"/>
      <w:numFmt w:val="bullet"/>
      <w:pStyle w:val="Bullet1"/>
      <w:lvlText w:val=""/>
      <w:lvlJc w:val="left"/>
      <w:pPr>
        <w:tabs>
          <w:tab w:val="num" w:pos="510"/>
        </w:tabs>
        <w:ind w:left="510" w:hanging="510"/>
      </w:pPr>
      <w:rPr>
        <w:rFonts w:ascii="Symbol" w:hAnsi="Symbol" w:hint="default"/>
      </w:rPr>
    </w:lvl>
    <w:lvl w:ilvl="1" w:tplc="6D8ADC38" w:tentative="1">
      <w:start w:val="1"/>
      <w:numFmt w:val="bullet"/>
      <w:lvlText w:val="o"/>
      <w:lvlJc w:val="left"/>
      <w:pPr>
        <w:tabs>
          <w:tab w:val="num" w:pos="1440"/>
        </w:tabs>
        <w:ind w:left="1440" w:hanging="360"/>
      </w:pPr>
      <w:rPr>
        <w:rFonts w:ascii="Courier New" w:hAnsi="Courier New" w:hint="default"/>
      </w:rPr>
    </w:lvl>
    <w:lvl w:ilvl="2" w:tplc="1018CE04" w:tentative="1">
      <w:start w:val="1"/>
      <w:numFmt w:val="bullet"/>
      <w:lvlText w:val=""/>
      <w:lvlJc w:val="left"/>
      <w:pPr>
        <w:tabs>
          <w:tab w:val="num" w:pos="2160"/>
        </w:tabs>
        <w:ind w:left="2160" w:hanging="360"/>
      </w:pPr>
      <w:rPr>
        <w:rFonts w:ascii="Wingdings" w:hAnsi="Wingdings" w:hint="default"/>
      </w:rPr>
    </w:lvl>
    <w:lvl w:ilvl="3" w:tplc="216C8F7E" w:tentative="1">
      <w:start w:val="1"/>
      <w:numFmt w:val="bullet"/>
      <w:lvlText w:val=""/>
      <w:lvlJc w:val="left"/>
      <w:pPr>
        <w:tabs>
          <w:tab w:val="num" w:pos="2880"/>
        </w:tabs>
        <w:ind w:left="2880" w:hanging="360"/>
      </w:pPr>
      <w:rPr>
        <w:rFonts w:ascii="Symbol" w:hAnsi="Symbol" w:hint="default"/>
      </w:rPr>
    </w:lvl>
    <w:lvl w:ilvl="4" w:tplc="5CACA3A4" w:tentative="1">
      <w:start w:val="1"/>
      <w:numFmt w:val="bullet"/>
      <w:lvlText w:val="o"/>
      <w:lvlJc w:val="left"/>
      <w:pPr>
        <w:tabs>
          <w:tab w:val="num" w:pos="3600"/>
        </w:tabs>
        <w:ind w:left="3600" w:hanging="360"/>
      </w:pPr>
      <w:rPr>
        <w:rFonts w:ascii="Courier New" w:hAnsi="Courier New" w:hint="default"/>
      </w:rPr>
    </w:lvl>
    <w:lvl w:ilvl="5" w:tplc="4C8055A6" w:tentative="1">
      <w:start w:val="1"/>
      <w:numFmt w:val="bullet"/>
      <w:lvlText w:val=""/>
      <w:lvlJc w:val="left"/>
      <w:pPr>
        <w:tabs>
          <w:tab w:val="num" w:pos="4320"/>
        </w:tabs>
        <w:ind w:left="4320" w:hanging="360"/>
      </w:pPr>
      <w:rPr>
        <w:rFonts w:ascii="Wingdings" w:hAnsi="Wingdings" w:hint="default"/>
      </w:rPr>
    </w:lvl>
    <w:lvl w:ilvl="6" w:tplc="20D8476A" w:tentative="1">
      <w:start w:val="1"/>
      <w:numFmt w:val="bullet"/>
      <w:lvlText w:val=""/>
      <w:lvlJc w:val="left"/>
      <w:pPr>
        <w:tabs>
          <w:tab w:val="num" w:pos="5040"/>
        </w:tabs>
        <w:ind w:left="5040" w:hanging="360"/>
      </w:pPr>
      <w:rPr>
        <w:rFonts w:ascii="Symbol" w:hAnsi="Symbol" w:hint="default"/>
      </w:rPr>
    </w:lvl>
    <w:lvl w:ilvl="7" w:tplc="277C1B60" w:tentative="1">
      <w:start w:val="1"/>
      <w:numFmt w:val="bullet"/>
      <w:lvlText w:val="o"/>
      <w:lvlJc w:val="left"/>
      <w:pPr>
        <w:tabs>
          <w:tab w:val="num" w:pos="5760"/>
        </w:tabs>
        <w:ind w:left="5760" w:hanging="360"/>
      </w:pPr>
      <w:rPr>
        <w:rFonts w:ascii="Courier New" w:hAnsi="Courier New" w:hint="default"/>
      </w:rPr>
    </w:lvl>
    <w:lvl w:ilvl="8" w:tplc="8ABCBB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E29C9"/>
    <w:multiLevelType w:val="hybridMultilevel"/>
    <w:tmpl w:val="5DE20750"/>
    <w:lvl w:ilvl="0" w:tplc="0C090001">
      <w:start w:val="1"/>
      <w:numFmt w:val="bullet"/>
      <w:lvlText w:val=""/>
      <w:lvlJc w:val="left"/>
      <w:pPr>
        <w:ind w:left="419" w:hanging="360"/>
      </w:pPr>
      <w:rPr>
        <w:rFonts w:ascii="Symbol" w:hAnsi="Symbol" w:hint="default"/>
      </w:rPr>
    </w:lvl>
    <w:lvl w:ilvl="1" w:tplc="0C090003" w:tentative="1">
      <w:start w:val="1"/>
      <w:numFmt w:val="bullet"/>
      <w:lvlText w:val="o"/>
      <w:lvlJc w:val="left"/>
      <w:pPr>
        <w:ind w:left="1139" w:hanging="360"/>
      </w:pPr>
      <w:rPr>
        <w:rFonts w:ascii="Courier New" w:hAnsi="Courier New" w:cs="Courier New" w:hint="default"/>
      </w:rPr>
    </w:lvl>
    <w:lvl w:ilvl="2" w:tplc="0C090005" w:tentative="1">
      <w:start w:val="1"/>
      <w:numFmt w:val="bullet"/>
      <w:lvlText w:val=""/>
      <w:lvlJc w:val="left"/>
      <w:pPr>
        <w:ind w:left="1859" w:hanging="360"/>
      </w:pPr>
      <w:rPr>
        <w:rFonts w:ascii="Wingdings" w:hAnsi="Wingdings" w:hint="default"/>
      </w:rPr>
    </w:lvl>
    <w:lvl w:ilvl="3" w:tplc="0C090001" w:tentative="1">
      <w:start w:val="1"/>
      <w:numFmt w:val="bullet"/>
      <w:lvlText w:val=""/>
      <w:lvlJc w:val="left"/>
      <w:pPr>
        <w:ind w:left="2579" w:hanging="360"/>
      </w:pPr>
      <w:rPr>
        <w:rFonts w:ascii="Symbol" w:hAnsi="Symbol" w:hint="default"/>
      </w:rPr>
    </w:lvl>
    <w:lvl w:ilvl="4" w:tplc="0C090003" w:tentative="1">
      <w:start w:val="1"/>
      <w:numFmt w:val="bullet"/>
      <w:lvlText w:val="o"/>
      <w:lvlJc w:val="left"/>
      <w:pPr>
        <w:ind w:left="3299" w:hanging="360"/>
      </w:pPr>
      <w:rPr>
        <w:rFonts w:ascii="Courier New" w:hAnsi="Courier New" w:cs="Courier New" w:hint="default"/>
      </w:rPr>
    </w:lvl>
    <w:lvl w:ilvl="5" w:tplc="0C090005" w:tentative="1">
      <w:start w:val="1"/>
      <w:numFmt w:val="bullet"/>
      <w:lvlText w:val=""/>
      <w:lvlJc w:val="left"/>
      <w:pPr>
        <w:ind w:left="4019" w:hanging="360"/>
      </w:pPr>
      <w:rPr>
        <w:rFonts w:ascii="Wingdings" w:hAnsi="Wingdings" w:hint="default"/>
      </w:rPr>
    </w:lvl>
    <w:lvl w:ilvl="6" w:tplc="0C090001" w:tentative="1">
      <w:start w:val="1"/>
      <w:numFmt w:val="bullet"/>
      <w:lvlText w:val=""/>
      <w:lvlJc w:val="left"/>
      <w:pPr>
        <w:ind w:left="4739" w:hanging="360"/>
      </w:pPr>
      <w:rPr>
        <w:rFonts w:ascii="Symbol" w:hAnsi="Symbol" w:hint="default"/>
      </w:rPr>
    </w:lvl>
    <w:lvl w:ilvl="7" w:tplc="0C090003" w:tentative="1">
      <w:start w:val="1"/>
      <w:numFmt w:val="bullet"/>
      <w:lvlText w:val="o"/>
      <w:lvlJc w:val="left"/>
      <w:pPr>
        <w:ind w:left="5459" w:hanging="360"/>
      </w:pPr>
      <w:rPr>
        <w:rFonts w:ascii="Courier New" w:hAnsi="Courier New" w:cs="Courier New" w:hint="default"/>
      </w:rPr>
    </w:lvl>
    <w:lvl w:ilvl="8" w:tplc="0C090005" w:tentative="1">
      <w:start w:val="1"/>
      <w:numFmt w:val="bullet"/>
      <w:lvlText w:val=""/>
      <w:lvlJc w:val="left"/>
      <w:pPr>
        <w:ind w:left="6179" w:hanging="360"/>
      </w:pPr>
      <w:rPr>
        <w:rFonts w:ascii="Wingdings" w:hAnsi="Wingdings" w:hint="default"/>
      </w:rPr>
    </w:lvl>
  </w:abstractNum>
  <w:abstractNum w:abstractNumId="21" w15:restartNumberingAfterBreak="0">
    <w:nsid w:val="7034512C"/>
    <w:multiLevelType w:val="hybridMultilevel"/>
    <w:tmpl w:val="87A659DC"/>
    <w:lvl w:ilvl="0" w:tplc="AAC84BFE">
      <w:start w:val="1"/>
      <w:numFmt w:val="decimal"/>
      <w:lvlRestart w:val="0"/>
      <w:pStyle w:val="NumberedList"/>
      <w:lvlText w:val="%1."/>
      <w:lvlJc w:val="left"/>
      <w:pPr>
        <w:tabs>
          <w:tab w:val="num" w:pos="510"/>
        </w:tabs>
        <w:ind w:left="510" w:hanging="51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76586BA7"/>
    <w:multiLevelType w:val="hybridMultilevel"/>
    <w:tmpl w:val="880A4878"/>
    <w:lvl w:ilvl="0" w:tplc="CFB292E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B195B"/>
    <w:multiLevelType w:val="hybridMultilevel"/>
    <w:tmpl w:val="08D29B4C"/>
    <w:lvl w:ilvl="0" w:tplc="59EC3118">
      <w:start w:val="1"/>
      <w:numFmt w:val="decimal"/>
      <w:pStyle w:val="ListParagraph"/>
      <w:lvlText w:val="IG%1"/>
      <w:lvlJc w:val="left"/>
      <w:pPr>
        <w:ind w:left="360" w:hanging="360"/>
      </w:pPr>
      <w:rPr>
        <w:rFonts w:hint="default"/>
      </w:rPr>
    </w:lvl>
    <w:lvl w:ilvl="1" w:tplc="43C0A668">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15"/>
  </w:num>
  <w:num w:numId="4">
    <w:abstractNumId w:val="8"/>
  </w:num>
  <w:num w:numId="5">
    <w:abstractNumId w:val="21"/>
  </w:num>
  <w:num w:numId="6">
    <w:abstractNumId w:val="18"/>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num>
  <w:num w:numId="14">
    <w:abstractNumId w:val="1"/>
  </w:num>
  <w:num w:numId="15">
    <w:abstractNumId w:val="22"/>
  </w:num>
  <w:num w:numId="16">
    <w:abstractNumId w:val="12"/>
  </w:num>
  <w:num w:numId="17">
    <w:abstractNumId w:val="10"/>
  </w:num>
  <w:num w:numId="18">
    <w:abstractNumId w:val="17"/>
  </w:num>
  <w:num w:numId="19">
    <w:abstractNumId w:val="2"/>
  </w:num>
  <w:num w:numId="20">
    <w:abstractNumId w:val="5"/>
  </w:num>
  <w:num w:numId="21">
    <w:abstractNumId w:val="16"/>
  </w:num>
  <w:num w:numId="22">
    <w:abstractNumId w:val="6"/>
  </w:num>
  <w:num w:numId="23">
    <w:abstractNumId w:val="3"/>
  </w:num>
  <w:num w:numId="24">
    <w:abstractNumId w:val="9"/>
  </w:num>
  <w:num w:numId="25">
    <w:abstractNumId w:val="14"/>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6385">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sDQ1NTMyMDMyNjFS0lEKTi0uzszPAykwqwUAV7rPKSwAAAA="/>
  </w:docVars>
  <w:rsids>
    <w:rsidRoot w:val="00B326E2"/>
    <w:rsid w:val="00001593"/>
    <w:rsid w:val="000037A0"/>
    <w:rsid w:val="00012FE4"/>
    <w:rsid w:val="00013974"/>
    <w:rsid w:val="00014724"/>
    <w:rsid w:val="00014D4C"/>
    <w:rsid w:val="00016515"/>
    <w:rsid w:val="00016A3A"/>
    <w:rsid w:val="00017FE3"/>
    <w:rsid w:val="00021347"/>
    <w:rsid w:val="00024BA3"/>
    <w:rsid w:val="00024F12"/>
    <w:rsid w:val="00025AF1"/>
    <w:rsid w:val="000267D4"/>
    <w:rsid w:val="00027D2A"/>
    <w:rsid w:val="000320B1"/>
    <w:rsid w:val="00037B06"/>
    <w:rsid w:val="0004268F"/>
    <w:rsid w:val="00043248"/>
    <w:rsid w:val="000440F3"/>
    <w:rsid w:val="000441C1"/>
    <w:rsid w:val="00044C5E"/>
    <w:rsid w:val="000458C0"/>
    <w:rsid w:val="000475A0"/>
    <w:rsid w:val="00050C50"/>
    <w:rsid w:val="000510E6"/>
    <w:rsid w:val="0005116A"/>
    <w:rsid w:val="00053D83"/>
    <w:rsid w:val="0005689B"/>
    <w:rsid w:val="00057D9A"/>
    <w:rsid w:val="00060CFA"/>
    <w:rsid w:val="00065D20"/>
    <w:rsid w:val="00066E90"/>
    <w:rsid w:val="00067C40"/>
    <w:rsid w:val="0007048E"/>
    <w:rsid w:val="000711B0"/>
    <w:rsid w:val="00072723"/>
    <w:rsid w:val="000730FC"/>
    <w:rsid w:val="00075F29"/>
    <w:rsid w:val="00081F5D"/>
    <w:rsid w:val="00083E99"/>
    <w:rsid w:val="00083F6D"/>
    <w:rsid w:val="000845CA"/>
    <w:rsid w:val="00086B81"/>
    <w:rsid w:val="0008788C"/>
    <w:rsid w:val="00087D5A"/>
    <w:rsid w:val="00090A6F"/>
    <w:rsid w:val="00092465"/>
    <w:rsid w:val="0009385E"/>
    <w:rsid w:val="000949A6"/>
    <w:rsid w:val="00095162"/>
    <w:rsid w:val="0009771E"/>
    <w:rsid w:val="000A2BEA"/>
    <w:rsid w:val="000A536A"/>
    <w:rsid w:val="000A749E"/>
    <w:rsid w:val="000B17C5"/>
    <w:rsid w:val="000C3600"/>
    <w:rsid w:val="000C39E5"/>
    <w:rsid w:val="000C3B07"/>
    <w:rsid w:val="000C4198"/>
    <w:rsid w:val="000C6A27"/>
    <w:rsid w:val="000D0127"/>
    <w:rsid w:val="000D4B5E"/>
    <w:rsid w:val="000D523D"/>
    <w:rsid w:val="000D5C47"/>
    <w:rsid w:val="000D6C9C"/>
    <w:rsid w:val="000D7065"/>
    <w:rsid w:val="000E17BE"/>
    <w:rsid w:val="000E443B"/>
    <w:rsid w:val="000E5ADA"/>
    <w:rsid w:val="000E7A81"/>
    <w:rsid w:val="000F180E"/>
    <w:rsid w:val="000F3BFE"/>
    <w:rsid w:val="000F52C2"/>
    <w:rsid w:val="001017E4"/>
    <w:rsid w:val="00102426"/>
    <w:rsid w:val="001038B1"/>
    <w:rsid w:val="00104CFC"/>
    <w:rsid w:val="00104D01"/>
    <w:rsid w:val="0010567B"/>
    <w:rsid w:val="001078A9"/>
    <w:rsid w:val="00112667"/>
    <w:rsid w:val="0011328A"/>
    <w:rsid w:val="001157CB"/>
    <w:rsid w:val="00115847"/>
    <w:rsid w:val="00115ECC"/>
    <w:rsid w:val="00116724"/>
    <w:rsid w:val="00116F57"/>
    <w:rsid w:val="001177F8"/>
    <w:rsid w:val="00120E5A"/>
    <w:rsid w:val="001225E4"/>
    <w:rsid w:val="001270E7"/>
    <w:rsid w:val="001276B8"/>
    <w:rsid w:val="001302D8"/>
    <w:rsid w:val="00130B69"/>
    <w:rsid w:val="001325CA"/>
    <w:rsid w:val="001326E1"/>
    <w:rsid w:val="00135362"/>
    <w:rsid w:val="001359EF"/>
    <w:rsid w:val="00141B30"/>
    <w:rsid w:val="0014449C"/>
    <w:rsid w:val="00147A29"/>
    <w:rsid w:val="00147CE0"/>
    <w:rsid w:val="001503E1"/>
    <w:rsid w:val="00151D4B"/>
    <w:rsid w:val="001533CB"/>
    <w:rsid w:val="00153782"/>
    <w:rsid w:val="001542BC"/>
    <w:rsid w:val="001564F8"/>
    <w:rsid w:val="00157038"/>
    <w:rsid w:val="00160B5F"/>
    <w:rsid w:val="00164596"/>
    <w:rsid w:val="001654AA"/>
    <w:rsid w:val="00165B21"/>
    <w:rsid w:val="0017245F"/>
    <w:rsid w:val="001731D5"/>
    <w:rsid w:val="00173291"/>
    <w:rsid w:val="00174546"/>
    <w:rsid w:val="00175B08"/>
    <w:rsid w:val="001761EC"/>
    <w:rsid w:val="00176A34"/>
    <w:rsid w:val="00176DF8"/>
    <w:rsid w:val="001771F9"/>
    <w:rsid w:val="001813B5"/>
    <w:rsid w:val="00184151"/>
    <w:rsid w:val="00184511"/>
    <w:rsid w:val="00186FC0"/>
    <w:rsid w:val="001904DE"/>
    <w:rsid w:val="0019093D"/>
    <w:rsid w:val="0019538D"/>
    <w:rsid w:val="001A092B"/>
    <w:rsid w:val="001A0B8F"/>
    <w:rsid w:val="001A5F0F"/>
    <w:rsid w:val="001B1A23"/>
    <w:rsid w:val="001B45DA"/>
    <w:rsid w:val="001B5906"/>
    <w:rsid w:val="001B5DF1"/>
    <w:rsid w:val="001B6582"/>
    <w:rsid w:val="001C0C81"/>
    <w:rsid w:val="001C237C"/>
    <w:rsid w:val="001C2995"/>
    <w:rsid w:val="001C5822"/>
    <w:rsid w:val="001C5AD8"/>
    <w:rsid w:val="001C5BBE"/>
    <w:rsid w:val="001C6252"/>
    <w:rsid w:val="001C6746"/>
    <w:rsid w:val="001C79E5"/>
    <w:rsid w:val="001C7BE2"/>
    <w:rsid w:val="001D49D9"/>
    <w:rsid w:val="001D4A1F"/>
    <w:rsid w:val="001D4D8C"/>
    <w:rsid w:val="001D67F9"/>
    <w:rsid w:val="001E10F4"/>
    <w:rsid w:val="001E1B5E"/>
    <w:rsid w:val="001E20BB"/>
    <w:rsid w:val="001E2D09"/>
    <w:rsid w:val="001E3D99"/>
    <w:rsid w:val="001E3E41"/>
    <w:rsid w:val="001F3638"/>
    <w:rsid w:val="00200CB2"/>
    <w:rsid w:val="00200DA2"/>
    <w:rsid w:val="00201F08"/>
    <w:rsid w:val="002020A2"/>
    <w:rsid w:val="00204EFE"/>
    <w:rsid w:val="002078A7"/>
    <w:rsid w:val="00213F64"/>
    <w:rsid w:val="0021701E"/>
    <w:rsid w:val="002204A0"/>
    <w:rsid w:val="00220933"/>
    <w:rsid w:val="002244B1"/>
    <w:rsid w:val="00227568"/>
    <w:rsid w:val="00231B4C"/>
    <w:rsid w:val="0023363F"/>
    <w:rsid w:val="00234605"/>
    <w:rsid w:val="00234EBF"/>
    <w:rsid w:val="00240388"/>
    <w:rsid w:val="002405C7"/>
    <w:rsid w:val="00240A07"/>
    <w:rsid w:val="00242ECF"/>
    <w:rsid w:val="00243531"/>
    <w:rsid w:val="0024359E"/>
    <w:rsid w:val="00243EC8"/>
    <w:rsid w:val="002441EB"/>
    <w:rsid w:val="002465FF"/>
    <w:rsid w:val="00246E4E"/>
    <w:rsid w:val="002536A6"/>
    <w:rsid w:val="00254D47"/>
    <w:rsid w:val="00257586"/>
    <w:rsid w:val="0026160F"/>
    <w:rsid w:val="002641A8"/>
    <w:rsid w:val="00265217"/>
    <w:rsid w:val="00265EDE"/>
    <w:rsid w:val="00266933"/>
    <w:rsid w:val="00267D14"/>
    <w:rsid w:val="00272AE5"/>
    <w:rsid w:val="00272EC2"/>
    <w:rsid w:val="00273C45"/>
    <w:rsid w:val="00274217"/>
    <w:rsid w:val="00274581"/>
    <w:rsid w:val="00275095"/>
    <w:rsid w:val="0028190C"/>
    <w:rsid w:val="00283915"/>
    <w:rsid w:val="0028400A"/>
    <w:rsid w:val="00284246"/>
    <w:rsid w:val="00286A13"/>
    <w:rsid w:val="00287863"/>
    <w:rsid w:val="00290A66"/>
    <w:rsid w:val="0029132A"/>
    <w:rsid w:val="0029399F"/>
    <w:rsid w:val="00293BEF"/>
    <w:rsid w:val="00296AF3"/>
    <w:rsid w:val="002974D7"/>
    <w:rsid w:val="002A2B13"/>
    <w:rsid w:val="002A317D"/>
    <w:rsid w:val="002A3A72"/>
    <w:rsid w:val="002A5460"/>
    <w:rsid w:val="002A6C05"/>
    <w:rsid w:val="002B0286"/>
    <w:rsid w:val="002B0D87"/>
    <w:rsid w:val="002B4B5D"/>
    <w:rsid w:val="002B559C"/>
    <w:rsid w:val="002B5811"/>
    <w:rsid w:val="002C1820"/>
    <w:rsid w:val="002C27AB"/>
    <w:rsid w:val="002C5AF7"/>
    <w:rsid w:val="002C7FCD"/>
    <w:rsid w:val="002D04F4"/>
    <w:rsid w:val="002D0F16"/>
    <w:rsid w:val="002D2584"/>
    <w:rsid w:val="002D38A4"/>
    <w:rsid w:val="002D6AA5"/>
    <w:rsid w:val="002D6C03"/>
    <w:rsid w:val="002E0040"/>
    <w:rsid w:val="002E0F35"/>
    <w:rsid w:val="002E1460"/>
    <w:rsid w:val="002E49F6"/>
    <w:rsid w:val="002E6F89"/>
    <w:rsid w:val="002F39DB"/>
    <w:rsid w:val="002F3C8A"/>
    <w:rsid w:val="002F6ADC"/>
    <w:rsid w:val="0030120D"/>
    <w:rsid w:val="00302003"/>
    <w:rsid w:val="0030228A"/>
    <w:rsid w:val="0030229B"/>
    <w:rsid w:val="00302427"/>
    <w:rsid w:val="00303BF6"/>
    <w:rsid w:val="003052B5"/>
    <w:rsid w:val="00307657"/>
    <w:rsid w:val="00314026"/>
    <w:rsid w:val="00314EF7"/>
    <w:rsid w:val="00317E0B"/>
    <w:rsid w:val="003204AA"/>
    <w:rsid w:val="00321238"/>
    <w:rsid w:val="003250F5"/>
    <w:rsid w:val="00331C77"/>
    <w:rsid w:val="003334A7"/>
    <w:rsid w:val="00333D0D"/>
    <w:rsid w:val="00336436"/>
    <w:rsid w:val="003410BE"/>
    <w:rsid w:val="00347F99"/>
    <w:rsid w:val="003520D7"/>
    <w:rsid w:val="003560AD"/>
    <w:rsid w:val="00360FFA"/>
    <w:rsid w:val="00362670"/>
    <w:rsid w:val="00363259"/>
    <w:rsid w:val="003646FE"/>
    <w:rsid w:val="00365FC9"/>
    <w:rsid w:val="00366FDA"/>
    <w:rsid w:val="003744DF"/>
    <w:rsid w:val="003803E0"/>
    <w:rsid w:val="003819E0"/>
    <w:rsid w:val="00381CDA"/>
    <w:rsid w:val="00381D44"/>
    <w:rsid w:val="00383D8B"/>
    <w:rsid w:val="00385592"/>
    <w:rsid w:val="003866D5"/>
    <w:rsid w:val="0038737B"/>
    <w:rsid w:val="003900A1"/>
    <w:rsid w:val="00390F54"/>
    <w:rsid w:val="00391E87"/>
    <w:rsid w:val="0039458A"/>
    <w:rsid w:val="003953C9"/>
    <w:rsid w:val="003A066B"/>
    <w:rsid w:val="003A20B5"/>
    <w:rsid w:val="003B01DA"/>
    <w:rsid w:val="003B2D72"/>
    <w:rsid w:val="003B2DEC"/>
    <w:rsid w:val="003B582C"/>
    <w:rsid w:val="003B6DBB"/>
    <w:rsid w:val="003B7177"/>
    <w:rsid w:val="003B72B8"/>
    <w:rsid w:val="003C0120"/>
    <w:rsid w:val="003C10B7"/>
    <w:rsid w:val="003C2573"/>
    <w:rsid w:val="003C4A17"/>
    <w:rsid w:val="003C4B53"/>
    <w:rsid w:val="003C5E6F"/>
    <w:rsid w:val="003C77F5"/>
    <w:rsid w:val="003C7D5B"/>
    <w:rsid w:val="003D4DFF"/>
    <w:rsid w:val="003E1C48"/>
    <w:rsid w:val="003E51BB"/>
    <w:rsid w:val="003E597A"/>
    <w:rsid w:val="003F273F"/>
    <w:rsid w:val="00400CFC"/>
    <w:rsid w:val="00401B5F"/>
    <w:rsid w:val="004033B4"/>
    <w:rsid w:val="0040575A"/>
    <w:rsid w:val="00411E6B"/>
    <w:rsid w:val="004123F8"/>
    <w:rsid w:val="0041339D"/>
    <w:rsid w:val="0041432A"/>
    <w:rsid w:val="004147DD"/>
    <w:rsid w:val="0041626F"/>
    <w:rsid w:val="00420958"/>
    <w:rsid w:val="00422835"/>
    <w:rsid w:val="00422A80"/>
    <w:rsid w:val="00422B72"/>
    <w:rsid w:val="00424AAD"/>
    <w:rsid w:val="0042566E"/>
    <w:rsid w:val="004270A6"/>
    <w:rsid w:val="00431C13"/>
    <w:rsid w:val="0043342B"/>
    <w:rsid w:val="00435742"/>
    <w:rsid w:val="004365D7"/>
    <w:rsid w:val="00437F51"/>
    <w:rsid w:val="0044243C"/>
    <w:rsid w:val="00444BC5"/>
    <w:rsid w:val="00447477"/>
    <w:rsid w:val="0045081B"/>
    <w:rsid w:val="004560E9"/>
    <w:rsid w:val="0045702E"/>
    <w:rsid w:val="00462F7D"/>
    <w:rsid w:val="0046386C"/>
    <w:rsid w:val="00464071"/>
    <w:rsid w:val="00464D66"/>
    <w:rsid w:val="004660F4"/>
    <w:rsid w:val="00471124"/>
    <w:rsid w:val="00474952"/>
    <w:rsid w:val="00480F69"/>
    <w:rsid w:val="00484D3F"/>
    <w:rsid w:val="0048503E"/>
    <w:rsid w:val="00487AD2"/>
    <w:rsid w:val="00491476"/>
    <w:rsid w:val="00491943"/>
    <w:rsid w:val="00493A71"/>
    <w:rsid w:val="00494EED"/>
    <w:rsid w:val="00497F49"/>
    <w:rsid w:val="004A0583"/>
    <w:rsid w:val="004A116B"/>
    <w:rsid w:val="004A417A"/>
    <w:rsid w:val="004A43DA"/>
    <w:rsid w:val="004A7CFD"/>
    <w:rsid w:val="004A7D39"/>
    <w:rsid w:val="004B23E3"/>
    <w:rsid w:val="004B38CF"/>
    <w:rsid w:val="004B3C7E"/>
    <w:rsid w:val="004B535E"/>
    <w:rsid w:val="004B55E0"/>
    <w:rsid w:val="004C0FA4"/>
    <w:rsid w:val="004C2E40"/>
    <w:rsid w:val="004C5228"/>
    <w:rsid w:val="004C7178"/>
    <w:rsid w:val="004D5D43"/>
    <w:rsid w:val="004D714B"/>
    <w:rsid w:val="004D7A07"/>
    <w:rsid w:val="004E52FF"/>
    <w:rsid w:val="004E5AB0"/>
    <w:rsid w:val="004E6394"/>
    <w:rsid w:val="004F0D45"/>
    <w:rsid w:val="004F14B1"/>
    <w:rsid w:val="004F3987"/>
    <w:rsid w:val="004F63EB"/>
    <w:rsid w:val="004F7659"/>
    <w:rsid w:val="005009BE"/>
    <w:rsid w:val="00501543"/>
    <w:rsid w:val="00502BE2"/>
    <w:rsid w:val="005034BA"/>
    <w:rsid w:val="00505030"/>
    <w:rsid w:val="00507E9E"/>
    <w:rsid w:val="00512AEC"/>
    <w:rsid w:val="00513CF9"/>
    <w:rsid w:val="0051708D"/>
    <w:rsid w:val="00520487"/>
    <w:rsid w:val="00520E2B"/>
    <w:rsid w:val="005214F8"/>
    <w:rsid w:val="00521AF8"/>
    <w:rsid w:val="00521EAB"/>
    <w:rsid w:val="0052207F"/>
    <w:rsid w:val="00522DA1"/>
    <w:rsid w:val="00523520"/>
    <w:rsid w:val="00523894"/>
    <w:rsid w:val="00525169"/>
    <w:rsid w:val="005260C8"/>
    <w:rsid w:val="00530ADB"/>
    <w:rsid w:val="00531897"/>
    <w:rsid w:val="00531D70"/>
    <w:rsid w:val="00532168"/>
    <w:rsid w:val="0053264D"/>
    <w:rsid w:val="00532702"/>
    <w:rsid w:val="00532CD3"/>
    <w:rsid w:val="0054217C"/>
    <w:rsid w:val="00546CD6"/>
    <w:rsid w:val="00547D85"/>
    <w:rsid w:val="0055574D"/>
    <w:rsid w:val="00561C99"/>
    <w:rsid w:val="0056358B"/>
    <w:rsid w:val="00564DC6"/>
    <w:rsid w:val="00566194"/>
    <w:rsid w:val="005722C9"/>
    <w:rsid w:val="005767AA"/>
    <w:rsid w:val="005809BC"/>
    <w:rsid w:val="00580E5A"/>
    <w:rsid w:val="005859B8"/>
    <w:rsid w:val="00586220"/>
    <w:rsid w:val="00587DAF"/>
    <w:rsid w:val="00592FEB"/>
    <w:rsid w:val="00593A36"/>
    <w:rsid w:val="00594EDE"/>
    <w:rsid w:val="005A01A2"/>
    <w:rsid w:val="005A0456"/>
    <w:rsid w:val="005A06D2"/>
    <w:rsid w:val="005A2CC2"/>
    <w:rsid w:val="005A2CDC"/>
    <w:rsid w:val="005A7DF3"/>
    <w:rsid w:val="005B1B0C"/>
    <w:rsid w:val="005B6456"/>
    <w:rsid w:val="005B77DC"/>
    <w:rsid w:val="005C0164"/>
    <w:rsid w:val="005C2DC7"/>
    <w:rsid w:val="005C3D6B"/>
    <w:rsid w:val="005C4256"/>
    <w:rsid w:val="005C4C62"/>
    <w:rsid w:val="005C5623"/>
    <w:rsid w:val="005C6B86"/>
    <w:rsid w:val="005C6DDF"/>
    <w:rsid w:val="005C781E"/>
    <w:rsid w:val="005D3B3F"/>
    <w:rsid w:val="005D410C"/>
    <w:rsid w:val="005D4777"/>
    <w:rsid w:val="005D4C7C"/>
    <w:rsid w:val="005D50F7"/>
    <w:rsid w:val="005D54E2"/>
    <w:rsid w:val="005D7E00"/>
    <w:rsid w:val="005E3E39"/>
    <w:rsid w:val="005E4FCB"/>
    <w:rsid w:val="005E57D4"/>
    <w:rsid w:val="005F20DA"/>
    <w:rsid w:val="005F6625"/>
    <w:rsid w:val="005F66B3"/>
    <w:rsid w:val="005F6CF0"/>
    <w:rsid w:val="00600832"/>
    <w:rsid w:val="00601190"/>
    <w:rsid w:val="006020D7"/>
    <w:rsid w:val="00602B3E"/>
    <w:rsid w:val="006057BE"/>
    <w:rsid w:val="00607187"/>
    <w:rsid w:val="00607585"/>
    <w:rsid w:val="00610220"/>
    <w:rsid w:val="0061599A"/>
    <w:rsid w:val="006161C1"/>
    <w:rsid w:val="00616AD4"/>
    <w:rsid w:val="00616E28"/>
    <w:rsid w:val="00620EFE"/>
    <w:rsid w:val="00622089"/>
    <w:rsid w:val="00622BEB"/>
    <w:rsid w:val="00623095"/>
    <w:rsid w:val="0062359A"/>
    <w:rsid w:val="00623F9F"/>
    <w:rsid w:val="00625873"/>
    <w:rsid w:val="00625C86"/>
    <w:rsid w:val="00625E68"/>
    <w:rsid w:val="006262C6"/>
    <w:rsid w:val="00626DCB"/>
    <w:rsid w:val="00627D9A"/>
    <w:rsid w:val="006328E5"/>
    <w:rsid w:val="00633335"/>
    <w:rsid w:val="00634C23"/>
    <w:rsid w:val="00634C98"/>
    <w:rsid w:val="00635C40"/>
    <w:rsid w:val="006361A3"/>
    <w:rsid w:val="00636DC6"/>
    <w:rsid w:val="0064101B"/>
    <w:rsid w:val="00641FA8"/>
    <w:rsid w:val="006462DB"/>
    <w:rsid w:val="00646411"/>
    <w:rsid w:val="00646A72"/>
    <w:rsid w:val="00647D8E"/>
    <w:rsid w:val="00650C9C"/>
    <w:rsid w:val="00650FFA"/>
    <w:rsid w:val="00651196"/>
    <w:rsid w:val="006543D0"/>
    <w:rsid w:val="00661067"/>
    <w:rsid w:val="00664DF3"/>
    <w:rsid w:val="00665D27"/>
    <w:rsid w:val="00666845"/>
    <w:rsid w:val="00667C93"/>
    <w:rsid w:val="00670344"/>
    <w:rsid w:val="006711DC"/>
    <w:rsid w:val="0067132D"/>
    <w:rsid w:val="006715F2"/>
    <w:rsid w:val="00672C61"/>
    <w:rsid w:val="00672D5D"/>
    <w:rsid w:val="0067494D"/>
    <w:rsid w:val="00682F59"/>
    <w:rsid w:val="00687A36"/>
    <w:rsid w:val="00691B92"/>
    <w:rsid w:val="00692E3A"/>
    <w:rsid w:val="00696FF7"/>
    <w:rsid w:val="006978F9"/>
    <w:rsid w:val="006A2A50"/>
    <w:rsid w:val="006A31A5"/>
    <w:rsid w:val="006A3B30"/>
    <w:rsid w:val="006A48C5"/>
    <w:rsid w:val="006A592F"/>
    <w:rsid w:val="006B036F"/>
    <w:rsid w:val="006B5434"/>
    <w:rsid w:val="006B7318"/>
    <w:rsid w:val="006B73B3"/>
    <w:rsid w:val="006B7519"/>
    <w:rsid w:val="006C00C1"/>
    <w:rsid w:val="006C365E"/>
    <w:rsid w:val="006C47F0"/>
    <w:rsid w:val="006C5679"/>
    <w:rsid w:val="006C5F0F"/>
    <w:rsid w:val="006C6EEB"/>
    <w:rsid w:val="006C7636"/>
    <w:rsid w:val="006D413E"/>
    <w:rsid w:val="006D4199"/>
    <w:rsid w:val="006D5327"/>
    <w:rsid w:val="006D58BB"/>
    <w:rsid w:val="006D5A74"/>
    <w:rsid w:val="006D5D41"/>
    <w:rsid w:val="006E012A"/>
    <w:rsid w:val="006E0571"/>
    <w:rsid w:val="006E5B75"/>
    <w:rsid w:val="006E5BB4"/>
    <w:rsid w:val="006F22B6"/>
    <w:rsid w:val="006F25FF"/>
    <w:rsid w:val="006F36D6"/>
    <w:rsid w:val="006F4056"/>
    <w:rsid w:val="00700CD1"/>
    <w:rsid w:val="0070156D"/>
    <w:rsid w:val="007046A7"/>
    <w:rsid w:val="0070528F"/>
    <w:rsid w:val="00707346"/>
    <w:rsid w:val="00710626"/>
    <w:rsid w:val="00710C61"/>
    <w:rsid w:val="007135F2"/>
    <w:rsid w:val="0071588A"/>
    <w:rsid w:val="00721D2D"/>
    <w:rsid w:val="00724E10"/>
    <w:rsid w:val="00726B3E"/>
    <w:rsid w:val="0072729C"/>
    <w:rsid w:val="007274EF"/>
    <w:rsid w:val="0073410A"/>
    <w:rsid w:val="0073471E"/>
    <w:rsid w:val="00736051"/>
    <w:rsid w:val="007373BA"/>
    <w:rsid w:val="00741DDD"/>
    <w:rsid w:val="00742BF9"/>
    <w:rsid w:val="00743A0A"/>
    <w:rsid w:val="007459ED"/>
    <w:rsid w:val="00745E12"/>
    <w:rsid w:val="00745F7F"/>
    <w:rsid w:val="0074684C"/>
    <w:rsid w:val="00746CFA"/>
    <w:rsid w:val="007502BE"/>
    <w:rsid w:val="00751F70"/>
    <w:rsid w:val="00752147"/>
    <w:rsid w:val="00752C9E"/>
    <w:rsid w:val="00753769"/>
    <w:rsid w:val="00761E04"/>
    <w:rsid w:val="007653BE"/>
    <w:rsid w:val="007660E9"/>
    <w:rsid w:val="0076698A"/>
    <w:rsid w:val="00767225"/>
    <w:rsid w:val="00767586"/>
    <w:rsid w:val="00771899"/>
    <w:rsid w:val="00771E45"/>
    <w:rsid w:val="0077251B"/>
    <w:rsid w:val="00773855"/>
    <w:rsid w:val="00774DE4"/>
    <w:rsid w:val="00775364"/>
    <w:rsid w:val="00776382"/>
    <w:rsid w:val="007764F3"/>
    <w:rsid w:val="00780CDC"/>
    <w:rsid w:val="00781045"/>
    <w:rsid w:val="007822A6"/>
    <w:rsid w:val="00787228"/>
    <w:rsid w:val="00787556"/>
    <w:rsid w:val="00787867"/>
    <w:rsid w:val="0079057D"/>
    <w:rsid w:val="00790BCE"/>
    <w:rsid w:val="0079369D"/>
    <w:rsid w:val="007978DC"/>
    <w:rsid w:val="007A07DD"/>
    <w:rsid w:val="007A09E8"/>
    <w:rsid w:val="007A1626"/>
    <w:rsid w:val="007A4E42"/>
    <w:rsid w:val="007A70F7"/>
    <w:rsid w:val="007B1064"/>
    <w:rsid w:val="007B6135"/>
    <w:rsid w:val="007C3764"/>
    <w:rsid w:val="007C4935"/>
    <w:rsid w:val="007C6DF6"/>
    <w:rsid w:val="007D10F4"/>
    <w:rsid w:val="007D11AB"/>
    <w:rsid w:val="007D2604"/>
    <w:rsid w:val="007D347C"/>
    <w:rsid w:val="007D4E3A"/>
    <w:rsid w:val="007D574D"/>
    <w:rsid w:val="007D5B5E"/>
    <w:rsid w:val="007E0F9F"/>
    <w:rsid w:val="007E20D2"/>
    <w:rsid w:val="007E572D"/>
    <w:rsid w:val="007E751B"/>
    <w:rsid w:val="007F2CCB"/>
    <w:rsid w:val="007F45C1"/>
    <w:rsid w:val="007F67DE"/>
    <w:rsid w:val="00801238"/>
    <w:rsid w:val="008040F1"/>
    <w:rsid w:val="00804F74"/>
    <w:rsid w:val="008052F2"/>
    <w:rsid w:val="008059C8"/>
    <w:rsid w:val="00805D40"/>
    <w:rsid w:val="00812B21"/>
    <w:rsid w:val="00815B16"/>
    <w:rsid w:val="00821914"/>
    <w:rsid w:val="008249C7"/>
    <w:rsid w:val="00824A1F"/>
    <w:rsid w:val="00825F4D"/>
    <w:rsid w:val="00827021"/>
    <w:rsid w:val="00827087"/>
    <w:rsid w:val="00827C49"/>
    <w:rsid w:val="008304CA"/>
    <w:rsid w:val="00830F49"/>
    <w:rsid w:val="0083362C"/>
    <w:rsid w:val="00833C98"/>
    <w:rsid w:val="00834285"/>
    <w:rsid w:val="008469AA"/>
    <w:rsid w:val="00846CD0"/>
    <w:rsid w:val="00847912"/>
    <w:rsid w:val="00850D21"/>
    <w:rsid w:val="00851212"/>
    <w:rsid w:val="008541DD"/>
    <w:rsid w:val="00854E49"/>
    <w:rsid w:val="00855C7F"/>
    <w:rsid w:val="00855E3A"/>
    <w:rsid w:val="00862761"/>
    <w:rsid w:val="008666B1"/>
    <w:rsid w:val="00866AAB"/>
    <w:rsid w:val="00870DCE"/>
    <w:rsid w:val="008726A0"/>
    <w:rsid w:val="00872B87"/>
    <w:rsid w:val="00872D6A"/>
    <w:rsid w:val="008745D4"/>
    <w:rsid w:val="00874D90"/>
    <w:rsid w:val="0087589F"/>
    <w:rsid w:val="00882B64"/>
    <w:rsid w:val="00882F20"/>
    <w:rsid w:val="00883247"/>
    <w:rsid w:val="00884A1C"/>
    <w:rsid w:val="00886016"/>
    <w:rsid w:val="008877A6"/>
    <w:rsid w:val="008912E7"/>
    <w:rsid w:val="00894A0E"/>
    <w:rsid w:val="008954F5"/>
    <w:rsid w:val="00896948"/>
    <w:rsid w:val="008973B9"/>
    <w:rsid w:val="00897B8B"/>
    <w:rsid w:val="008A06B8"/>
    <w:rsid w:val="008A38CA"/>
    <w:rsid w:val="008B03AD"/>
    <w:rsid w:val="008B1E41"/>
    <w:rsid w:val="008B23F7"/>
    <w:rsid w:val="008B2C2A"/>
    <w:rsid w:val="008B487C"/>
    <w:rsid w:val="008B71EA"/>
    <w:rsid w:val="008C11B0"/>
    <w:rsid w:val="008C291E"/>
    <w:rsid w:val="008C332B"/>
    <w:rsid w:val="008C5C1C"/>
    <w:rsid w:val="008C5F28"/>
    <w:rsid w:val="008C5FAB"/>
    <w:rsid w:val="008C6B35"/>
    <w:rsid w:val="008C745C"/>
    <w:rsid w:val="008D0195"/>
    <w:rsid w:val="008D01BA"/>
    <w:rsid w:val="008D0E2B"/>
    <w:rsid w:val="008D29E9"/>
    <w:rsid w:val="008D2A64"/>
    <w:rsid w:val="008D469B"/>
    <w:rsid w:val="008D5036"/>
    <w:rsid w:val="008D67C0"/>
    <w:rsid w:val="008E5C2B"/>
    <w:rsid w:val="008E7EDB"/>
    <w:rsid w:val="008F27E0"/>
    <w:rsid w:val="008F52EF"/>
    <w:rsid w:val="008F60DD"/>
    <w:rsid w:val="008F6AC7"/>
    <w:rsid w:val="008F6C8A"/>
    <w:rsid w:val="00900F80"/>
    <w:rsid w:val="00901985"/>
    <w:rsid w:val="009033ED"/>
    <w:rsid w:val="009039BD"/>
    <w:rsid w:val="00903EE1"/>
    <w:rsid w:val="0091165F"/>
    <w:rsid w:val="0091319C"/>
    <w:rsid w:val="00913611"/>
    <w:rsid w:val="00923E4E"/>
    <w:rsid w:val="00923FFE"/>
    <w:rsid w:val="00925DE3"/>
    <w:rsid w:val="00927FDA"/>
    <w:rsid w:val="00930C26"/>
    <w:rsid w:val="00930E41"/>
    <w:rsid w:val="00932EB2"/>
    <w:rsid w:val="00933FC2"/>
    <w:rsid w:val="00936E7C"/>
    <w:rsid w:val="009372C3"/>
    <w:rsid w:val="00940E7E"/>
    <w:rsid w:val="0094139F"/>
    <w:rsid w:val="009434C2"/>
    <w:rsid w:val="00944E48"/>
    <w:rsid w:val="00945557"/>
    <w:rsid w:val="009475A0"/>
    <w:rsid w:val="009510D4"/>
    <w:rsid w:val="0095341F"/>
    <w:rsid w:val="0095555D"/>
    <w:rsid w:val="00957D87"/>
    <w:rsid w:val="00960866"/>
    <w:rsid w:val="00962ABB"/>
    <w:rsid w:val="0096458E"/>
    <w:rsid w:val="00965214"/>
    <w:rsid w:val="00966178"/>
    <w:rsid w:val="00977914"/>
    <w:rsid w:val="00983299"/>
    <w:rsid w:val="00983D60"/>
    <w:rsid w:val="00986997"/>
    <w:rsid w:val="009916D6"/>
    <w:rsid w:val="00991CF5"/>
    <w:rsid w:val="00997CB8"/>
    <w:rsid w:val="009A2ADC"/>
    <w:rsid w:val="009B2D75"/>
    <w:rsid w:val="009B5B88"/>
    <w:rsid w:val="009B77A6"/>
    <w:rsid w:val="009C2909"/>
    <w:rsid w:val="009C558D"/>
    <w:rsid w:val="009C6152"/>
    <w:rsid w:val="009D1EA0"/>
    <w:rsid w:val="009D1F3A"/>
    <w:rsid w:val="009D1F44"/>
    <w:rsid w:val="009D3125"/>
    <w:rsid w:val="009D4CF7"/>
    <w:rsid w:val="009D71E0"/>
    <w:rsid w:val="009E0A1C"/>
    <w:rsid w:val="009E1FD1"/>
    <w:rsid w:val="009E30B4"/>
    <w:rsid w:val="009E3166"/>
    <w:rsid w:val="009F05A9"/>
    <w:rsid w:val="009F1028"/>
    <w:rsid w:val="009F27CF"/>
    <w:rsid w:val="009F420F"/>
    <w:rsid w:val="009F6718"/>
    <w:rsid w:val="00A01CCA"/>
    <w:rsid w:val="00A04937"/>
    <w:rsid w:val="00A116DF"/>
    <w:rsid w:val="00A12C49"/>
    <w:rsid w:val="00A12E4A"/>
    <w:rsid w:val="00A13047"/>
    <w:rsid w:val="00A14E4A"/>
    <w:rsid w:val="00A15DCB"/>
    <w:rsid w:val="00A16980"/>
    <w:rsid w:val="00A16F57"/>
    <w:rsid w:val="00A17696"/>
    <w:rsid w:val="00A179A5"/>
    <w:rsid w:val="00A17B43"/>
    <w:rsid w:val="00A224F4"/>
    <w:rsid w:val="00A23920"/>
    <w:rsid w:val="00A2710E"/>
    <w:rsid w:val="00A312BB"/>
    <w:rsid w:val="00A32CB3"/>
    <w:rsid w:val="00A357F4"/>
    <w:rsid w:val="00A376B1"/>
    <w:rsid w:val="00A41CF7"/>
    <w:rsid w:val="00A420DC"/>
    <w:rsid w:val="00A42665"/>
    <w:rsid w:val="00A4406E"/>
    <w:rsid w:val="00A5051E"/>
    <w:rsid w:val="00A54174"/>
    <w:rsid w:val="00A56D52"/>
    <w:rsid w:val="00A60544"/>
    <w:rsid w:val="00A63129"/>
    <w:rsid w:val="00A632BA"/>
    <w:rsid w:val="00A70517"/>
    <w:rsid w:val="00A74338"/>
    <w:rsid w:val="00A743FA"/>
    <w:rsid w:val="00A753B8"/>
    <w:rsid w:val="00A75777"/>
    <w:rsid w:val="00A76622"/>
    <w:rsid w:val="00A76C8D"/>
    <w:rsid w:val="00A80132"/>
    <w:rsid w:val="00A8015E"/>
    <w:rsid w:val="00A80653"/>
    <w:rsid w:val="00A8088E"/>
    <w:rsid w:val="00A80958"/>
    <w:rsid w:val="00A80CF5"/>
    <w:rsid w:val="00A822BD"/>
    <w:rsid w:val="00A83D2B"/>
    <w:rsid w:val="00A84080"/>
    <w:rsid w:val="00A8582C"/>
    <w:rsid w:val="00A8599D"/>
    <w:rsid w:val="00A901F6"/>
    <w:rsid w:val="00A945C6"/>
    <w:rsid w:val="00A9464E"/>
    <w:rsid w:val="00A94BF6"/>
    <w:rsid w:val="00A958E3"/>
    <w:rsid w:val="00AA059D"/>
    <w:rsid w:val="00AA2735"/>
    <w:rsid w:val="00AA54B3"/>
    <w:rsid w:val="00AA6C12"/>
    <w:rsid w:val="00AA740A"/>
    <w:rsid w:val="00AB0555"/>
    <w:rsid w:val="00AB07E4"/>
    <w:rsid w:val="00AB0C1C"/>
    <w:rsid w:val="00AB1D77"/>
    <w:rsid w:val="00AB3E36"/>
    <w:rsid w:val="00AB7771"/>
    <w:rsid w:val="00AC02B0"/>
    <w:rsid w:val="00AC1F16"/>
    <w:rsid w:val="00AC2056"/>
    <w:rsid w:val="00AC35F9"/>
    <w:rsid w:val="00AC388F"/>
    <w:rsid w:val="00AC422B"/>
    <w:rsid w:val="00AC44E0"/>
    <w:rsid w:val="00AC54CC"/>
    <w:rsid w:val="00AC5DE5"/>
    <w:rsid w:val="00AC6B13"/>
    <w:rsid w:val="00AC7025"/>
    <w:rsid w:val="00AD1293"/>
    <w:rsid w:val="00AD194E"/>
    <w:rsid w:val="00AD3CCB"/>
    <w:rsid w:val="00AD3FE1"/>
    <w:rsid w:val="00AD698C"/>
    <w:rsid w:val="00AE08BC"/>
    <w:rsid w:val="00AE20D9"/>
    <w:rsid w:val="00AE2F0B"/>
    <w:rsid w:val="00AE59D7"/>
    <w:rsid w:val="00AE7922"/>
    <w:rsid w:val="00AF0013"/>
    <w:rsid w:val="00AF1ECA"/>
    <w:rsid w:val="00AF2A7C"/>
    <w:rsid w:val="00AF432C"/>
    <w:rsid w:val="00AF46EE"/>
    <w:rsid w:val="00AF7F36"/>
    <w:rsid w:val="00B00922"/>
    <w:rsid w:val="00B00B7F"/>
    <w:rsid w:val="00B00D4B"/>
    <w:rsid w:val="00B0111B"/>
    <w:rsid w:val="00B01A31"/>
    <w:rsid w:val="00B05ECE"/>
    <w:rsid w:val="00B05F03"/>
    <w:rsid w:val="00B060A6"/>
    <w:rsid w:val="00B070CF"/>
    <w:rsid w:val="00B1170E"/>
    <w:rsid w:val="00B11EFE"/>
    <w:rsid w:val="00B15380"/>
    <w:rsid w:val="00B15C3D"/>
    <w:rsid w:val="00B21453"/>
    <w:rsid w:val="00B21C11"/>
    <w:rsid w:val="00B21F0F"/>
    <w:rsid w:val="00B278E4"/>
    <w:rsid w:val="00B27BAA"/>
    <w:rsid w:val="00B308CC"/>
    <w:rsid w:val="00B326E2"/>
    <w:rsid w:val="00B32BA1"/>
    <w:rsid w:val="00B40F70"/>
    <w:rsid w:val="00B414D8"/>
    <w:rsid w:val="00B41F66"/>
    <w:rsid w:val="00B43E50"/>
    <w:rsid w:val="00B46619"/>
    <w:rsid w:val="00B47FEF"/>
    <w:rsid w:val="00B50B98"/>
    <w:rsid w:val="00B50FF6"/>
    <w:rsid w:val="00B51490"/>
    <w:rsid w:val="00B52616"/>
    <w:rsid w:val="00B534DE"/>
    <w:rsid w:val="00B54333"/>
    <w:rsid w:val="00B5492B"/>
    <w:rsid w:val="00B5544D"/>
    <w:rsid w:val="00B5554D"/>
    <w:rsid w:val="00B604CB"/>
    <w:rsid w:val="00B61214"/>
    <w:rsid w:val="00B62067"/>
    <w:rsid w:val="00B65848"/>
    <w:rsid w:val="00B66AFC"/>
    <w:rsid w:val="00B67E49"/>
    <w:rsid w:val="00B71817"/>
    <w:rsid w:val="00B73EA2"/>
    <w:rsid w:val="00B758E8"/>
    <w:rsid w:val="00B77DF1"/>
    <w:rsid w:val="00B80EF3"/>
    <w:rsid w:val="00B8153C"/>
    <w:rsid w:val="00B81817"/>
    <w:rsid w:val="00B82B5D"/>
    <w:rsid w:val="00B86C3B"/>
    <w:rsid w:val="00B87699"/>
    <w:rsid w:val="00B87FD1"/>
    <w:rsid w:val="00B9025E"/>
    <w:rsid w:val="00B9081D"/>
    <w:rsid w:val="00B90DFC"/>
    <w:rsid w:val="00B910AA"/>
    <w:rsid w:val="00B924B3"/>
    <w:rsid w:val="00B92FFC"/>
    <w:rsid w:val="00B9506E"/>
    <w:rsid w:val="00BA0C34"/>
    <w:rsid w:val="00BA0E94"/>
    <w:rsid w:val="00BA153A"/>
    <w:rsid w:val="00BA20C3"/>
    <w:rsid w:val="00BA2AB3"/>
    <w:rsid w:val="00BA2F39"/>
    <w:rsid w:val="00BA39F6"/>
    <w:rsid w:val="00BA3B38"/>
    <w:rsid w:val="00BA3EE5"/>
    <w:rsid w:val="00BB1065"/>
    <w:rsid w:val="00BB2BDB"/>
    <w:rsid w:val="00BB32A5"/>
    <w:rsid w:val="00BB49F0"/>
    <w:rsid w:val="00BB4A92"/>
    <w:rsid w:val="00BB5F9C"/>
    <w:rsid w:val="00BB697E"/>
    <w:rsid w:val="00BB7DD3"/>
    <w:rsid w:val="00BC205B"/>
    <w:rsid w:val="00BC4F01"/>
    <w:rsid w:val="00BC5969"/>
    <w:rsid w:val="00BC5A28"/>
    <w:rsid w:val="00BC668C"/>
    <w:rsid w:val="00BC70DB"/>
    <w:rsid w:val="00BD1067"/>
    <w:rsid w:val="00BD1CA1"/>
    <w:rsid w:val="00BD49F3"/>
    <w:rsid w:val="00BD5DBC"/>
    <w:rsid w:val="00BD6157"/>
    <w:rsid w:val="00BE0C11"/>
    <w:rsid w:val="00BE1DF2"/>
    <w:rsid w:val="00BE2660"/>
    <w:rsid w:val="00BE2F68"/>
    <w:rsid w:val="00BE42F8"/>
    <w:rsid w:val="00BE47B3"/>
    <w:rsid w:val="00BF1DF5"/>
    <w:rsid w:val="00BF213F"/>
    <w:rsid w:val="00BF30C9"/>
    <w:rsid w:val="00BF4175"/>
    <w:rsid w:val="00BF5DC8"/>
    <w:rsid w:val="00C00F88"/>
    <w:rsid w:val="00C014D7"/>
    <w:rsid w:val="00C036DC"/>
    <w:rsid w:val="00C03806"/>
    <w:rsid w:val="00C05CE2"/>
    <w:rsid w:val="00C05D86"/>
    <w:rsid w:val="00C106A5"/>
    <w:rsid w:val="00C1568B"/>
    <w:rsid w:val="00C16E1D"/>
    <w:rsid w:val="00C17C9B"/>
    <w:rsid w:val="00C17CED"/>
    <w:rsid w:val="00C210E7"/>
    <w:rsid w:val="00C21D91"/>
    <w:rsid w:val="00C25232"/>
    <w:rsid w:val="00C30C58"/>
    <w:rsid w:val="00C33B3E"/>
    <w:rsid w:val="00C34C27"/>
    <w:rsid w:val="00C350BE"/>
    <w:rsid w:val="00C35A1E"/>
    <w:rsid w:val="00C42EB1"/>
    <w:rsid w:val="00C44D10"/>
    <w:rsid w:val="00C4557B"/>
    <w:rsid w:val="00C50009"/>
    <w:rsid w:val="00C5108D"/>
    <w:rsid w:val="00C52717"/>
    <w:rsid w:val="00C5284A"/>
    <w:rsid w:val="00C52D40"/>
    <w:rsid w:val="00C56DFF"/>
    <w:rsid w:val="00C56F7B"/>
    <w:rsid w:val="00C5763F"/>
    <w:rsid w:val="00C624A5"/>
    <w:rsid w:val="00C63698"/>
    <w:rsid w:val="00C659C6"/>
    <w:rsid w:val="00C7066E"/>
    <w:rsid w:val="00C71DBD"/>
    <w:rsid w:val="00C72C33"/>
    <w:rsid w:val="00C7378B"/>
    <w:rsid w:val="00C770DF"/>
    <w:rsid w:val="00C77612"/>
    <w:rsid w:val="00C826B0"/>
    <w:rsid w:val="00C82971"/>
    <w:rsid w:val="00C85BDB"/>
    <w:rsid w:val="00C85F32"/>
    <w:rsid w:val="00C8778D"/>
    <w:rsid w:val="00C9296C"/>
    <w:rsid w:val="00C93DDB"/>
    <w:rsid w:val="00C93E72"/>
    <w:rsid w:val="00C9471B"/>
    <w:rsid w:val="00C97C0F"/>
    <w:rsid w:val="00CA1AEC"/>
    <w:rsid w:val="00CA242A"/>
    <w:rsid w:val="00CA27F9"/>
    <w:rsid w:val="00CB231D"/>
    <w:rsid w:val="00CB2705"/>
    <w:rsid w:val="00CB3BF4"/>
    <w:rsid w:val="00CB63B6"/>
    <w:rsid w:val="00CB694D"/>
    <w:rsid w:val="00CC5059"/>
    <w:rsid w:val="00CC6937"/>
    <w:rsid w:val="00CD27FE"/>
    <w:rsid w:val="00CD5C0E"/>
    <w:rsid w:val="00CD5D39"/>
    <w:rsid w:val="00CD6B2F"/>
    <w:rsid w:val="00CD7C86"/>
    <w:rsid w:val="00CE1D62"/>
    <w:rsid w:val="00CE5D1D"/>
    <w:rsid w:val="00CE5FF5"/>
    <w:rsid w:val="00CE7A81"/>
    <w:rsid w:val="00CE7C93"/>
    <w:rsid w:val="00CF31ED"/>
    <w:rsid w:val="00CF3790"/>
    <w:rsid w:val="00CF5945"/>
    <w:rsid w:val="00CF7B43"/>
    <w:rsid w:val="00D01704"/>
    <w:rsid w:val="00D027A0"/>
    <w:rsid w:val="00D02AB4"/>
    <w:rsid w:val="00D031CC"/>
    <w:rsid w:val="00D04020"/>
    <w:rsid w:val="00D1365A"/>
    <w:rsid w:val="00D14175"/>
    <w:rsid w:val="00D16CB9"/>
    <w:rsid w:val="00D173E3"/>
    <w:rsid w:val="00D200C7"/>
    <w:rsid w:val="00D21FF9"/>
    <w:rsid w:val="00D222D6"/>
    <w:rsid w:val="00D257A0"/>
    <w:rsid w:val="00D2651C"/>
    <w:rsid w:val="00D27F41"/>
    <w:rsid w:val="00D30383"/>
    <w:rsid w:val="00D3070C"/>
    <w:rsid w:val="00D31A8C"/>
    <w:rsid w:val="00D3219B"/>
    <w:rsid w:val="00D32504"/>
    <w:rsid w:val="00D32F01"/>
    <w:rsid w:val="00D35272"/>
    <w:rsid w:val="00D448E1"/>
    <w:rsid w:val="00D4514D"/>
    <w:rsid w:val="00D46DB0"/>
    <w:rsid w:val="00D474BA"/>
    <w:rsid w:val="00D47EEA"/>
    <w:rsid w:val="00D50078"/>
    <w:rsid w:val="00D50116"/>
    <w:rsid w:val="00D5043E"/>
    <w:rsid w:val="00D50C1A"/>
    <w:rsid w:val="00D5213B"/>
    <w:rsid w:val="00D5279B"/>
    <w:rsid w:val="00D54083"/>
    <w:rsid w:val="00D54123"/>
    <w:rsid w:val="00D60137"/>
    <w:rsid w:val="00D60688"/>
    <w:rsid w:val="00D616AB"/>
    <w:rsid w:val="00D6444B"/>
    <w:rsid w:val="00D64647"/>
    <w:rsid w:val="00D65331"/>
    <w:rsid w:val="00D705A4"/>
    <w:rsid w:val="00D71A43"/>
    <w:rsid w:val="00D71A46"/>
    <w:rsid w:val="00D74A3A"/>
    <w:rsid w:val="00D74E4D"/>
    <w:rsid w:val="00D75DAB"/>
    <w:rsid w:val="00D77CF5"/>
    <w:rsid w:val="00D83818"/>
    <w:rsid w:val="00D85313"/>
    <w:rsid w:val="00D86B9F"/>
    <w:rsid w:val="00D87C1A"/>
    <w:rsid w:val="00D87D18"/>
    <w:rsid w:val="00D943B6"/>
    <w:rsid w:val="00D95FA5"/>
    <w:rsid w:val="00D972AE"/>
    <w:rsid w:val="00DA2FBE"/>
    <w:rsid w:val="00DA404B"/>
    <w:rsid w:val="00DB1F9E"/>
    <w:rsid w:val="00DB7816"/>
    <w:rsid w:val="00DB7CA2"/>
    <w:rsid w:val="00DC53EC"/>
    <w:rsid w:val="00DC5ED7"/>
    <w:rsid w:val="00DC652E"/>
    <w:rsid w:val="00DC7F5F"/>
    <w:rsid w:val="00DD1396"/>
    <w:rsid w:val="00DD1C1C"/>
    <w:rsid w:val="00DD46F7"/>
    <w:rsid w:val="00DD79E0"/>
    <w:rsid w:val="00DE053B"/>
    <w:rsid w:val="00DE09F6"/>
    <w:rsid w:val="00DE4C57"/>
    <w:rsid w:val="00DE4E67"/>
    <w:rsid w:val="00DF28BF"/>
    <w:rsid w:val="00DF2CB2"/>
    <w:rsid w:val="00DF304D"/>
    <w:rsid w:val="00DF6EC2"/>
    <w:rsid w:val="00DF704B"/>
    <w:rsid w:val="00DF7905"/>
    <w:rsid w:val="00E02362"/>
    <w:rsid w:val="00E03399"/>
    <w:rsid w:val="00E04D7B"/>
    <w:rsid w:val="00E05CC7"/>
    <w:rsid w:val="00E06C37"/>
    <w:rsid w:val="00E0781C"/>
    <w:rsid w:val="00E10FEB"/>
    <w:rsid w:val="00E123BD"/>
    <w:rsid w:val="00E13964"/>
    <w:rsid w:val="00E16FA7"/>
    <w:rsid w:val="00E206E0"/>
    <w:rsid w:val="00E2158F"/>
    <w:rsid w:val="00E22763"/>
    <w:rsid w:val="00E23F7C"/>
    <w:rsid w:val="00E3122F"/>
    <w:rsid w:val="00E32180"/>
    <w:rsid w:val="00E3354B"/>
    <w:rsid w:val="00E34053"/>
    <w:rsid w:val="00E36182"/>
    <w:rsid w:val="00E374D0"/>
    <w:rsid w:val="00E37829"/>
    <w:rsid w:val="00E42A5E"/>
    <w:rsid w:val="00E435A2"/>
    <w:rsid w:val="00E45F8C"/>
    <w:rsid w:val="00E45FBA"/>
    <w:rsid w:val="00E47D69"/>
    <w:rsid w:val="00E507B9"/>
    <w:rsid w:val="00E50EA3"/>
    <w:rsid w:val="00E52341"/>
    <w:rsid w:val="00E56C2C"/>
    <w:rsid w:val="00E56F28"/>
    <w:rsid w:val="00E57A17"/>
    <w:rsid w:val="00E6121F"/>
    <w:rsid w:val="00E62EA7"/>
    <w:rsid w:val="00E6477D"/>
    <w:rsid w:val="00E64FB5"/>
    <w:rsid w:val="00E66923"/>
    <w:rsid w:val="00E66B35"/>
    <w:rsid w:val="00E70E84"/>
    <w:rsid w:val="00E70F41"/>
    <w:rsid w:val="00E70FE6"/>
    <w:rsid w:val="00E71EE1"/>
    <w:rsid w:val="00E7282C"/>
    <w:rsid w:val="00E72850"/>
    <w:rsid w:val="00E73C51"/>
    <w:rsid w:val="00E779A4"/>
    <w:rsid w:val="00E80C4A"/>
    <w:rsid w:val="00E82C33"/>
    <w:rsid w:val="00E82C6B"/>
    <w:rsid w:val="00E9046F"/>
    <w:rsid w:val="00E909A9"/>
    <w:rsid w:val="00E91AA0"/>
    <w:rsid w:val="00E92E76"/>
    <w:rsid w:val="00E93918"/>
    <w:rsid w:val="00EA052C"/>
    <w:rsid w:val="00EA0775"/>
    <w:rsid w:val="00EA1DBB"/>
    <w:rsid w:val="00EA227D"/>
    <w:rsid w:val="00EA286D"/>
    <w:rsid w:val="00EA4EF7"/>
    <w:rsid w:val="00EB0AAC"/>
    <w:rsid w:val="00EB13E8"/>
    <w:rsid w:val="00EB223A"/>
    <w:rsid w:val="00EB6D59"/>
    <w:rsid w:val="00EB7B26"/>
    <w:rsid w:val="00EB7E33"/>
    <w:rsid w:val="00EC06F6"/>
    <w:rsid w:val="00EC1454"/>
    <w:rsid w:val="00EC352A"/>
    <w:rsid w:val="00ED304A"/>
    <w:rsid w:val="00ED406D"/>
    <w:rsid w:val="00ED45B2"/>
    <w:rsid w:val="00ED4D61"/>
    <w:rsid w:val="00EE0FE6"/>
    <w:rsid w:val="00EE25A0"/>
    <w:rsid w:val="00EE285D"/>
    <w:rsid w:val="00EE4584"/>
    <w:rsid w:val="00EE749D"/>
    <w:rsid w:val="00EE7731"/>
    <w:rsid w:val="00EF12AC"/>
    <w:rsid w:val="00EF3A6D"/>
    <w:rsid w:val="00EF4DB0"/>
    <w:rsid w:val="00EF6D5D"/>
    <w:rsid w:val="00EF7AA3"/>
    <w:rsid w:val="00F020E9"/>
    <w:rsid w:val="00F02D8E"/>
    <w:rsid w:val="00F135B9"/>
    <w:rsid w:val="00F13F0B"/>
    <w:rsid w:val="00F14A32"/>
    <w:rsid w:val="00F1639F"/>
    <w:rsid w:val="00F17077"/>
    <w:rsid w:val="00F2168A"/>
    <w:rsid w:val="00F23DAA"/>
    <w:rsid w:val="00F24739"/>
    <w:rsid w:val="00F260B3"/>
    <w:rsid w:val="00F27C09"/>
    <w:rsid w:val="00F31C4D"/>
    <w:rsid w:val="00F32E87"/>
    <w:rsid w:val="00F35EF3"/>
    <w:rsid w:val="00F367E0"/>
    <w:rsid w:val="00F37D8A"/>
    <w:rsid w:val="00F37E04"/>
    <w:rsid w:val="00F4238D"/>
    <w:rsid w:val="00F5215B"/>
    <w:rsid w:val="00F523E4"/>
    <w:rsid w:val="00F52F6E"/>
    <w:rsid w:val="00F5386C"/>
    <w:rsid w:val="00F60156"/>
    <w:rsid w:val="00F60FEF"/>
    <w:rsid w:val="00F63412"/>
    <w:rsid w:val="00F637CB"/>
    <w:rsid w:val="00F6439B"/>
    <w:rsid w:val="00F643A8"/>
    <w:rsid w:val="00F66C89"/>
    <w:rsid w:val="00F710FC"/>
    <w:rsid w:val="00F72227"/>
    <w:rsid w:val="00F73CBB"/>
    <w:rsid w:val="00F74978"/>
    <w:rsid w:val="00F7556A"/>
    <w:rsid w:val="00F75C2E"/>
    <w:rsid w:val="00F80CC8"/>
    <w:rsid w:val="00F8371E"/>
    <w:rsid w:val="00F8417B"/>
    <w:rsid w:val="00F86D44"/>
    <w:rsid w:val="00F938F5"/>
    <w:rsid w:val="00F94ED9"/>
    <w:rsid w:val="00F96969"/>
    <w:rsid w:val="00FA2140"/>
    <w:rsid w:val="00FA3097"/>
    <w:rsid w:val="00FA5419"/>
    <w:rsid w:val="00FA65FC"/>
    <w:rsid w:val="00FB198A"/>
    <w:rsid w:val="00FB2C0B"/>
    <w:rsid w:val="00FB2C1D"/>
    <w:rsid w:val="00FB4D29"/>
    <w:rsid w:val="00FC4E24"/>
    <w:rsid w:val="00FC59B4"/>
    <w:rsid w:val="00FC6008"/>
    <w:rsid w:val="00FD2370"/>
    <w:rsid w:val="00FD23A6"/>
    <w:rsid w:val="00FD25ED"/>
    <w:rsid w:val="00FD490C"/>
    <w:rsid w:val="00FD5EB8"/>
    <w:rsid w:val="00FD6FB7"/>
    <w:rsid w:val="00FD76B5"/>
    <w:rsid w:val="00FE3F7A"/>
    <w:rsid w:val="00FE4EB4"/>
    <w:rsid w:val="00FE509A"/>
    <w:rsid w:val="00FE57CE"/>
    <w:rsid w:val="00FE778E"/>
    <w:rsid w:val="00FF0881"/>
    <w:rsid w:val="00FF17F6"/>
    <w:rsid w:val="00FF1A14"/>
    <w:rsid w:val="00FF4BE6"/>
    <w:rsid w:val="00FF532A"/>
    <w:rsid w:val="00FF53D3"/>
    <w:rsid w:val="00FF60D9"/>
    <w:rsid w:val="00FF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ddd,silver,#eaeaea"/>
    </o:shapedefaults>
    <o:shapelayout v:ext="edit">
      <o:idmap v:ext="edit" data="1"/>
    </o:shapelayout>
  </w:shapeDefaults>
  <w:decimalSymbol w:val="."/>
  <w:listSeparator w:val=","/>
  <w14:docId w14:val="017C9863"/>
  <w15:docId w15:val="{7B9F79C2-C572-4D38-86DD-FD487013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iPriority="5"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F9F"/>
    <w:pPr>
      <w:spacing w:line="200" w:lineRule="exact"/>
    </w:pPr>
    <w:rPr>
      <w:lang w:val="en-AU"/>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basedOn w:val="Heading3"/>
    <w:next w:val="Normal"/>
    <w:link w:val="Heading4Char"/>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5"/>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link w:val="HeaderChar"/>
    <w:pPr>
      <w:tabs>
        <w:tab w:val="center" w:pos="3119"/>
        <w:tab w:val="right" w:pos="6237"/>
      </w:tabs>
    </w:pPr>
  </w:style>
  <w:style w:type="paragraph" w:styleId="Footer">
    <w:name w:val="footer"/>
    <w:basedOn w:val="Normal"/>
    <w:link w:val="FooterChar"/>
    <w:rsid w:val="00A958E3"/>
    <w:pPr>
      <w:tabs>
        <w:tab w:val="center" w:pos="4536"/>
        <w:tab w:val="right" w:pos="9072"/>
      </w:tabs>
      <w:spacing w:line="240" w:lineRule="auto"/>
    </w:pPr>
    <w:rPr>
      <w:b/>
      <w:sz w:val="19"/>
    </w:rPr>
  </w:style>
  <w:style w:type="paragraph" w:customStyle="1" w:styleId="CoverStandard">
    <w:name w:val="Cover Standard"/>
    <w:basedOn w:val="Normal"/>
    <w:next w:val="Normal"/>
    <w:rsid w:val="007A1626"/>
    <w:pPr>
      <w:spacing w:line="240" w:lineRule="auto"/>
    </w:pPr>
    <w:rPr>
      <w:rFonts w:ascii="HelveticaNeueLT Std" w:hAnsi="HelveticaNeueLT Std"/>
      <w:b/>
      <w:color w:val="25408F"/>
      <w:sz w:val="24"/>
    </w:rPr>
  </w:style>
  <w:style w:type="paragraph" w:customStyle="1" w:styleId="CoverNumber">
    <w:name w:val="Cover Number"/>
    <w:basedOn w:val="Normal"/>
    <w:next w:val="Normal"/>
    <w:rsid w:val="007A1626"/>
    <w:pPr>
      <w:spacing w:line="240" w:lineRule="auto"/>
      <w:ind w:right="57"/>
      <w:jc w:val="right"/>
    </w:pPr>
    <w:rPr>
      <w:rFonts w:ascii="HelveticaNeueLT Std Blk" w:hAnsi="HelveticaNeueLT Std Blk"/>
      <w:b/>
      <w:caps/>
      <w:color w:val="25408F"/>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rsid w:val="0061599A"/>
    <w:pPr>
      <w:spacing w:line="240" w:lineRule="auto"/>
      <w:ind w:right="57"/>
      <w:jc w:val="right"/>
    </w:pPr>
    <w:rPr>
      <w:rFonts w:ascii="HelveticaNeueLT Std" w:hAnsi="HelveticaNeueLT Std"/>
      <w:color w:val="25408F"/>
    </w:rPr>
  </w:style>
  <w:style w:type="paragraph" w:customStyle="1" w:styleId="CoverTitle">
    <w:name w:val="Cover Title"/>
    <w:basedOn w:val="Normal"/>
    <w:rsid w:val="00302003"/>
    <w:pPr>
      <w:spacing w:line="440" w:lineRule="exact"/>
    </w:pPr>
    <w:rPr>
      <w:b/>
      <w:sz w:val="48"/>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qFormat/>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qFormat/>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AusPlain1">
    <w:name w:val="Aus Plain1"/>
    <w:basedOn w:val="Normal"/>
    <w:pPr>
      <w:spacing w:after="200"/>
      <w:ind w:left="1021" w:hanging="1021"/>
    </w:pPr>
  </w:style>
  <w:style w:type="paragraph" w:customStyle="1" w:styleId="AusBold1">
    <w:name w:val="Aus Bold1"/>
    <w:basedOn w:val="Normal"/>
    <w:link w:val="AusBold1Char"/>
    <w:pPr>
      <w:spacing w:after="200"/>
      <w:ind w:left="1021" w:hanging="1021"/>
    </w:pPr>
    <w:rPr>
      <w:b/>
    </w:rPr>
  </w:style>
  <w:style w:type="paragraph" w:customStyle="1" w:styleId="NoNumPlain1">
    <w:name w:val="NoNum Plain1"/>
    <w:basedOn w:val="Normal"/>
    <w:link w:val="NoNumPlain1Char"/>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7653BE"/>
    <w:pPr>
      <w:numPr>
        <w:numId w:val="6"/>
      </w:numPr>
      <w:spacing w:before="100" w:line="240" w:lineRule="auto"/>
      <w:jc w:val="both"/>
    </w:pPr>
    <w:rPr>
      <w:sz w:val="19"/>
      <w:szCs w:val="19"/>
    </w:rPr>
  </w:style>
  <w:style w:type="paragraph" w:customStyle="1" w:styleId="NumPlain2">
    <w:name w:val="Num Plain2"/>
    <w:basedOn w:val="NumPlain1"/>
    <w:uiPriority w:val="2"/>
    <w:qFormat/>
    <w:rsid w:val="004A43DA"/>
    <w:pPr>
      <w:numPr>
        <w:ilvl w:val="1"/>
      </w:numPr>
    </w:pPr>
  </w:style>
  <w:style w:type="paragraph" w:customStyle="1" w:styleId="NumPlain3">
    <w:name w:val="Num Plain3"/>
    <w:basedOn w:val="NumPlain2"/>
    <w:uiPriority w:val="2"/>
    <w:qFormat/>
    <w:rsid w:val="004A43DA"/>
    <w:pPr>
      <w:numPr>
        <w:ilvl w:val="2"/>
      </w:numPr>
    </w:pPr>
  </w:style>
  <w:style w:type="paragraph" w:customStyle="1" w:styleId="NumPlain4">
    <w:name w:val="Num Plain4"/>
    <w:basedOn w:val="NumPlain3"/>
    <w:rsid w:val="004A43DA"/>
    <w:pPr>
      <w:numPr>
        <w:ilvl w:val="3"/>
      </w:numPr>
    </w:pPr>
  </w:style>
  <w:style w:type="paragraph" w:customStyle="1" w:styleId="NumBold1">
    <w:name w:val="Num Bold1"/>
    <w:basedOn w:val="NumPlain1"/>
    <w:qFormat/>
    <w:rsid w:val="00401B5F"/>
    <w:rPr>
      <w:b/>
    </w:rPr>
  </w:style>
  <w:style w:type="paragraph" w:customStyle="1" w:styleId="NumBold2">
    <w:name w:val="Num Bold2"/>
    <w:basedOn w:val="NumPlain2"/>
    <w:rsid w:val="00401B5F"/>
    <w:pPr>
      <w:numPr>
        <w:ilvl w:val="0"/>
        <w:numId w:val="0"/>
      </w:numPr>
    </w:pPr>
    <w:rPr>
      <w:b/>
    </w:rPr>
  </w:style>
  <w:style w:type="paragraph" w:customStyle="1" w:styleId="NumBold3">
    <w:name w:val="Num Bold3"/>
    <w:basedOn w:val="NumPlain3"/>
    <w:rsid w:val="00401B5F"/>
    <w:rPr>
      <w:b/>
    </w:rPr>
  </w:style>
  <w:style w:type="paragraph" w:customStyle="1" w:styleId="NumBold4">
    <w:name w:val="Num Bold4"/>
    <w:basedOn w:val="NumPlain4"/>
    <w:rsid w:val="00401B5F"/>
    <w:rPr>
      <w:b/>
    </w:rPr>
  </w:style>
  <w:style w:type="paragraph" w:customStyle="1" w:styleId="Bullet1">
    <w:name w:val="Bullet1"/>
    <w:basedOn w:val="Normal"/>
    <w:qFormat/>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4"/>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BCHanging0">
    <w:name w:val="BC Hanging0"/>
    <w:basedOn w:val="NoNumPlain1"/>
    <w:rsid w:val="00B71817"/>
    <w:pPr>
      <w:ind w:left="624" w:hanging="624"/>
    </w:pPr>
  </w:style>
  <w:style w:type="paragraph" w:customStyle="1" w:styleId="NoNumBC2">
    <w:name w:val="NoNum BC2"/>
    <w:basedOn w:val="NoNumPlain1"/>
    <w:rsid w:val="00B71817"/>
    <w:pPr>
      <w:ind w:left="624"/>
    </w:pPr>
  </w:style>
  <w:style w:type="paragraph" w:customStyle="1" w:styleId="BCHanging1">
    <w:name w:val="BC Hanging1"/>
    <w:basedOn w:val="NoNumBC2"/>
    <w:rsid w:val="00B71817"/>
    <w:pPr>
      <w:ind w:left="1248" w:hanging="624"/>
    </w:pPr>
  </w:style>
  <w:style w:type="paragraph" w:customStyle="1" w:styleId="BCHanging2">
    <w:name w:val="BC Hanging2"/>
    <w:basedOn w:val="BCHanging1"/>
    <w:rsid w:val="00B71817"/>
    <w:pPr>
      <w:ind w:left="1871"/>
    </w:pPr>
  </w:style>
  <w:style w:type="paragraph" w:customStyle="1" w:styleId="ContentsLevel1NoIndent">
    <w:name w:val="Contents Level1 NoIndent"/>
    <w:basedOn w:val="ContentsLevel1"/>
    <w:pPr>
      <w:ind w:left="0" w:firstLine="0"/>
    </w:pPr>
  </w:style>
  <w:style w:type="paragraph" w:customStyle="1" w:styleId="PlainHanging1">
    <w:name w:val="Plain Hanging1"/>
    <w:basedOn w:val="NoNumPlain2"/>
    <w:rsid w:val="00462F7D"/>
    <w:pPr>
      <w:ind w:left="1020" w:hanging="510"/>
    </w:pPr>
  </w:style>
  <w:style w:type="paragraph" w:customStyle="1" w:styleId="PlainHanging2">
    <w:name w:val="Plain Hanging2"/>
    <w:basedOn w:val="PlainHanging1"/>
    <w:rsid w:val="00462F7D"/>
    <w:pPr>
      <w:ind w:left="1531"/>
    </w:pPr>
  </w:style>
  <w:style w:type="paragraph" w:customStyle="1" w:styleId="PlainHanging3">
    <w:name w:val="Plain Hanging3"/>
    <w:basedOn w:val="PlainHanging1"/>
    <w:rsid w:val="00462F7D"/>
    <w:pPr>
      <w:ind w:left="2041"/>
    </w:pPr>
  </w:style>
  <w:style w:type="paragraph" w:customStyle="1" w:styleId="PlainHanging4">
    <w:name w:val="Plain Hanging4"/>
    <w:basedOn w:val="PlainHanging1"/>
    <w:rsid w:val="00462F7D"/>
    <w:pPr>
      <w:ind w:left="2551"/>
    </w:pPr>
  </w:style>
  <w:style w:type="paragraph" w:customStyle="1" w:styleId="BoldHanging1">
    <w:name w:val="Bold Hanging1"/>
    <w:basedOn w:val="PlainHanging1"/>
    <w:rsid w:val="00462F7D"/>
    <w:rPr>
      <w:b/>
    </w:rPr>
  </w:style>
  <w:style w:type="paragraph" w:customStyle="1" w:styleId="BoldHanging2">
    <w:name w:val="Bold Hanging2"/>
    <w:basedOn w:val="PlainHanging2"/>
    <w:rsid w:val="00462F7D"/>
    <w:rPr>
      <w:b/>
    </w:rPr>
  </w:style>
  <w:style w:type="paragraph" w:customStyle="1" w:styleId="BoldHanging3">
    <w:name w:val="Bold Hanging3"/>
    <w:basedOn w:val="PlainHanging3"/>
    <w:rsid w:val="00462F7D"/>
    <w:rPr>
      <w:b/>
    </w:rPr>
  </w:style>
  <w:style w:type="paragraph" w:customStyle="1" w:styleId="BoldHanging4">
    <w:name w:val="Bold Hanging4"/>
    <w:basedOn w:val="PlainHanging4"/>
    <w:rsid w:val="00462F7D"/>
    <w:rPr>
      <w:b/>
    </w:rPr>
  </w:style>
  <w:style w:type="paragraph" w:customStyle="1" w:styleId="NumberedList">
    <w:name w:val="NumberedList"/>
    <w:basedOn w:val="Normal"/>
    <w:rsid w:val="00462F7D"/>
    <w:pPr>
      <w:numPr>
        <w:numId w:val="5"/>
      </w:numPr>
      <w:spacing w:after="200"/>
    </w:pPr>
  </w:style>
  <w:style w:type="paragraph" w:customStyle="1" w:styleId="NumPlainA">
    <w:name w:val="Num PlainA"/>
    <w:basedOn w:val="Normal"/>
    <w:rsid w:val="00462F7D"/>
    <w:pPr>
      <w:numPr>
        <w:numId w:val="7"/>
      </w:numPr>
      <w:spacing w:after="200"/>
      <w:outlineLvl w:val="0"/>
    </w:pPr>
  </w:style>
  <w:style w:type="paragraph" w:customStyle="1" w:styleId="NumPlainA2">
    <w:name w:val="Num PlainA2"/>
    <w:basedOn w:val="NumPlainA"/>
    <w:rsid w:val="00462F7D"/>
    <w:pPr>
      <w:numPr>
        <w:ilvl w:val="1"/>
      </w:numPr>
      <w:outlineLvl w:val="1"/>
    </w:pPr>
  </w:style>
  <w:style w:type="paragraph" w:customStyle="1" w:styleId="PlainHanging0">
    <w:name w:val="Plain Hanging0"/>
    <w:basedOn w:val="NoNumPlain1"/>
    <w:rsid w:val="008912E7"/>
    <w:pPr>
      <w:ind w:left="510" w:hanging="510"/>
    </w:pPr>
  </w:style>
  <w:style w:type="paragraph" w:customStyle="1" w:styleId="BoldHanging0">
    <w:name w:val="Bold Hanging0"/>
    <w:basedOn w:val="PlainHanging0"/>
    <w:rsid w:val="008912E7"/>
    <w:rPr>
      <w:b/>
    </w:rPr>
  </w:style>
  <w:style w:type="paragraph" w:customStyle="1" w:styleId="BCHanging3">
    <w:name w:val="BC Hanging3"/>
    <w:basedOn w:val="BCHanging1"/>
    <w:rsid w:val="00B71817"/>
    <w:pPr>
      <w:ind w:left="2495"/>
    </w:pPr>
  </w:style>
  <w:style w:type="paragraph" w:customStyle="1" w:styleId="BCHanging4">
    <w:name w:val="BC Hanging4"/>
    <w:basedOn w:val="BCHanging1"/>
    <w:rsid w:val="00B71817"/>
    <w:pPr>
      <w:ind w:left="3119"/>
    </w:pPr>
  </w:style>
  <w:style w:type="paragraph" w:customStyle="1" w:styleId="NoNumBC3">
    <w:name w:val="NoNum BC3"/>
    <w:basedOn w:val="NoNumBC2"/>
    <w:rsid w:val="00B71817"/>
    <w:pPr>
      <w:ind w:left="1247"/>
    </w:pPr>
  </w:style>
  <w:style w:type="paragraph" w:customStyle="1" w:styleId="NoNumBC4">
    <w:name w:val="NoNum BC4"/>
    <w:basedOn w:val="NoNumBC3"/>
    <w:rsid w:val="00B71817"/>
    <w:pPr>
      <w:ind w:left="1871"/>
    </w:pPr>
  </w:style>
  <w:style w:type="paragraph" w:customStyle="1" w:styleId="NumBC1">
    <w:name w:val="Num BC1"/>
    <w:basedOn w:val="Normal"/>
    <w:qFormat/>
    <w:rsid w:val="00FA65FC"/>
    <w:pPr>
      <w:numPr>
        <w:numId w:val="9"/>
      </w:numPr>
      <w:spacing w:after="100" w:line="240" w:lineRule="auto"/>
      <w:jc w:val="both"/>
    </w:pPr>
    <w:rPr>
      <w:sz w:val="19"/>
    </w:rPr>
  </w:style>
  <w:style w:type="paragraph" w:customStyle="1" w:styleId="NumBC2">
    <w:name w:val="Num BC2"/>
    <w:basedOn w:val="NumBC1"/>
    <w:rsid w:val="004A43DA"/>
    <w:pPr>
      <w:numPr>
        <w:ilvl w:val="1"/>
      </w:numPr>
    </w:pPr>
  </w:style>
  <w:style w:type="paragraph" w:customStyle="1" w:styleId="NumBC3">
    <w:name w:val="Num BC3"/>
    <w:basedOn w:val="NumBC2"/>
    <w:rsid w:val="004A43DA"/>
    <w:pPr>
      <w:numPr>
        <w:ilvl w:val="2"/>
      </w:numPr>
    </w:pPr>
  </w:style>
  <w:style w:type="paragraph" w:customStyle="1" w:styleId="NumBC4">
    <w:name w:val="Num BC4"/>
    <w:basedOn w:val="NumBC3"/>
    <w:rsid w:val="004A43DA"/>
    <w:pPr>
      <w:numPr>
        <w:ilvl w:val="3"/>
      </w:numPr>
    </w:pPr>
  </w:style>
  <w:style w:type="character" w:customStyle="1" w:styleId="NoNumPlain1Char">
    <w:name w:val="NoNum Plain1 Char"/>
    <w:link w:val="NoNumPlain1"/>
    <w:rsid w:val="007D347C"/>
    <w:rPr>
      <w:lang w:val="en-AU" w:eastAsia="en-US" w:bidi="ar-SA"/>
    </w:rPr>
  </w:style>
  <w:style w:type="character" w:customStyle="1" w:styleId="AusBold1Char">
    <w:name w:val="Aus Bold1 Char"/>
    <w:link w:val="AusBold1"/>
    <w:rsid w:val="00BA3B38"/>
    <w:rPr>
      <w:b/>
      <w:lang w:val="en-AU" w:eastAsia="en-US" w:bidi="ar-SA"/>
    </w:rPr>
  </w:style>
  <w:style w:type="paragraph" w:customStyle="1" w:styleId="AusBold2">
    <w:name w:val="Aus Bold2"/>
    <w:basedOn w:val="AusBold1"/>
    <w:link w:val="AusBold2Char"/>
    <w:rsid w:val="00BA3B38"/>
    <w:pPr>
      <w:ind w:left="1531" w:hanging="510"/>
    </w:pPr>
  </w:style>
  <w:style w:type="character" w:customStyle="1" w:styleId="AusBold2Char">
    <w:name w:val="Aus Bold2 Char"/>
    <w:basedOn w:val="AusBold1Char"/>
    <w:link w:val="AusBold2"/>
    <w:rsid w:val="00BA3B38"/>
    <w:rPr>
      <w:b/>
      <w:lang w:val="en-AU" w:eastAsia="en-US" w:bidi="ar-SA"/>
    </w:rPr>
  </w:style>
  <w:style w:type="character" w:customStyle="1" w:styleId="Heading3Char">
    <w:name w:val="Heading 3 Char"/>
    <w:link w:val="Heading3"/>
    <w:rsid w:val="00BA3B38"/>
    <w:rPr>
      <w:rFonts w:cs="Arial"/>
      <w:b/>
      <w:bCs/>
      <w:iCs/>
      <w:sz w:val="24"/>
      <w:szCs w:val="26"/>
      <w:lang w:val="en-AU" w:eastAsia="en-US" w:bidi="ar-SA"/>
    </w:rPr>
  </w:style>
  <w:style w:type="paragraph" w:customStyle="1" w:styleId="NumAG1">
    <w:name w:val="Num AG1"/>
    <w:basedOn w:val="NumBC1"/>
    <w:rsid w:val="00BA3B38"/>
    <w:pPr>
      <w:numPr>
        <w:numId w:val="0"/>
      </w:numPr>
      <w:tabs>
        <w:tab w:val="num" w:pos="624"/>
      </w:tabs>
      <w:ind w:left="624" w:hanging="624"/>
    </w:pPr>
  </w:style>
  <w:style w:type="paragraph" w:customStyle="1" w:styleId="NumAG2">
    <w:name w:val="Num AG2"/>
    <w:basedOn w:val="NumBC2"/>
    <w:rsid w:val="00BA3B38"/>
    <w:pPr>
      <w:numPr>
        <w:ilvl w:val="0"/>
        <w:numId w:val="0"/>
      </w:numPr>
      <w:tabs>
        <w:tab w:val="num" w:pos="1247"/>
      </w:tabs>
      <w:ind w:left="1247" w:hanging="623"/>
    </w:pPr>
  </w:style>
  <w:style w:type="paragraph" w:customStyle="1" w:styleId="NumAG3">
    <w:name w:val="Num AG3"/>
    <w:basedOn w:val="NumBC3"/>
    <w:rsid w:val="00BA3B38"/>
    <w:pPr>
      <w:numPr>
        <w:ilvl w:val="0"/>
        <w:numId w:val="0"/>
      </w:numPr>
      <w:tabs>
        <w:tab w:val="num" w:pos="1871"/>
      </w:tabs>
      <w:ind w:left="1871" w:hanging="624"/>
    </w:pPr>
  </w:style>
  <w:style w:type="paragraph" w:customStyle="1" w:styleId="NumAG4">
    <w:name w:val="Num AG4"/>
    <w:basedOn w:val="NumBC4"/>
    <w:rsid w:val="00BA3B38"/>
    <w:pPr>
      <w:numPr>
        <w:ilvl w:val="0"/>
        <w:numId w:val="0"/>
      </w:numPr>
      <w:tabs>
        <w:tab w:val="num" w:pos="2495"/>
      </w:tabs>
      <w:ind w:left="2495" w:hanging="624"/>
    </w:pPr>
  </w:style>
  <w:style w:type="paragraph" w:customStyle="1" w:styleId="AppendixNo">
    <w:name w:val="AppendixNo"/>
    <w:basedOn w:val="Normal"/>
    <w:next w:val="Normal"/>
    <w:link w:val="AppendixNoChar"/>
    <w:rsid w:val="00BA3B38"/>
    <w:pPr>
      <w:keepNext/>
      <w:spacing w:after="200" w:line="280" w:lineRule="exact"/>
      <w:jc w:val="center"/>
      <w:outlineLvl w:val="0"/>
    </w:pPr>
    <w:rPr>
      <w:b/>
      <w:caps/>
      <w:sz w:val="28"/>
      <w:szCs w:val="28"/>
    </w:rPr>
  </w:style>
  <w:style w:type="character" w:customStyle="1" w:styleId="AppendixNoChar">
    <w:name w:val="AppendixNo Char"/>
    <w:link w:val="AppendixNo"/>
    <w:rsid w:val="00BA3B38"/>
    <w:rPr>
      <w:b/>
      <w:caps/>
      <w:sz w:val="28"/>
      <w:szCs w:val="28"/>
      <w:lang w:val="en-AU" w:eastAsia="en-US" w:bidi="ar-SA"/>
    </w:rPr>
  </w:style>
  <w:style w:type="paragraph" w:customStyle="1" w:styleId="AppendixNote">
    <w:name w:val="AppendixNote"/>
    <w:basedOn w:val="Normal"/>
    <w:next w:val="Normal"/>
    <w:rsid w:val="00BA3B38"/>
    <w:pPr>
      <w:spacing w:after="200"/>
    </w:pPr>
    <w:rPr>
      <w:i/>
      <w:iCs/>
    </w:rPr>
  </w:style>
  <w:style w:type="paragraph" w:customStyle="1" w:styleId="DefnPara">
    <w:name w:val="Defn Para"/>
    <w:basedOn w:val="Normal"/>
    <w:rsid w:val="00A420DC"/>
    <w:pPr>
      <w:spacing w:after="200"/>
      <w:ind w:left="1077" w:hanging="340"/>
    </w:pPr>
    <w:rPr>
      <w:b/>
    </w:rPr>
  </w:style>
  <w:style w:type="character" w:customStyle="1" w:styleId="NumPlain1Char">
    <w:name w:val="Num Plain1 Char"/>
    <w:link w:val="NumPlain1"/>
    <w:rsid w:val="007653BE"/>
    <w:rPr>
      <w:sz w:val="19"/>
      <w:szCs w:val="19"/>
      <w:lang w:val="en-AU"/>
    </w:rPr>
  </w:style>
  <w:style w:type="paragraph" w:styleId="BalloonText">
    <w:name w:val="Balloon Text"/>
    <w:basedOn w:val="Normal"/>
    <w:semiHidden/>
    <w:rsid w:val="003A066B"/>
    <w:rPr>
      <w:rFonts w:ascii="Tahoma" w:hAnsi="Tahoma" w:cs="Tahoma"/>
      <w:sz w:val="16"/>
      <w:szCs w:val="16"/>
    </w:rPr>
  </w:style>
  <w:style w:type="paragraph" w:customStyle="1" w:styleId="NumBold1RDR">
    <w:name w:val="Num Bold1 RDR"/>
    <w:basedOn w:val="NumPlain1"/>
    <w:rsid w:val="00363259"/>
    <w:pPr>
      <w:numPr>
        <w:numId w:val="0"/>
      </w:numPr>
      <w:shd w:val="clear" w:color="auto" w:fill="D9D9D9"/>
      <w:ind w:left="510" w:hanging="510"/>
    </w:pPr>
    <w:rPr>
      <w:b/>
    </w:rPr>
  </w:style>
  <w:style w:type="paragraph" w:customStyle="1" w:styleId="AusBold2RDR">
    <w:name w:val="Aus Bold2 RDR"/>
    <w:basedOn w:val="AusBold2"/>
    <w:rsid w:val="00D47EEA"/>
    <w:pPr>
      <w:shd w:val="clear" w:color="auto" w:fill="D9D9D9"/>
      <w:tabs>
        <w:tab w:val="left" w:pos="1021"/>
      </w:tabs>
      <w:ind w:hanging="1531"/>
    </w:pPr>
  </w:style>
  <w:style w:type="paragraph" w:customStyle="1" w:styleId="NumPlain1RDR">
    <w:name w:val="Num Plain1 RDR"/>
    <w:basedOn w:val="NumPlain1"/>
    <w:rsid w:val="00D47EEA"/>
    <w:pPr>
      <w:numPr>
        <w:numId w:val="0"/>
      </w:numPr>
      <w:shd w:val="clear" w:color="auto" w:fill="D9D9D9"/>
      <w:ind w:left="510" w:hanging="510"/>
    </w:pPr>
  </w:style>
  <w:style w:type="paragraph" w:customStyle="1" w:styleId="NumPlain2RDR">
    <w:name w:val="Num Plain2 RDR"/>
    <w:basedOn w:val="NumPlain2"/>
    <w:rsid w:val="003F273F"/>
    <w:pPr>
      <w:numPr>
        <w:ilvl w:val="0"/>
        <w:numId w:val="0"/>
      </w:numPr>
      <w:shd w:val="clear" w:color="auto" w:fill="D9D9D9"/>
      <w:tabs>
        <w:tab w:val="left" w:pos="510"/>
      </w:tabs>
      <w:ind w:left="1021" w:hanging="1021"/>
    </w:pPr>
  </w:style>
  <w:style w:type="character" w:customStyle="1" w:styleId="FooterChar">
    <w:name w:val="Footer Char"/>
    <w:basedOn w:val="DefaultParagraphFont"/>
    <w:link w:val="Footer"/>
    <w:rsid w:val="00A958E3"/>
    <w:rPr>
      <w:b/>
      <w:sz w:val="19"/>
      <w:lang w:val="en-AU"/>
    </w:rPr>
  </w:style>
  <w:style w:type="paragraph" w:styleId="Revision">
    <w:name w:val="Revision"/>
    <w:hidden/>
    <w:uiPriority w:val="99"/>
    <w:semiHidden/>
    <w:rsid w:val="005C5623"/>
    <w:rPr>
      <w:lang w:val="en-AU"/>
    </w:rPr>
  </w:style>
  <w:style w:type="character" w:styleId="CommentReference">
    <w:name w:val="annotation reference"/>
    <w:basedOn w:val="DefaultParagraphFont"/>
    <w:uiPriority w:val="5"/>
    <w:unhideWhenUsed/>
    <w:rsid w:val="001E20BB"/>
    <w:rPr>
      <w:sz w:val="16"/>
      <w:szCs w:val="16"/>
    </w:rPr>
  </w:style>
  <w:style w:type="paragraph" w:styleId="CommentText">
    <w:name w:val="annotation text"/>
    <w:basedOn w:val="Normal"/>
    <w:link w:val="CommentTextChar"/>
    <w:unhideWhenUsed/>
    <w:rsid w:val="001E20BB"/>
    <w:pPr>
      <w:spacing w:line="240" w:lineRule="auto"/>
    </w:pPr>
  </w:style>
  <w:style w:type="character" w:customStyle="1" w:styleId="CommentTextChar">
    <w:name w:val="Comment Text Char"/>
    <w:basedOn w:val="DefaultParagraphFont"/>
    <w:link w:val="CommentText"/>
    <w:rsid w:val="001E20BB"/>
    <w:rPr>
      <w:lang w:val="en-AU"/>
    </w:rPr>
  </w:style>
  <w:style w:type="paragraph" w:styleId="CommentSubject">
    <w:name w:val="annotation subject"/>
    <w:basedOn w:val="CommentText"/>
    <w:next w:val="CommentText"/>
    <w:link w:val="CommentSubjectChar"/>
    <w:semiHidden/>
    <w:unhideWhenUsed/>
    <w:rsid w:val="001E20BB"/>
    <w:rPr>
      <w:b/>
      <w:bCs/>
    </w:rPr>
  </w:style>
  <w:style w:type="character" w:customStyle="1" w:styleId="CommentSubjectChar">
    <w:name w:val="Comment Subject Char"/>
    <w:basedOn w:val="CommentTextChar"/>
    <w:link w:val="CommentSubject"/>
    <w:semiHidden/>
    <w:rsid w:val="001E20BB"/>
    <w:rPr>
      <w:b/>
      <w:bCs/>
      <w:lang w:val="en-AU"/>
    </w:rPr>
  </w:style>
  <w:style w:type="character" w:customStyle="1" w:styleId="UnresolvedMention1">
    <w:name w:val="Unresolved Mention1"/>
    <w:basedOn w:val="DefaultParagraphFont"/>
    <w:uiPriority w:val="99"/>
    <w:unhideWhenUsed/>
    <w:rsid w:val="001E20BB"/>
    <w:rPr>
      <w:color w:val="605E5C"/>
      <w:shd w:val="clear" w:color="auto" w:fill="E1DFDD"/>
    </w:rPr>
  </w:style>
  <w:style w:type="paragraph" w:customStyle="1" w:styleId="AASBStandardTitle">
    <w:name w:val="AASB Standard Title"/>
    <w:basedOn w:val="Normal"/>
    <w:semiHidden/>
    <w:qFormat/>
    <w:rsid w:val="00564DC6"/>
    <w:pPr>
      <w:spacing w:before="800" w:line="240" w:lineRule="auto"/>
    </w:pPr>
    <w:rPr>
      <w:rFonts w:ascii="HelveticaNeueLT Std" w:hAnsi="HelveticaNeueLT Std"/>
      <w:color w:val="25408F"/>
      <w:sz w:val="50"/>
      <w:szCs w:val="24"/>
    </w:rPr>
  </w:style>
  <w:style w:type="paragraph" w:customStyle="1" w:styleId="AASBPara">
    <w:name w:val="AASB Para"/>
    <w:basedOn w:val="Normal"/>
    <w:rsid w:val="00564DC6"/>
    <w:pPr>
      <w:spacing w:after="200" w:line="240" w:lineRule="auto"/>
      <w:jc w:val="both"/>
    </w:pPr>
    <w:rPr>
      <w:sz w:val="19"/>
    </w:rPr>
  </w:style>
  <w:style w:type="paragraph" w:customStyle="1" w:styleId="AASBBase">
    <w:name w:val="AASB Base"/>
    <w:qFormat/>
    <w:rsid w:val="0074684C"/>
    <w:pPr>
      <w:jc w:val="both"/>
    </w:pPr>
    <w:rPr>
      <w:sz w:val="19"/>
      <w:lang w:val="en-AU"/>
    </w:rPr>
  </w:style>
  <w:style w:type="character" w:styleId="Hyperlink">
    <w:name w:val="Hyperlink"/>
    <w:basedOn w:val="DefaultParagraphFont"/>
    <w:unhideWhenUsed/>
    <w:rsid w:val="0074684C"/>
    <w:rPr>
      <w:color w:val="0000FF" w:themeColor="hyperlink"/>
      <w:u w:val="single"/>
    </w:rPr>
  </w:style>
  <w:style w:type="character" w:customStyle="1" w:styleId="UnresolvedMention2">
    <w:name w:val="Unresolved Mention2"/>
    <w:basedOn w:val="DefaultParagraphFont"/>
    <w:uiPriority w:val="99"/>
    <w:semiHidden/>
    <w:unhideWhenUsed/>
    <w:rsid w:val="0074684C"/>
    <w:rPr>
      <w:color w:val="605E5C"/>
      <w:shd w:val="clear" w:color="auto" w:fill="E1DFDD"/>
    </w:rPr>
  </w:style>
  <w:style w:type="paragraph" w:customStyle="1" w:styleId="ConvSectionTitle">
    <w:name w:val="Conv Section Title"/>
    <w:basedOn w:val="Normal"/>
    <w:uiPriority w:val="9"/>
    <w:qFormat/>
    <w:rsid w:val="00D50116"/>
    <w:pPr>
      <w:keepNext/>
      <w:keepLines/>
      <w:spacing w:before="400" w:after="200" w:line="240" w:lineRule="auto"/>
      <w:outlineLvl w:val="0"/>
    </w:pPr>
    <w:rPr>
      <w:rFonts w:ascii="Arial" w:hAnsi="Arial" w:cs="Arial"/>
      <w:b/>
      <w:sz w:val="26"/>
    </w:rPr>
  </w:style>
  <w:style w:type="paragraph" w:customStyle="1" w:styleId="ConvStandardTitle1">
    <w:name w:val="Conv Standard Title 1"/>
    <w:basedOn w:val="Normal"/>
    <w:next w:val="Normal"/>
    <w:uiPriority w:val="9"/>
    <w:qFormat/>
    <w:rsid w:val="0045081B"/>
    <w:pPr>
      <w:spacing w:before="300" w:line="240" w:lineRule="auto"/>
    </w:pPr>
    <w:rPr>
      <w:rFonts w:ascii="Arial" w:hAnsi="Arial"/>
      <w:b/>
      <w:sz w:val="26"/>
      <w:szCs w:val="24"/>
    </w:rPr>
  </w:style>
  <w:style w:type="paragraph" w:customStyle="1" w:styleId="ConvStandardTitle2">
    <w:name w:val="Conv Standard Title2"/>
    <w:basedOn w:val="ConvStandardTitle1"/>
    <w:uiPriority w:val="9"/>
    <w:qFormat/>
    <w:rsid w:val="0045081B"/>
    <w:pPr>
      <w:spacing w:before="0" w:after="200"/>
    </w:pPr>
    <w:rPr>
      <w:i/>
      <w:iCs/>
    </w:rPr>
  </w:style>
  <w:style w:type="paragraph" w:customStyle="1" w:styleId="IASBSectionTitle1NonInd">
    <w:name w:val="IASB Section Title 1 NonInd"/>
    <w:basedOn w:val="Normal"/>
    <w:link w:val="IASBSectionTitle1NonIndChar"/>
    <w:uiPriority w:val="8"/>
    <w:rsid w:val="0045081B"/>
    <w:pPr>
      <w:keepNext/>
      <w:keepLines/>
      <w:pBdr>
        <w:bottom w:val="single" w:sz="4" w:space="0" w:color="auto"/>
      </w:pBdr>
      <w:spacing w:before="400" w:after="200" w:line="240" w:lineRule="auto"/>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45081B"/>
    <w:rPr>
      <w:rFonts w:ascii="Arial" w:hAnsi="Arial" w:cs="Arial"/>
      <w:b/>
      <w:sz w:val="26"/>
      <w:lang w:val="en-AU"/>
    </w:rPr>
  </w:style>
  <w:style w:type="paragraph" w:customStyle="1" w:styleId="IASBSectionTitle2Ind">
    <w:name w:val="IASB Section Title 2 Ind"/>
    <w:basedOn w:val="Normal"/>
    <w:uiPriority w:val="8"/>
    <w:rsid w:val="0045081B"/>
    <w:pPr>
      <w:keepNext/>
      <w:keepLines/>
      <w:spacing w:before="240" w:after="200" w:line="240" w:lineRule="auto"/>
      <w:ind w:left="782"/>
      <w:outlineLvl w:val="1"/>
    </w:pPr>
    <w:rPr>
      <w:rFonts w:ascii="Arial" w:hAnsi="Arial" w:cs="Arial"/>
      <w:b/>
      <w:sz w:val="26"/>
    </w:rPr>
  </w:style>
  <w:style w:type="paragraph" w:customStyle="1" w:styleId="IASBSectionTitle2NonInd">
    <w:name w:val="IASB Section Title 2 NonInd"/>
    <w:basedOn w:val="Normal"/>
    <w:uiPriority w:val="8"/>
    <w:rsid w:val="00267D14"/>
    <w:pPr>
      <w:keepNext/>
      <w:keepLines/>
      <w:spacing w:before="300" w:after="200" w:line="240" w:lineRule="auto"/>
      <w:outlineLvl w:val="1"/>
    </w:pPr>
    <w:rPr>
      <w:rFonts w:ascii="Arial" w:hAnsi="Arial" w:cs="Arial"/>
      <w:b/>
      <w:sz w:val="26"/>
    </w:rPr>
  </w:style>
  <w:style w:type="paragraph" w:customStyle="1" w:styleId="IASBNote">
    <w:name w:val="IASB Note"/>
    <w:basedOn w:val="Normal"/>
    <w:uiPriority w:val="8"/>
    <w:rsid w:val="00A958E3"/>
    <w:pPr>
      <w:tabs>
        <w:tab w:val="left" w:pos="4253"/>
      </w:tabs>
      <w:spacing w:before="100" w:after="100" w:line="240" w:lineRule="auto"/>
      <w:jc w:val="both"/>
    </w:pPr>
    <w:rPr>
      <w:i/>
      <w:sz w:val="19"/>
    </w:rPr>
  </w:style>
  <w:style w:type="paragraph" w:customStyle="1" w:styleId="RDRBold1">
    <w:name w:val="RDR Bold1"/>
    <w:basedOn w:val="Normal"/>
    <w:rsid w:val="006F22B6"/>
    <w:pPr>
      <w:spacing w:after="200" w:line="240" w:lineRule="auto"/>
      <w:ind w:left="1022" w:hanging="1022"/>
      <w:outlineLvl w:val="0"/>
    </w:pPr>
    <w:rPr>
      <w:b/>
      <w:sz w:val="19"/>
    </w:rPr>
  </w:style>
  <w:style w:type="paragraph" w:customStyle="1" w:styleId="IASBNormalnpara">
    <w:name w:val="IASB Normal npara"/>
    <w:basedOn w:val="Normal"/>
    <w:qFormat/>
    <w:rsid w:val="006F22B6"/>
    <w:pPr>
      <w:spacing w:before="100" w:line="240" w:lineRule="auto"/>
      <w:ind w:left="782" w:hanging="782"/>
      <w:jc w:val="both"/>
    </w:pPr>
    <w:rPr>
      <w:sz w:val="19"/>
    </w:rPr>
  </w:style>
  <w:style w:type="paragraph" w:customStyle="1" w:styleId="RDRM2">
    <w:name w:val="RDRM2"/>
    <w:basedOn w:val="Normal"/>
    <w:uiPriority w:val="5"/>
    <w:qFormat/>
    <w:rsid w:val="00024F12"/>
    <w:pPr>
      <w:shd w:val="pct15" w:color="auto" w:fill="auto"/>
      <w:tabs>
        <w:tab w:val="left" w:pos="782"/>
      </w:tabs>
      <w:spacing w:before="100" w:line="240" w:lineRule="auto"/>
      <w:ind w:left="1565" w:hanging="1565"/>
      <w:jc w:val="both"/>
    </w:pPr>
    <w:rPr>
      <w:sz w:val="19"/>
    </w:rPr>
  </w:style>
  <w:style w:type="paragraph" w:customStyle="1" w:styleId="IASBNormalnparaP">
    <w:name w:val="IASB Normal nparaP"/>
    <w:basedOn w:val="Normal"/>
    <w:rsid w:val="0056358B"/>
    <w:pPr>
      <w:tabs>
        <w:tab w:val="left" w:pos="4253"/>
      </w:tabs>
      <w:spacing w:before="100" w:after="100" w:line="240" w:lineRule="auto"/>
      <w:ind w:left="782"/>
      <w:jc w:val="both"/>
    </w:pPr>
    <w:rPr>
      <w:sz w:val="19"/>
    </w:rPr>
  </w:style>
  <w:style w:type="paragraph" w:customStyle="1" w:styleId="AASBNormal">
    <w:name w:val="AASB Normal"/>
    <w:basedOn w:val="Normal"/>
    <w:qFormat/>
    <w:rsid w:val="000E17BE"/>
    <w:pPr>
      <w:tabs>
        <w:tab w:val="left" w:pos="782"/>
      </w:tabs>
      <w:spacing w:before="100" w:after="100" w:line="240" w:lineRule="auto"/>
      <w:jc w:val="both"/>
    </w:pPr>
    <w:rPr>
      <w:sz w:val="19"/>
    </w:rPr>
  </w:style>
  <w:style w:type="paragraph" w:customStyle="1" w:styleId="NumFPlain1">
    <w:name w:val="Num F Plain1"/>
    <w:basedOn w:val="NumPlain1"/>
    <w:qFormat/>
    <w:rsid w:val="00512AEC"/>
    <w:pPr>
      <w:numPr>
        <w:numId w:val="0"/>
      </w:numPr>
      <w:spacing w:after="100"/>
      <w:ind w:left="782" w:hanging="782"/>
    </w:pPr>
    <w:rPr>
      <w:szCs w:val="20"/>
    </w:rPr>
  </w:style>
  <w:style w:type="table" w:styleId="TableGrid">
    <w:name w:val="Table Grid"/>
    <w:basedOn w:val="TableNormal"/>
    <w:uiPriority w:val="39"/>
    <w:rsid w:val="009F27CF"/>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F27CF"/>
    <w:rPr>
      <w:lang w:val="en-AU"/>
    </w:rPr>
  </w:style>
  <w:style w:type="paragraph" w:styleId="ListParagraph">
    <w:name w:val="List Paragraph"/>
    <w:basedOn w:val="Normal"/>
    <w:link w:val="ListParagraphChar"/>
    <w:uiPriority w:val="34"/>
    <w:qFormat/>
    <w:rsid w:val="009F27CF"/>
    <w:pPr>
      <w:numPr>
        <w:numId w:val="12"/>
      </w:numPr>
      <w:pBdr>
        <w:left w:val="single" w:sz="4" w:space="4" w:color="auto"/>
        <w:right w:val="single" w:sz="4" w:space="4" w:color="auto"/>
      </w:pBdr>
      <w:spacing w:after="100" w:line="240" w:lineRule="auto"/>
      <w:contextualSpacing/>
    </w:pPr>
    <w:rPr>
      <w:sz w:val="19"/>
    </w:rPr>
  </w:style>
  <w:style w:type="paragraph" w:customStyle="1" w:styleId="TableRow">
    <w:name w:val="TableRow"/>
    <w:basedOn w:val="Normal"/>
    <w:uiPriority w:val="5"/>
    <w:qFormat/>
    <w:rsid w:val="009F27CF"/>
    <w:pPr>
      <w:spacing w:before="60" w:after="60" w:line="240" w:lineRule="auto"/>
    </w:pPr>
    <w:rPr>
      <w:sz w:val="24"/>
      <w:szCs w:val="24"/>
      <w:lang w:eastAsia="en-AU"/>
    </w:rPr>
  </w:style>
  <w:style w:type="paragraph" w:customStyle="1" w:styleId="TableHeading">
    <w:name w:val="TableHeading"/>
    <w:basedOn w:val="Normal"/>
    <w:uiPriority w:val="5"/>
    <w:qFormat/>
    <w:rsid w:val="009F27CF"/>
    <w:pPr>
      <w:spacing w:before="60" w:after="60" w:line="240" w:lineRule="auto"/>
    </w:pPr>
    <w:rPr>
      <w:rFonts w:asciiTheme="minorHAnsi" w:hAnsiTheme="minorHAnsi"/>
      <w:b/>
      <w:sz w:val="24"/>
      <w:szCs w:val="24"/>
      <w:lang w:eastAsia="en-AU"/>
    </w:rPr>
  </w:style>
  <w:style w:type="character" w:customStyle="1" w:styleId="ListParagraphChar">
    <w:name w:val="List Paragraph Char"/>
    <w:basedOn w:val="DefaultParagraphFont"/>
    <w:link w:val="ListParagraph"/>
    <w:uiPriority w:val="34"/>
    <w:rsid w:val="009F27CF"/>
    <w:rPr>
      <w:sz w:val="19"/>
      <w:lang w:val="en-AU"/>
    </w:rPr>
  </w:style>
  <w:style w:type="character" w:customStyle="1" w:styleId="Heading4Char">
    <w:name w:val="Heading 4 Char"/>
    <w:basedOn w:val="DefaultParagraphFont"/>
    <w:link w:val="Heading4"/>
    <w:rsid w:val="009F27CF"/>
    <w:rPr>
      <w:rFonts w:cs="Arial"/>
      <w:b/>
      <w:iCs/>
      <w:szCs w:val="28"/>
      <w:lang w:val="en-AU"/>
    </w:rPr>
  </w:style>
  <w:style w:type="character" w:customStyle="1" w:styleId="normaltextrun1">
    <w:name w:val="normaltextrun1"/>
    <w:basedOn w:val="DefaultParagraphFont"/>
    <w:rsid w:val="009F27CF"/>
  </w:style>
  <w:style w:type="numbering" w:customStyle="1" w:styleId="Bullets">
    <w:name w:val="Bullets"/>
    <w:uiPriority w:val="99"/>
    <w:rsid w:val="007274EF"/>
    <w:pPr>
      <w:numPr>
        <w:numId w:val="20"/>
      </w:numPr>
    </w:pPr>
  </w:style>
  <w:style w:type="character" w:styleId="FootnoteReference">
    <w:name w:val="footnote reference"/>
    <w:basedOn w:val="DefaultParagraphFont"/>
    <w:uiPriority w:val="5"/>
    <w:rsid w:val="007274EF"/>
    <w:rPr>
      <w:vertAlign w:val="superscript"/>
    </w:rPr>
  </w:style>
  <w:style w:type="character" w:customStyle="1" w:styleId="FootnoteTextChar">
    <w:name w:val="Footnote Text Char"/>
    <w:basedOn w:val="DefaultParagraphFont"/>
    <w:link w:val="FootnoteText"/>
    <w:uiPriority w:val="5"/>
    <w:rsid w:val="007274EF"/>
    <w:rPr>
      <w:sz w:val="16"/>
      <w:lang w:val="en-AU"/>
    </w:rPr>
  </w:style>
  <w:style w:type="character" w:customStyle="1" w:styleId="Heading2Char">
    <w:name w:val="Heading 2 Char"/>
    <w:basedOn w:val="DefaultParagraphFont"/>
    <w:link w:val="Heading2"/>
    <w:rsid w:val="007274EF"/>
    <w:rPr>
      <w:rFonts w:cs="Arial"/>
      <w:b/>
      <w:iCs/>
      <w:sz w:val="28"/>
      <w:szCs w:val="28"/>
      <w:lang w:val="en-AU"/>
    </w:rPr>
  </w:style>
  <w:style w:type="paragraph" w:customStyle="1" w:styleId="Default">
    <w:name w:val="Default"/>
    <w:rsid w:val="007274EF"/>
    <w:pPr>
      <w:autoSpaceDE w:val="0"/>
      <w:autoSpaceDN w:val="0"/>
      <w:adjustRightInd w:val="0"/>
    </w:pPr>
    <w:rPr>
      <w:color w:val="000000"/>
      <w:sz w:val="24"/>
      <w:szCs w:val="24"/>
      <w:lang w:val="en-AU" w:eastAsia="en-AU"/>
    </w:rPr>
  </w:style>
  <w:style w:type="character" w:customStyle="1" w:styleId="UnresolvedMention3">
    <w:name w:val="Unresolved Mention3"/>
    <w:basedOn w:val="DefaultParagraphFont"/>
    <w:uiPriority w:val="99"/>
    <w:unhideWhenUsed/>
    <w:rsid w:val="0019538D"/>
    <w:rPr>
      <w:color w:val="605E5C"/>
      <w:shd w:val="clear" w:color="auto" w:fill="E1DFDD"/>
    </w:rPr>
  </w:style>
  <w:style w:type="paragraph" w:customStyle="1" w:styleId="IASBSectionTitle3Ind">
    <w:name w:val="IASB Section Title 3 Ind"/>
    <w:basedOn w:val="Normal"/>
    <w:link w:val="IASBSectionTitle3IndChar"/>
    <w:uiPriority w:val="8"/>
    <w:rsid w:val="00932EB2"/>
    <w:pPr>
      <w:keepNext/>
      <w:keepLines/>
      <w:spacing w:before="240" w:after="200" w:line="240" w:lineRule="auto"/>
      <w:ind w:left="782"/>
      <w:outlineLvl w:val="2"/>
    </w:pPr>
    <w:rPr>
      <w:rFonts w:ascii="Arial" w:hAnsi="Arial" w:cs="Arial"/>
      <w:b/>
      <w:sz w:val="22"/>
    </w:rPr>
  </w:style>
  <w:style w:type="character" w:customStyle="1" w:styleId="IASBSectionTitle3IndChar">
    <w:name w:val="IASB Section Title 3 Ind Char"/>
    <w:basedOn w:val="DefaultParagraphFont"/>
    <w:link w:val="IASBSectionTitle3Ind"/>
    <w:uiPriority w:val="8"/>
    <w:rsid w:val="00932EB2"/>
    <w:rPr>
      <w:rFonts w:ascii="Arial" w:hAnsi="Arial" w:cs="Arial"/>
      <w:b/>
      <w:sz w:val="22"/>
      <w:lang w:val="en-AU"/>
    </w:rPr>
  </w:style>
  <w:style w:type="paragraph" w:customStyle="1" w:styleId="IASBNormalnparaL3">
    <w:name w:val="IASB Normal nparaL3"/>
    <w:basedOn w:val="Normal"/>
    <w:uiPriority w:val="8"/>
    <w:rsid w:val="000F3BFE"/>
    <w:pPr>
      <w:spacing w:before="100" w:line="240" w:lineRule="auto"/>
      <w:ind w:left="3129" w:hanging="782"/>
      <w:jc w:val="both"/>
    </w:pPr>
    <w:rPr>
      <w:sz w:val="19"/>
    </w:rPr>
  </w:style>
  <w:style w:type="paragraph" w:customStyle="1" w:styleId="AusBold">
    <w:name w:val="Aus Bold"/>
    <w:basedOn w:val="Normal"/>
    <w:uiPriority w:val="2"/>
    <w:qFormat/>
    <w:rsid w:val="00C624A5"/>
    <w:pPr>
      <w:spacing w:before="100" w:line="240" w:lineRule="auto"/>
      <w:ind w:left="1565" w:hanging="1565"/>
      <w:jc w:val="both"/>
    </w:pPr>
    <w:rPr>
      <w:b/>
      <w:sz w:val="19"/>
    </w:rPr>
  </w:style>
  <w:style w:type="character" w:styleId="PlaceholderText">
    <w:name w:val="Placeholder Text"/>
    <w:basedOn w:val="DefaultParagraphFont"/>
    <w:uiPriority w:val="99"/>
    <w:semiHidden/>
    <w:rsid w:val="00B81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fecdaea37f4cb35f121e766715a17369">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0ab4d26944aca26696a66805b0f38284"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28B6A-E8BC-4EC9-8D35-6C3F4C3783CF}">
  <ds:schemaRefs>
    <ds:schemaRef ds:uri="http://schemas.openxmlformats.org/officeDocument/2006/bibliography"/>
  </ds:schemaRefs>
</ds:datastoreItem>
</file>

<file path=customXml/itemProps2.xml><?xml version="1.0" encoding="utf-8"?>
<ds:datastoreItem xmlns:ds="http://schemas.openxmlformats.org/officeDocument/2006/customXml" ds:itemID="{31BED169-4703-4A17-AA3D-7E3381F5156C}">
  <ds:schemaRefs>
    <ds:schemaRef ds:uri="http://schemas.microsoft.com/sharepoint/v3/contenttype/forms"/>
  </ds:schemaRefs>
</ds:datastoreItem>
</file>

<file path=customXml/itemProps3.xml><?xml version="1.0" encoding="utf-8"?>
<ds:datastoreItem xmlns:ds="http://schemas.openxmlformats.org/officeDocument/2006/customXml" ds:itemID="{C4D75310-8C4B-4A81-A7DB-58EA39314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B6B02-D11E-43FE-8BFC-EC68DF302007}">
  <ds:schemaRefs>
    <ds:schemaRef ds:uri="http://schemas.microsoft.com/office/2006/metadata/properties"/>
    <ds:schemaRef ds:uri="http://purl.org/dc/elements/1.1/"/>
    <ds:schemaRef ds:uri="dacb3ef7-33a4-4aaf-8e2c-a382b35b189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fffc6f8-0ce6-4feb-a150-9d1574269e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31</Pages>
  <Words>14570</Words>
  <Characters>86143</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Compiled AASB 1054 (Mar 2020)</vt:lpstr>
    </vt:vector>
  </TitlesOfParts>
  <Company>AASB</Company>
  <LinksUpToDate>false</LinksUpToDate>
  <CharactersWithSpaces>100512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1054 (Mar 2020)</dc:title>
  <dc:subject>Applies 1 Jul 2015</dc:subject>
  <dc:creator>.</dc:creator>
  <cp:keywords/>
  <cp:lastModifiedBy>Clark Anstis</cp:lastModifiedBy>
  <cp:revision>125</cp:revision>
  <cp:lastPrinted>2011-04-29T07:05:00Z</cp:lastPrinted>
  <dcterms:created xsi:type="dcterms:W3CDTF">2020-06-25T03:02:00Z</dcterms:created>
  <dcterms:modified xsi:type="dcterms:W3CDTF">2021-09-15T02:20:00Z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