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F12" w:rsidRDefault="00B81F12" w:rsidP="00B81F12">
      <w:pPr>
        <w:tabs>
          <w:tab w:val="right" w:pos="9072"/>
        </w:tabs>
        <w:spacing w:before="0" w:line="240" w:lineRule="exact"/>
        <w:ind w:right="91"/>
        <w:rPr>
          <w:b/>
        </w:rPr>
      </w:pPr>
    </w:p>
    <w:p w:rsidR="00B81F12" w:rsidRPr="00E06FE2" w:rsidRDefault="00B81F12" w:rsidP="00B81F12">
      <w:pPr>
        <w:spacing w:before="0"/>
        <w:ind w:right="91"/>
        <w:jc w:val="center"/>
        <w:rPr>
          <w:b/>
          <w:u w:val="single"/>
        </w:rPr>
      </w:pPr>
      <w:r w:rsidRPr="00E06FE2">
        <w:rPr>
          <w:b/>
          <w:u w:val="single"/>
        </w:rPr>
        <w:t>EXPLANATORY STATEMENT</w:t>
      </w:r>
    </w:p>
    <w:p w:rsidR="00B81F12" w:rsidRPr="00E06FE2" w:rsidRDefault="00B81F12" w:rsidP="00B81F12">
      <w:pPr>
        <w:spacing w:before="0"/>
        <w:ind w:right="91"/>
        <w:jc w:val="center"/>
      </w:pPr>
    </w:p>
    <w:p w:rsidR="00B81F12" w:rsidRPr="00E06FE2" w:rsidRDefault="00B81F12" w:rsidP="00B81F12">
      <w:pPr>
        <w:spacing w:before="0"/>
        <w:ind w:right="91"/>
        <w:jc w:val="center"/>
        <w:rPr>
          <w:b/>
          <w:u w:val="single"/>
        </w:rPr>
      </w:pPr>
      <w:r w:rsidRPr="00E06FE2">
        <w:rPr>
          <w:b/>
          <w:u w:val="single"/>
        </w:rPr>
        <w:t>Select Legislative Instrument 201</w:t>
      </w:r>
      <w:r w:rsidR="000359C2">
        <w:rPr>
          <w:b/>
          <w:u w:val="single"/>
        </w:rPr>
        <w:t>1</w:t>
      </w:r>
      <w:r w:rsidR="00A145AA">
        <w:rPr>
          <w:b/>
          <w:u w:val="single"/>
        </w:rPr>
        <w:t xml:space="preserve"> No. 60</w:t>
      </w:r>
    </w:p>
    <w:p w:rsidR="00B81F12" w:rsidRPr="00E06FE2" w:rsidRDefault="00B81F12" w:rsidP="00B81F12">
      <w:pPr>
        <w:spacing w:before="0"/>
        <w:ind w:right="91"/>
        <w:jc w:val="center"/>
      </w:pPr>
    </w:p>
    <w:p w:rsidR="00B81F12" w:rsidRPr="00E06FE2" w:rsidRDefault="00B81F12" w:rsidP="00B81F12">
      <w:pPr>
        <w:spacing w:before="0"/>
        <w:ind w:right="91"/>
        <w:rPr>
          <w:i/>
        </w:rPr>
      </w:pPr>
      <w:r w:rsidRPr="00E06FE2">
        <w:t>Subject -</w:t>
      </w:r>
      <w:r w:rsidRPr="00E06FE2">
        <w:tab/>
      </w:r>
      <w:r w:rsidRPr="00E06FE2">
        <w:rPr>
          <w:i/>
        </w:rPr>
        <w:t>Schools Assistance Act 2008</w:t>
      </w:r>
    </w:p>
    <w:p w:rsidR="00B81F12" w:rsidRPr="00E06FE2" w:rsidRDefault="00B81F12" w:rsidP="00B81F12">
      <w:pPr>
        <w:spacing w:before="0"/>
        <w:ind w:right="91"/>
        <w:rPr>
          <w:i/>
        </w:rPr>
      </w:pPr>
    </w:p>
    <w:p w:rsidR="00B81F12" w:rsidRPr="00E06FE2" w:rsidRDefault="00B81F12" w:rsidP="00B81F12">
      <w:pPr>
        <w:spacing w:before="0"/>
        <w:ind w:right="91"/>
        <w:rPr>
          <w:i/>
        </w:rPr>
      </w:pPr>
      <w:r w:rsidRPr="00E06FE2">
        <w:rPr>
          <w:i/>
        </w:rPr>
        <w:tab/>
      </w:r>
      <w:r w:rsidRPr="00E06FE2">
        <w:rPr>
          <w:i/>
        </w:rPr>
        <w:tab/>
        <w:t>Schools Assistance Amendment Regulations 201</w:t>
      </w:r>
      <w:r>
        <w:rPr>
          <w:i/>
        </w:rPr>
        <w:t>1</w:t>
      </w:r>
      <w:r w:rsidRPr="00E06FE2">
        <w:rPr>
          <w:i/>
        </w:rPr>
        <w:t xml:space="preserve"> (No.</w:t>
      </w:r>
      <w:r w:rsidR="00A145AA">
        <w:rPr>
          <w:i/>
        </w:rPr>
        <w:t xml:space="preserve"> 1</w:t>
      </w:r>
      <w:r w:rsidRPr="00E06FE2">
        <w:rPr>
          <w:i/>
        </w:rPr>
        <w:t>)</w:t>
      </w:r>
    </w:p>
    <w:p w:rsidR="00B81F12" w:rsidRPr="00E06FE2" w:rsidRDefault="00B81F12" w:rsidP="00B81F12">
      <w:pPr>
        <w:spacing w:before="0"/>
        <w:ind w:right="91"/>
      </w:pPr>
    </w:p>
    <w:p w:rsidR="00B81F12" w:rsidRPr="00E06FE2" w:rsidRDefault="00B81F12" w:rsidP="00B81F12">
      <w:pPr>
        <w:spacing w:before="0"/>
        <w:ind w:right="91"/>
        <w:rPr>
          <w:u w:val="single"/>
        </w:rPr>
      </w:pPr>
      <w:r w:rsidRPr="00E06FE2">
        <w:rPr>
          <w:u w:val="single"/>
        </w:rPr>
        <w:t>Background</w:t>
      </w:r>
    </w:p>
    <w:p w:rsidR="00B81F12" w:rsidRPr="00E06FE2" w:rsidRDefault="00B81F12" w:rsidP="00B81F12">
      <w:pPr>
        <w:spacing w:before="0"/>
        <w:ind w:right="91"/>
        <w:rPr>
          <w:u w:val="single"/>
        </w:rPr>
      </w:pPr>
    </w:p>
    <w:p w:rsidR="00030063" w:rsidRPr="00E06FE2" w:rsidRDefault="00B81F12" w:rsidP="00B81F12">
      <w:pPr>
        <w:spacing w:before="0"/>
        <w:ind w:right="91"/>
      </w:pPr>
      <w:r w:rsidRPr="00E06FE2">
        <w:t xml:space="preserve">The </w:t>
      </w:r>
      <w:r w:rsidRPr="00E06FE2">
        <w:rPr>
          <w:i/>
        </w:rPr>
        <w:t xml:space="preserve">Schools Assistance Act 2008 </w:t>
      </w:r>
      <w:r w:rsidRPr="00E06FE2">
        <w:t xml:space="preserve">(the Act) provides for Commonwealth financial assistance to the </w:t>
      </w:r>
      <w:r w:rsidR="00757442">
        <w:t>states and t</w:t>
      </w:r>
      <w:r w:rsidRPr="00E06FE2">
        <w:t>erritories for non</w:t>
      </w:r>
      <w:r w:rsidRPr="00E06FE2">
        <w:noBreakHyphen/>
        <w:t>government schools for 2009 to 2012.</w:t>
      </w:r>
    </w:p>
    <w:p w:rsidR="00B81F12" w:rsidRPr="00E06FE2" w:rsidRDefault="00B81F12" w:rsidP="00B81F12">
      <w:pPr>
        <w:spacing w:before="0"/>
        <w:ind w:right="91"/>
      </w:pPr>
    </w:p>
    <w:p w:rsidR="00B81F12" w:rsidRPr="00E06FE2" w:rsidRDefault="00B81F12" w:rsidP="00B81F12">
      <w:pPr>
        <w:spacing w:before="0"/>
        <w:ind w:right="91"/>
        <w:rPr>
          <w:u w:val="single"/>
        </w:rPr>
      </w:pPr>
      <w:r w:rsidRPr="00E06FE2">
        <w:rPr>
          <w:u w:val="single"/>
        </w:rPr>
        <w:t>Authority</w:t>
      </w:r>
    </w:p>
    <w:p w:rsidR="00B81F12" w:rsidRPr="00E06FE2" w:rsidRDefault="00B81F12" w:rsidP="00B81F12">
      <w:pPr>
        <w:spacing w:before="0"/>
        <w:ind w:right="91"/>
      </w:pPr>
    </w:p>
    <w:p w:rsidR="00030063" w:rsidRDefault="00B81F12" w:rsidP="00030063">
      <w:pPr>
        <w:spacing w:before="0"/>
        <w:ind w:right="91"/>
      </w:pPr>
      <w:r w:rsidRPr="00E06FE2">
        <w:t>Section 174 of the Act provides that the Governor-General may make regulations prescribing all matters required or permitted by the Act to be prescribed, or necessary or convenient to be prescribed for carrying out or giving effect to the Act.</w:t>
      </w:r>
    </w:p>
    <w:p w:rsidR="00030063" w:rsidRPr="00E06FE2" w:rsidRDefault="00030063" w:rsidP="00030063">
      <w:r w:rsidRPr="00E85F48">
        <w:t>Subsections 67(</w:t>
      </w:r>
      <w:r>
        <w:t>1A</w:t>
      </w:r>
      <w:r w:rsidRPr="00E85F48">
        <w:t>) and 69(</w:t>
      </w:r>
      <w:r>
        <w:t>1A</w:t>
      </w:r>
      <w:r w:rsidRPr="00E85F48">
        <w:t xml:space="preserve">) </w:t>
      </w:r>
      <w:r w:rsidR="00461F47">
        <w:t xml:space="preserve">of the Act </w:t>
      </w:r>
      <w:r w:rsidRPr="00E85F48">
        <w:t>respectively</w:t>
      </w:r>
      <w:r>
        <w:t xml:space="preserve"> provide that the regulations may specify an additional amount of assistance for each Indigenous student from a remote or a very remote area receiving primary or secondary education at a non-remote campus, by reference to an amount or a formula for calculating that additional amount of assistance.</w:t>
      </w:r>
    </w:p>
    <w:p w:rsidR="00B81F12" w:rsidRPr="00E06FE2" w:rsidRDefault="00B81F12" w:rsidP="00B81F12">
      <w:pPr>
        <w:spacing w:before="0"/>
        <w:ind w:right="91"/>
      </w:pPr>
    </w:p>
    <w:p w:rsidR="005E2925" w:rsidRDefault="00B81F12" w:rsidP="005E2925">
      <w:pPr>
        <w:spacing w:before="0"/>
        <w:ind w:right="91"/>
        <w:rPr>
          <w:u w:val="single"/>
        </w:rPr>
      </w:pPr>
      <w:r w:rsidRPr="00E06FE2">
        <w:rPr>
          <w:u w:val="single"/>
        </w:rPr>
        <w:t>Purpose and operation</w:t>
      </w:r>
    </w:p>
    <w:p w:rsidR="005E2925" w:rsidRDefault="005E2925" w:rsidP="005E2925">
      <w:pPr>
        <w:spacing w:before="0"/>
        <w:ind w:right="91"/>
        <w:rPr>
          <w:u w:val="single"/>
        </w:rPr>
      </w:pPr>
    </w:p>
    <w:p w:rsidR="005E2925" w:rsidRDefault="005E2925" w:rsidP="005E2925">
      <w:pPr>
        <w:spacing w:before="0"/>
        <w:ind w:right="91"/>
      </w:pPr>
      <w:r w:rsidRPr="00444582">
        <w:t xml:space="preserve">The </w:t>
      </w:r>
      <w:r w:rsidRPr="00444582">
        <w:rPr>
          <w:i/>
        </w:rPr>
        <w:t>Schools Assis</w:t>
      </w:r>
      <w:r>
        <w:rPr>
          <w:i/>
        </w:rPr>
        <w:t>tance Amendment Regulations 2010</w:t>
      </w:r>
      <w:r w:rsidRPr="00444582">
        <w:rPr>
          <w:i/>
        </w:rPr>
        <w:t xml:space="preserve"> </w:t>
      </w:r>
      <w:r>
        <w:rPr>
          <w:i/>
        </w:rPr>
        <w:t>(</w:t>
      </w:r>
      <w:r w:rsidRPr="00444582">
        <w:rPr>
          <w:i/>
        </w:rPr>
        <w:t>No.</w:t>
      </w:r>
      <w:r>
        <w:rPr>
          <w:i/>
        </w:rPr>
        <w:t xml:space="preserve"> 1)</w:t>
      </w:r>
      <w:r>
        <w:t xml:space="preserve"> (the 2010 Regulations) </w:t>
      </w:r>
      <w:r w:rsidRPr="00444582">
        <w:t xml:space="preserve">amended the </w:t>
      </w:r>
      <w:r w:rsidRPr="00444582">
        <w:rPr>
          <w:i/>
          <w:iCs/>
        </w:rPr>
        <w:t xml:space="preserve">Schools Assistance Regulations 2009 </w:t>
      </w:r>
      <w:r>
        <w:rPr>
          <w:iCs/>
        </w:rPr>
        <w:t xml:space="preserve">(the </w:t>
      </w:r>
      <w:r w:rsidRPr="00C054EC">
        <w:t>Principal Regulations</w:t>
      </w:r>
      <w:r>
        <w:rPr>
          <w:iCs/>
        </w:rPr>
        <w:t xml:space="preserve">) </w:t>
      </w:r>
      <w:r w:rsidRPr="00444582">
        <w:t>to</w:t>
      </w:r>
      <w:r>
        <w:t xml:space="preserve">, among other things, </w:t>
      </w:r>
      <w:r w:rsidRPr="00E06FE2">
        <w:t xml:space="preserve">specify a guarantee amount for literacy, numeracy and special learning needs for </w:t>
      </w:r>
      <w:r>
        <w:t>the 2010</w:t>
      </w:r>
      <w:r w:rsidRPr="00E06FE2">
        <w:t xml:space="preserve"> program year</w:t>
      </w:r>
      <w:r>
        <w:t xml:space="preserve"> </w:t>
      </w:r>
      <w:r w:rsidRPr="00B23AA0">
        <w:t xml:space="preserve">under </w:t>
      </w:r>
      <w:r>
        <w:t>paragraph</w:t>
      </w:r>
      <w:r w:rsidRPr="00B23AA0">
        <w:t xml:space="preserve"> 99(b)</w:t>
      </w:r>
      <w:r>
        <w:t xml:space="preserve"> of the Act</w:t>
      </w:r>
      <w:r w:rsidRPr="00E06FE2">
        <w:t xml:space="preserve">. The funding guarantee relates to the special education component of the </w:t>
      </w:r>
      <w:proofErr w:type="spellStart"/>
      <w:r w:rsidRPr="00E06FE2">
        <w:t>allocative</w:t>
      </w:r>
      <w:proofErr w:type="spellEnd"/>
      <w:r w:rsidRPr="00E06FE2">
        <w:t xml:space="preserve"> mechanism for the literacy, numeracy and special learning needs program. </w:t>
      </w:r>
    </w:p>
    <w:p w:rsidR="005E2925" w:rsidRDefault="005E2925" w:rsidP="005E2925">
      <w:pPr>
        <w:spacing w:before="0"/>
        <w:ind w:right="91"/>
      </w:pPr>
    </w:p>
    <w:p w:rsidR="005E2925" w:rsidRDefault="005E2925" w:rsidP="005E2925">
      <w:pPr>
        <w:spacing w:before="0"/>
        <w:ind w:right="91"/>
      </w:pPr>
      <w:r w:rsidRPr="00B23AA0">
        <w:t xml:space="preserve">The Regulations </w:t>
      </w:r>
      <w:r>
        <w:t xml:space="preserve">amend regulation 9.2 to correct </w:t>
      </w:r>
      <w:r w:rsidRPr="00B23AA0">
        <w:t xml:space="preserve">the guarantee amount for literacy, numeracy and special learning needs </w:t>
      </w:r>
      <w:r>
        <w:t xml:space="preserve">for the 2010 program year previously prescribed. </w:t>
      </w:r>
    </w:p>
    <w:p w:rsidR="004D5FB1" w:rsidRDefault="004D5FB1" w:rsidP="004D5FB1">
      <w:pPr>
        <w:spacing w:before="0"/>
      </w:pPr>
    </w:p>
    <w:p w:rsidR="005E2925" w:rsidRDefault="00030063" w:rsidP="005E2925">
      <w:pPr>
        <w:autoSpaceDE w:val="0"/>
        <w:autoSpaceDN w:val="0"/>
        <w:adjustRightInd w:val="0"/>
        <w:spacing w:before="0"/>
      </w:pPr>
      <w:r>
        <w:t xml:space="preserve">The Regulations also specify an increase in funding for Indigenous boarding students attending non-remote non-government boarding schools. This covers </w:t>
      </w:r>
      <w:r w:rsidRPr="004F750D">
        <w:t>non-remote non-government boarding schools with more than 50 Indigenous</w:t>
      </w:r>
      <w:r w:rsidR="00904396">
        <w:t xml:space="preserve"> boarding</w:t>
      </w:r>
      <w:r w:rsidRPr="004F750D">
        <w:t xml:space="preserve"> students from remote Indigenous communities</w:t>
      </w:r>
      <w:r w:rsidR="005E2925">
        <w:t xml:space="preserve"> receiving primary or secondary education</w:t>
      </w:r>
      <w:r w:rsidRPr="004F750D">
        <w:t>.</w:t>
      </w:r>
    </w:p>
    <w:p w:rsidR="005E2925" w:rsidRDefault="005E2925" w:rsidP="005E2925">
      <w:pPr>
        <w:autoSpaceDE w:val="0"/>
        <w:autoSpaceDN w:val="0"/>
        <w:adjustRightInd w:val="0"/>
        <w:spacing w:before="0"/>
      </w:pPr>
    </w:p>
    <w:p w:rsidR="005E2925" w:rsidRDefault="005E2925" w:rsidP="005E2925">
      <w:pPr>
        <w:autoSpaceDE w:val="0"/>
        <w:autoSpaceDN w:val="0"/>
        <w:adjustRightInd w:val="0"/>
        <w:spacing w:before="0"/>
      </w:pPr>
      <w:r>
        <w:t xml:space="preserve">The proposed Regulations would be a legislative instrument for the purposes of the </w:t>
      </w:r>
      <w:r>
        <w:rPr>
          <w:i/>
        </w:rPr>
        <w:t xml:space="preserve">Legislative Instruments Act 2003 </w:t>
      </w:r>
      <w:r>
        <w:t>(the LI Act).</w:t>
      </w:r>
    </w:p>
    <w:p w:rsidR="00B81F12" w:rsidRPr="00E06FE2" w:rsidRDefault="00B81F12" w:rsidP="00B81F12">
      <w:pPr>
        <w:tabs>
          <w:tab w:val="left" w:pos="6521"/>
        </w:tabs>
        <w:spacing w:before="0"/>
        <w:ind w:right="91"/>
      </w:pPr>
    </w:p>
    <w:p w:rsidR="00B81F12" w:rsidRPr="00E06FE2" w:rsidRDefault="00B81F12" w:rsidP="00B81F12">
      <w:pPr>
        <w:tabs>
          <w:tab w:val="left" w:pos="6521"/>
        </w:tabs>
        <w:spacing w:before="0"/>
        <w:ind w:right="91"/>
        <w:rPr>
          <w:u w:val="single"/>
        </w:rPr>
      </w:pPr>
      <w:r w:rsidRPr="00E06FE2">
        <w:rPr>
          <w:u w:val="single"/>
        </w:rPr>
        <w:t>Consultation</w:t>
      </w:r>
    </w:p>
    <w:p w:rsidR="00B81F12" w:rsidRPr="00E06FE2" w:rsidRDefault="00B81F12" w:rsidP="00B81F12">
      <w:pPr>
        <w:tabs>
          <w:tab w:val="left" w:pos="6521"/>
        </w:tabs>
        <w:spacing w:before="0"/>
        <w:ind w:right="91"/>
      </w:pPr>
    </w:p>
    <w:p w:rsidR="007D609D" w:rsidRDefault="00CD4DFF" w:rsidP="00486C48">
      <w:pPr>
        <w:spacing w:before="0"/>
        <w:ind w:right="91"/>
        <w:rPr>
          <w:color w:val="000000"/>
        </w:rPr>
      </w:pPr>
      <w:r>
        <w:rPr>
          <w:color w:val="000000"/>
        </w:rPr>
        <w:t xml:space="preserve">The Department of Education, Employment and Workplace Relations </w:t>
      </w:r>
      <w:r w:rsidR="005E2925">
        <w:rPr>
          <w:color w:val="000000"/>
        </w:rPr>
        <w:t>undertook consultations in regards to the amendments made by Schedule 2 of the Regulations. The Department consulted</w:t>
      </w:r>
      <w:r>
        <w:rPr>
          <w:color w:val="000000"/>
        </w:rPr>
        <w:t xml:space="preserve"> with </w:t>
      </w:r>
      <w:r w:rsidR="00276514">
        <w:rPr>
          <w:color w:val="000000"/>
        </w:rPr>
        <w:t xml:space="preserve">representatives from the National Catholic Education </w:t>
      </w:r>
      <w:r w:rsidR="00276514">
        <w:rPr>
          <w:color w:val="000000"/>
        </w:rPr>
        <w:lastRenderedPageBreak/>
        <w:t xml:space="preserve">Commission and the Independent Schools Council of Australia </w:t>
      </w:r>
      <w:r w:rsidR="00ED33C7">
        <w:rPr>
          <w:color w:val="000000"/>
        </w:rPr>
        <w:t xml:space="preserve">in relation to the </w:t>
      </w:r>
      <w:r w:rsidR="007D609D">
        <w:rPr>
          <w:color w:val="000000"/>
        </w:rPr>
        <w:t>additional assistance for Indigenous boarding students from remote or very remote areas receiving primary or secondary education at non-remote campuses.</w:t>
      </w:r>
    </w:p>
    <w:p w:rsidR="00276514" w:rsidRDefault="00276514" w:rsidP="00486C48">
      <w:pPr>
        <w:spacing w:before="0"/>
        <w:ind w:right="91"/>
        <w:rPr>
          <w:color w:val="000000"/>
        </w:rPr>
      </w:pPr>
    </w:p>
    <w:p w:rsidR="00486C48" w:rsidRDefault="005E2925" w:rsidP="00486C48">
      <w:pPr>
        <w:spacing w:before="0"/>
        <w:ind w:right="91"/>
        <w:rPr>
          <w:color w:val="000000"/>
        </w:rPr>
      </w:pPr>
      <w:r>
        <w:rPr>
          <w:color w:val="000000"/>
        </w:rPr>
        <w:t xml:space="preserve">In relation to the amendment made by Schedule 1 of the Regulations, </w:t>
      </w:r>
      <w:r w:rsidR="00DB6786">
        <w:rPr>
          <w:color w:val="000000"/>
        </w:rPr>
        <w:t xml:space="preserve">as the effect of the amendment </w:t>
      </w:r>
      <w:r w:rsidR="00DD29CC">
        <w:rPr>
          <w:color w:val="000000"/>
        </w:rPr>
        <w:t>was</w:t>
      </w:r>
      <w:r w:rsidR="00DB6786">
        <w:rPr>
          <w:color w:val="000000"/>
        </w:rPr>
        <w:t xml:space="preserve"> beneficial in nature, </w:t>
      </w:r>
      <w:r>
        <w:rPr>
          <w:color w:val="000000"/>
        </w:rPr>
        <w:t>c</w:t>
      </w:r>
      <w:r w:rsidR="00B81F12" w:rsidRPr="00C35F1D">
        <w:rPr>
          <w:color w:val="000000"/>
        </w:rPr>
        <w:t xml:space="preserve">onsultation was not </w:t>
      </w:r>
      <w:r w:rsidR="00DB6786">
        <w:rPr>
          <w:color w:val="000000"/>
        </w:rPr>
        <w:t xml:space="preserve">undertaken as it was not </w:t>
      </w:r>
      <w:r w:rsidR="007D609D">
        <w:rPr>
          <w:color w:val="000000"/>
        </w:rPr>
        <w:t>considered necessary</w:t>
      </w:r>
      <w:r w:rsidR="00FB5632">
        <w:rPr>
          <w:color w:val="000000"/>
        </w:rPr>
        <w:t>.</w:t>
      </w:r>
    </w:p>
    <w:p w:rsidR="00486C48" w:rsidRDefault="00486C48" w:rsidP="00486C48">
      <w:pPr>
        <w:spacing w:before="0"/>
        <w:ind w:right="91"/>
        <w:rPr>
          <w:color w:val="000000"/>
        </w:rPr>
      </w:pPr>
    </w:p>
    <w:p w:rsidR="00DD29CC" w:rsidRDefault="00DD29CC" w:rsidP="00486C48">
      <w:pPr>
        <w:spacing w:before="0"/>
        <w:ind w:right="91"/>
        <w:rPr>
          <w:color w:val="000000"/>
        </w:rPr>
      </w:pPr>
    </w:p>
    <w:p w:rsidR="00486C48" w:rsidRPr="00486C48" w:rsidRDefault="00B81F12" w:rsidP="00486C48">
      <w:pPr>
        <w:spacing w:before="0"/>
        <w:ind w:right="91"/>
        <w:rPr>
          <w:color w:val="000000"/>
          <w:u w:val="single"/>
        </w:rPr>
      </w:pPr>
      <w:r w:rsidRPr="00486C48">
        <w:rPr>
          <w:color w:val="000000"/>
          <w:u w:val="single"/>
        </w:rPr>
        <w:t>Commencement</w:t>
      </w:r>
    </w:p>
    <w:p w:rsidR="00486C48" w:rsidRPr="00486C48" w:rsidRDefault="00486C48" w:rsidP="00486C48">
      <w:pPr>
        <w:spacing w:before="0"/>
        <w:ind w:right="91"/>
        <w:rPr>
          <w:color w:val="000000"/>
        </w:rPr>
      </w:pPr>
    </w:p>
    <w:p w:rsidR="00DA0A0E" w:rsidRDefault="00DA0A0E" w:rsidP="00486C48">
      <w:pPr>
        <w:spacing w:before="0"/>
        <w:ind w:right="91"/>
      </w:pPr>
      <w:r>
        <w:t>Regulations 1 to 3 and Schedule 1 to t</w:t>
      </w:r>
      <w:r w:rsidRPr="00B61238">
        <w:t>he Regulations</w:t>
      </w:r>
      <w:r>
        <w:t xml:space="preserve">, which corrects the guarantee amount literacy, numeracy and special learning needs, </w:t>
      </w:r>
      <w:r w:rsidRPr="00B61238">
        <w:t xml:space="preserve">would be taken to have commenced on the commencement of the </w:t>
      </w:r>
      <w:r w:rsidRPr="00E02E50">
        <w:t>2010 Regulations</w:t>
      </w:r>
      <w:r>
        <w:t xml:space="preserve">, which was on 26 November 2010. </w:t>
      </w:r>
    </w:p>
    <w:p w:rsidR="00DA0A0E" w:rsidRDefault="00DA0A0E" w:rsidP="00486C48">
      <w:pPr>
        <w:spacing w:before="0"/>
        <w:ind w:right="91"/>
      </w:pPr>
    </w:p>
    <w:p w:rsidR="00DA0A0E" w:rsidRDefault="00DA0A0E" w:rsidP="00486C48">
      <w:pPr>
        <w:spacing w:before="0"/>
        <w:ind w:right="91"/>
        <w:rPr>
          <w:color w:val="000000"/>
        </w:rPr>
      </w:pPr>
      <w:r w:rsidRPr="00B61238">
        <w:t xml:space="preserve">The retrospective commencement would not infringe subsection 12(2) of the </w:t>
      </w:r>
      <w:r>
        <w:rPr>
          <w:iCs/>
        </w:rPr>
        <w:t>LI Act</w:t>
      </w:r>
      <w:r w:rsidRPr="00B61238">
        <w:t xml:space="preserve"> because the proposed Regulations are beneficial in nature and would not affect the rights of a person (other than the Commonwealth</w:t>
      </w:r>
      <w:r w:rsidRPr="00242A61">
        <w:t xml:space="preserve"> </w:t>
      </w:r>
      <w:r>
        <w:t>or an authority of the Commonwealth</w:t>
      </w:r>
      <w:r w:rsidRPr="00B61238">
        <w:t>) as at the date of registration so as to disadvantage that person. Nor would the proposed Regulations impose any liabilities on any person (other than the Commonwealth</w:t>
      </w:r>
      <w:r w:rsidRPr="00242A61">
        <w:t xml:space="preserve"> </w:t>
      </w:r>
      <w:r>
        <w:t>or an authority of the Commonwealth</w:t>
      </w:r>
      <w:r w:rsidRPr="00B61238">
        <w:t>) in respect of anything done or omitted to be done before the date of registration</w:t>
      </w:r>
    </w:p>
    <w:p w:rsidR="00FC200E" w:rsidRPr="00F90BD2" w:rsidRDefault="00FC200E" w:rsidP="00486C48">
      <w:pPr>
        <w:spacing w:before="0"/>
        <w:ind w:right="91"/>
      </w:pPr>
    </w:p>
    <w:p w:rsidR="00486C48" w:rsidRPr="00486C48" w:rsidRDefault="00FC200E" w:rsidP="00486C48">
      <w:pPr>
        <w:spacing w:before="0"/>
        <w:ind w:right="91"/>
        <w:rPr>
          <w:color w:val="000000"/>
        </w:rPr>
      </w:pPr>
      <w:r>
        <w:rPr>
          <w:color w:val="000000"/>
        </w:rPr>
        <w:t>Regulation 4 and Schedule 2</w:t>
      </w:r>
      <w:r w:rsidR="00DA0A0E">
        <w:rPr>
          <w:color w:val="000000"/>
        </w:rPr>
        <w:t xml:space="preserve">, which </w:t>
      </w:r>
      <w:r w:rsidR="00DA0A0E">
        <w:t>specify increased funding amounts for Indigenous boarding students attending non-remote non-government boarding schools</w:t>
      </w:r>
      <w:r w:rsidR="00DA0A0E">
        <w:rPr>
          <w:color w:val="000000"/>
        </w:rPr>
        <w:t xml:space="preserve">, </w:t>
      </w:r>
      <w:r>
        <w:rPr>
          <w:color w:val="000000"/>
        </w:rPr>
        <w:t xml:space="preserve">commenced on the day after they </w:t>
      </w:r>
      <w:r w:rsidR="00DD29CC">
        <w:rPr>
          <w:color w:val="000000"/>
        </w:rPr>
        <w:t>were</w:t>
      </w:r>
      <w:r>
        <w:rPr>
          <w:color w:val="000000"/>
        </w:rPr>
        <w:t xml:space="preserve"> registered </w:t>
      </w:r>
      <w:r w:rsidR="00DD29CC">
        <w:rPr>
          <w:color w:val="000000"/>
        </w:rPr>
        <w:t xml:space="preserve">on </w:t>
      </w:r>
      <w:r>
        <w:rPr>
          <w:color w:val="000000"/>
        </w:rPr>
        <w:t>the Federal Register of Legislative Instruments.</w:t>
      </w:r>
    </w:p>
    <w:p w:rsidR="00486C48" w:rsidRDefault="00486C48" w:rsidP="00013CA0">
      <w:pPr>
        <w:keepNext/>
        <w:spacing w:before="0"/>
        <w:ind w:right="91"/>
        <w:rPr>
          <w:u w:val="single"/>
        </w:rPr>
      </w:pPr>
    </w:p>
    <w:p w:rsidR="00DD29CC" w:rsidRDefault="00DD29CC" w:rsidP="00013CA0">
      <w:pPr>
        <w:keepNext/>
        <w:spacing w:before="0"/>
        <w:ind w:right="91"/>
        <w:rPr>
          <w:u w:val="single"/>
        </w:rPr>
      </w:pPr>
    </w:p>
    <w:p w:rsidR="00DD29CC" w:rsidRDefault="00DD29CC" w:rsidP="00DD29CC">
      <w:pPr>
        <w:keepNext/>
        <w:spacing w:before="0"/>
        <w:ind w:right="91"/>
        <w:rPr>
          <w:u w:val="single"/>
        </w:rPr>
      </w:pPr>
      <w:r>
        <w:rPr>
          <w:u w:val="single"/>
        </w:rPr>
        <w:t>Details of the Regulations</w:t>
      </w:r>
    </w:p>
    <w:p w:rsidR="00DD29CC" w:rsidRDefault="00DD29CC" w:rsidP="00DD29CC">
      <w:pPr>
        <w:keepNext/>
        <w:spacing w:before="0"/>
        <w:ind w:right="91"/>
        <w:rPr>
          <w:u w:val="single"/>
        </w:rPr>
      </w:pPr>
    </w:p>
    <w:p w:rsidR="00DD29CC" w:rsidRDefault="00DD29CC" w:rsidP="00DD29CC">
      <w:pPr>
        <w:keepNext/>
        <w:spacing w:before="0"/>
        <w:ind w:right="91"/>
        <w:rPr>
          <w:u w:val="single"/>
        </w:rPr>
      </w:pPr>
      <w:r w:rsidRPr="00E4166A">
        <w:rPr>
          <w:u w:val="single"/>
        </w:rPr>
        <w:t>Regulation 1 – Name of Regulations</w:t>
      </w:r>
    </w:p>
    <w:p w:rsidR="00DD29CC" w:rsidRDefault="00DD29CC" w:rsidP="00DD29CC">
      <w:pPr>
        <w:keepNext/>
        <w:spacing w:before="0"/>
        <w:ind w:right="91"/>
        <w:rPr>
          <w:u w:val="single"/>
        </w:rPr>
      </w:pPr>
    </w:p>
    <w:p w:rsidR="00DD29CC" w:rsidRDefault="00DD29CC" w:rsidP="00DD29CC">
      <w:pPr>
        <w:keepNext/>
        <w:spacing w:before="0"/>
        <w:ind w:right="91"/>
        <w:rPr>
          <w:i/>
        </w:rPr>
      </w:pPr>
      <w:r w:rsidRPr="00E4166A">
        <w:t>This regulation provide</w:t>
      </w:r>
      <w:r>
        <w:t>s</w:t>
      </w:r>
      <w:r w:rsidRPr="00E4166A">
        <w:t xml:space="preserve"> that the title of the regulations is the </w:t>
      </w:r>
      <w:r w:rsidRPr="00E4166A">
        <w:rPr>
          <w:i/>
        </w:rPr>
        <w:t>Schools Assistance Amendment Regulations 201</w:t>
      </w:r>
      <w:r>
        <w:rPr>
          <w:i/>
        </w:rPr>
        <w:t>1</w:t>
      </w:r>
      <w:r w:rsidRPr="00E4166A">
        <w:rPr>
          <w:i/>
        </w:rPr>
        <w:t xml:space="preserve"> (No.</w:t>
      </w:r>
      <w:r>
        <w:rPr>
          <w:i/>
        </w:rPr>
        <w:t xml:space="preserve"> </w:t>
      </w:r>
      <w:r w:rsidR="00A145AA">
        <w:rPr>
          <w:i/>
        </w:rPr>
        <w:t>1</w:t>
      </w:r>
      <w:r w:rsidRPr="00E4166A">
        <w:rPr>
          <w:i/>
        </w:rPr>
        <w:t>).</w:t>
      </w:r>
    </w:p>
    <w:p w:rsidR="00DD29CC" w:rsidRDefault="00DD29CC" w:rsidP="00DD29CC">
      <w:pPr>
        <w:keepNext/>
        <w:spacing w:before="0"/>
        <w:ind w:right="91"/>
        <w:rPr>
          <w:i/>
        </w:rPr>
      </w:pPr>
    </w:p>
    <w:p w:rsidR="00DD29CC" w:rsidRDefault="00DD29CC" w:rsidP="00DD29CC">
      <w:pPr>
        <w:keepNext/>
        <w:spacing w:before="0"/>
        <w:ind w:right="91"/>
        <w:rPr>
          <w:u w:val="single"/>
        </w:rPr>
      </w:pPr>
      <w:r w:rsidRPr="00E4166A">
        <w:rPr>
          <w:u w:val="single"/>
        </w:rPr>
        <w:t>Regulation 2 – Commencement</w:t>
      </w:r>
      <w:bookmarkStart w:id="0" w:name="OLE_LINK13"/>
      <w:bookmarkStart w:id="1" w:name="OLE_LINK14"/>
    </w:p>
    <w:p w:rsidR="00DD29CC" w:rsidRDefault="00DD29CC" w:rsidP="00DD29CC">
      <w:pPr>
        <w:keepNext/>
        <w:spacing w:before="0"/>
        <w:ind w:right="91"/>
        <w:rPr>
          <w:u w:val="single"/>
        </w:rPr>
      </w:pPr>
    </w:p>
    <w:p w:rsidR="00DD29CC" w:rsidRDefault="00DA0A0E" w:rsidP="00DD29CC">
      <w:pPr>
        <w:keepNext/>
        <w:spacing w:before="0"/>
        <w:ind w:right="91"/>
      </w:pPr>
      <w:r>
        <w:t xml:space="preserve">Paragraph </w:t>
      </w:r>
      <w:r w:rsidR="00DD29CC">
        <w:t>2(a)</w:t>
      </w:r>
      <w:r w:rsidR="00DD29CC" w:rsidRPr="00E4166A">
        <w:t xml:space="preserve"> </w:t>
      </w:r>
      <w:r w:rsidR="00DD29CC">
        <w:t xml:space="preserve">provides </w:t>
      </w:r>
      <w:r w:rsidR="00DD29CC" w:rsidRPr="00E4166A">
        <w:t xml:space="preserve">that </w:t>
      </w:r>
      <w:r w:rsidR="00DD29CC">
        <w:t xml:space="preserve">regulations 1 to 3 and Schedule 1 are taken to have </w:t>
      </w:r>
      <w:r w:rsidR="00DD29CC" w:rsidRPr="00E4166A">
        <w:t>commence</w:t>
      </w:r>
      <w:r w:rsidR="00DD29CC">
        <w:t>d</w:t>
      </w:r>
      <w:r w:rsidR="00DD29CC" w:rsidRPr="00E4166A">
        <w:t xml:space="preserve"> on </w:t>
      </w:r>
      <w:r w:rsidR="00DD29CC">
        <w:t>26 November 2010.</w:t>
      </w:r>
    </w:p>
    <w:p w:rsidR="00DD29CC" w:rsidRDefault="00DD29CC" w:rsidP="00DD29CC">
      <w:pPr>
        <w:keepNext/>
        <w:spacing w:before="0"/>
        <w:ind w:right="91"/>
      </w:pPr>
    </w:p>
    <w:p w:rsidR="00DD29CC" w:rsidRDefault="00DA0A0E" w:rsidP="00DD29CC">
      <w:pPr>
        <w:keepNext/>
        <w:spacing w:before="0"/>
        <w:ind w:right="91"/>
      </w:pPr>
      <w:r>
        <w:t xml:space="preserve">Paragraph </w:t>
      </w:r>
      <w:r w:rsidR="00DD29CC">
        <w:t xml:space="preserve">2(b) provides that regulation 4 and Schedule 2 commence on the </w:t>
      </w:r>
      <w:r w:rsidR="00DD29CC" w:rsidRPr="00E4166A">
        <w:t>day after they are registered on the Federal Register of Legislative Instruments.</w:t>
      </w:r>
      <w:bookmarkEnd w:id="0"/>
      <w:bookmarkEnd w:id="1"/>
    </w:p>
    <w:p w:rsidR="00DD29CC" w:rsidRDefault="00DD29CC" w:rsidP="00DD29CC">
      <w:pPr>
        <w:keepNext/>
        <w:spacing w:before="0"/>
        <w:ind w:right="91"/>
      </w:pPr>
    </w:p>
    <w:p w:rsidR="00DD29CC" w:rsidRDefault="00DD29CC" w:rsidP="00DD29CC">
      <w:pPr>
        <w:keepNext/>
        <w:spacing w:before="0"/>
        <w:ind w:right="91"/>
        <w:rPr>
          <w:i/>
          <w:u w:val="single"/>
        </w:rPr>
      </w:pPr>
      <w:r w:rsidRPr="00E4166A">
        <w:rPr>
          <w:u w:val="single"/>
        </w:rPr>
        <w:t>Regulation 3 – Amendment of</w:t>
      </w:r>
      <w:r w:rsidRPr="00E4166A">
        <w:rPr>
          <w:i/>
          <w:u w:val="single"/>
        </w:rPr>
        <w:t xml:space="preserve"> Schools Assistance Regulations 2009</w:t>
      </w:r>
    </w:p>
    <w:p w:rsidR="00DD29CC" w:rsidRDefault="00DD29CC" w:rsidP="00DD29CC">
      <w:pPr>
        <w:keepNext/>
        <w:spacing w:before="0"/>
        <w:ind w:right="91"/>
        <w:rPr>
          <w:i/>
          <w:u w:val="single"/>
        </w:rPr>
      </w:pPr>
    </w:p>
    <w:p w:rsidR="00DD29CC" w:rsidRDefault="00DD29CC" w:rsidP="00DD29CC">
      <w:pPr>
        <w:keepNext/>
        <w:spacing w:before="0"/>
        <w:ind w:right="91"/>
      </w:pPr>
      <w:r w:rsidRPr="00E4166A">
        <w:t xml:space="preserve">This regulation </w:t>
      </w:r>
      <w:r>
        <w:t xml:space="preserve">provides </w:t>
      </w:r>
      <w:r w:rsidRPr="00E4166A">
        <w:t>that the Principal Regulations are amended as set out in Schedule 1.</w:t>
      </w:r>
    </w:p>
    <w:p w:rsidR="00DD29CC" w:rsidRDefault="00DD29CC" w:rsidP="00DD29CC">
      <w:pPr>
        <w:keepNext/>
        <w:spacing w:before="0"/>
        <w:ind w:right="91"/>
      </w:pPr>
    </w:p>
    <w:p w:rsidR="00DD29CC" w:rsidRDefault="00DD29CC">
      <w:pPr>
        <w:spacing w:before="0"/>
        <w:rPr>
          <w:u w:val="single"/>
        </w:rPr>
      </w:pPr>
      <w:r>
        <w:rPr>
          <w:u w:val="single"/>
        </w:rPr>
        <w:br w:type="page"/>
      </w:r>
    </w:p>
    <w:p w:rsidR="00DD29CC" w:rsidRDefault="00DD29CC" w:rsidP="00DD29CC">
      <w:pPr>
        <w:keepNext/>
        <w:spacing w:before="0"/>
        <w:ind w:right="91"/>
        <w:rPr>
          <w:i/>
          <w:u w:val="single"/>
        </w:rPr>
      </w:pPr>
      <w:r w:rsidRPr="00306F2C">
        <w:rPr>
          <w:u w:val="single"/>
        </w:rPr>
        <w:lastRenderedPageBreak/>
        <w:t>Regulation 4 – Amendment of</w:t>
      </w:r>
      <w:r>
        <w:t xml:space="preserve"> </w:t>
      </w:r>
      <w:r w:rsidRPr="00E4166A">
        <w:rPr>
          <w:i/>
          <w:u w:val="single"/>
        </w:rPr>
        <w:t>Schools Assistance Regulations 2009</w:t>
      </w:r>
    </w:p>
    <w:p w:rsidR="00DD29CC" w:rsidRDefault="00DD29CC" w:rsidP="00DD29CC">
      <w:pPr>
        <w:keepNext/>
        <w:spacing w:before="0"/>
        <w:ind w:right="91"/>
        <w:rPr>
          <w:i/>
          <w:u w:val="single"/>
        </w:rPr>
      </w:pPr>
    </w:p>
    <w:p w:rsidR="00DD29CC" w:rsidRDefault="00DD29CC" w:rsidP="00DD29CC">
      <w:pPr>
        <w:keepNext/>
        <w:spacing w:before="0"/>
        <w:ind w:right="91"/>
      </w:pPr>
      <w:r w:rsidRPr="00E4166A">
        <w:t xml:space="preserve">This regulation </w:t>
      </w:r>
      <w:r>
        <w:t xml:space="preserve">provides </w:t>
      </w:r>
      <w:r w:rsidRPr="00E4166A">
        <w:t>that the Principal Regulations are a</w:t>
      </w:r>
      <w:r>
        <w:t>mended as set out in Schedule 2.</w:t>
      </w:r>
      <w:bookmarkStart w:id="2" w:name="OLE_LINK1"/>
      <w:bookmarkStart w:id="3" w:name="OLE_LINK2"/>
    </w:p>
    <w:p w:rsidR="00DD29CC" w:rsidRDefault="00DD29CC" w:rsidP="00DD29CC">
      <w:pPr>
        <w:keepNext/>
        <w:spacing w:before="0"/>
        <w:ind w:right="91"/>
      </w:pPr>
    </w:p>
    <w:p w:rsidR="00DA0A0E" w:rsidRDefault="00DA0A0E" w:rsidP="00DD29CC">
      <w:pPr>
        <w:keepNext/>
        <w:spacing w:before="0"/>
        <w:ind w:right="91"/>
      </w:pPr>
    </w:p>
    <w:p w:rsidR="00DD29CC" w:rsidRDefault="00DD29CC" w:rsidP="00DD29CC">
      <w:pPr>
        <w:keepNext/>
        <w:spacing w:before="0"/>
        <w:ind w:right="91"/>
        <w:rPr>
          <w:b/>
        </w:rPr>
      </w:pPr>
      <w:r w:rsidRPr="00420E5B">
        <w:rPr>
          <w:b/>
        </w:rPr>
        <w:t xml:space="preserve">Schedule 1– </w:t>
      </w:r>
      <w:bookmarkEnd w:id="2"/>
      <w:bookmarkEnd w:id="3"/>
      <w:r w:rsidRPr="00420E5B">
        <w:rPr>
          <w:b/>
        </w:rPr>
        <w:t xml:space="preserve">Amendment of </w:t>
      </w:r>
      <w:r w:rsidRPr="00420E5B">
        <w:rPr>
          <w:b/>
          <w:i/>
        </w:rPr>
        <w:t>Schools Assistance Regulations 2009</w:t>
      </w:r>
      <w:r w:rsidRPr="00420E5B">
        <w:rPr>
          <w:b/>
        </w:rPr>
        <w:t xml:space="preserve"> taken to have commenced on 26 November 2010</w:t>
      </w:r>
    </w:p>
    <w:p w:rsidR="00DD29CC" w:rsidRDefault="00DD29CC" w:rsidP="00DD29CC">
      <w:pPr>
        <w:keepNext/>
        <w:spacing w:before="0"/>
        <w:ind w:right="91"/>
        <w:rPr>
          <w:b/>
        </w:rPr>
      </w:pPr>
    </w:p>
    <w:p w:rsidR="00DD29CC" w:rsidRDefault="00DD29CC" w:rsidP="00DD29CC">
      <w:pPr>
        <w:keepNext/>
        <w:spacing w:before="0"/>
        <w:ind w:right="91"/>
        <w:rPr>
          <w:u w:val="single"/>
        </w:rPr>
      </w:pPr>
      <w:r w:rsidRPr="007458F0">
        <w:rPr>
          <w:u w:val="single"/>
        </w:rPr>
        <w:t>Item [1] – Regulation 9.2, table, item 2</w:t>
      </w:r>
    </w:p>
    <w:p w:rsidR="00DD29CC" w:rsidRDefault="00DD29CC" w:rsidP="00DD29CC">
      <w:pPr>
        <w:keepNext/>
        <w:spacing w:before="0"/>
        <w:ind w:right="91"/>
        <w:rPr>
          <w:u w:val="single"/>
        </w:rPr>
      </w:pPr>
    </w:p>
    <w:p w:rsidR="00DD29CC" w:rsidRDefault="00DD29CC" w:rsidP="00DD29CC">
      <w:pPr>
        <w:keepNext/>
        <w:spacing w:before="0"/>
        <w:ind w:right="91"/>
      </w:pPr>
      <w:r>
        <w:t>Regulation 9.2 prescribes, for subsection 99(b) of the Act, the guarantee amount for literacy, numeracy and special learning needs for a program year.</w:t>
      </w:r>
    </w:p>
    <w:p w:rsidR="00DD29CC" w:rsidRDefault="00DD29CC" w:rsidP="00DD29CC">
      <w:pPr>
        <w:keepNext/>
        <w:spacing w:before="0"/>
        <w:ind w:right="91"/>
      </w:pPr>
    </w:p>
    <w:p w:rsidR="003727FE" w:rsidRDefault="00DD29CC" w:rsidP="003727FE">
      <w:pPr>
        <w:keepNext/>
        <w:spacing w:before="0"/>
        <w:ind w:right="91"/>
      </w:pPr>
      <w:r w:rsidRPr="00E4166A">
        <w:t xml:space="preserve">Item [1] </w:t>
      </w:r>
      <w:r>
        <w:t>omits and substitutes table item 2 of the table under regulation 9.2</w:t>
      </w:r>
      <w:r w:rsidRPr="00E4166A">
        <w:t xml:space="preserve"> </w:t>
      </w:r>
      <w:r>
        <w:t>to provide $</w:t>
      </w:r>
      <w:r w:rsidR="005E18FB">
        <w:t>1 </w:t>
      </w:r>
      <w:r w:rsidRPr="00420E5B">
        <w:t xml:space="preserve">327 627 </w:t>
      </w:r>
      <w:r>
        <w:t xml:space="preserve">as the </w:t>
      </w:r>
      <w:r w:rsidRPr="00E4166A">
        <w:t xml:space="preserve">new </w:t>
      </w:r>
      <w:r>
        <w:t>guarantee amount for the 2010 program year.</w:t>
      </w:r>
    </w:p>
    <w:p w:rsidR="003727FE" w:rsidRDefault="003727FE" w:rsidP="003727FE">
      <w:pPr>
        <w:keepNext/>
        <w:spacing w:before="0"/>
        <w:ind w:right="91"/>
      </w:pPr>
    </w:p>
    <w:p w:rsidR="003727FE" w:rsidRDefault="00DD29CC" w:rsidP="003727FE">
      <w:pPr>
        <w:keepNext/>
        <w:spacing w:before="0"/>
        <w:ind w:right="91"/>
        <w:rPr>
          <w:b/>
        </w:rPr>
      </w:pPr>
      <w:r w:rsidRPr="004859ED">
        <w:rPr>
          <w:b/>
        </w:rPr>
        <w:t xml:space="preserve">Schedule 2 – Amendments of </w:t>
      </w:r>
      <w:r w:rsidRPr="004859ED">
        <w:rPr>
          <w:b/>
          <w:i/>
        </w:rPr>
        <w:t>Schools Assistance Regulations 2009</w:t>
      </w:r>
      <w:r w:rsidRPr="004859ED">
        <w:rPr>
          <w:b/>
        </w:rPr>
        <w:t xml:space="preserve"> commencing on day after registration</w:t>
      </w:r>
    </w:p>
    <w:p w:rsidR="003727FE" w:rsidRDefault="003727FE" w:rsidP="003727FE">
      <w:pPr>
        <w:keepNext/>
        <w:spacing w:before="0"/>
        <w:ind w:right="91"/>
        <w:rPr>
          <w:b/>
        </w:rPr>
      </w:pPr>
    </w:p>
    <w:p w:rsidR="003727FE" w:rsidRDefault="00DD29CC" w:rsidP="003727FE">
      <w:pPr>
        <w:keepNext/>
        <w:spacing w:before="0"/>
        <w:ind w:right="91"/>
        <w:rPr>
          <w:u w:val="single"/>
        </w:rPr>
      </w:pPr>
      <w:r>
        <w:rPr>
          <w:u w:val="single"/>
        </w:rPr>
        <w:t xml:space="preserve">Item [1] – </w:t>
      </w:r>
      <w:r w:rsidR="005E18FB">
        <w:rPr>
          <w:u w:val="single"/>
        </w:rPr>
        <w:t>R</w:t>
      </w:r>
      <w:r w:rsidRPr="004859ED">
        <w:rPr>
          <w:u w:val="single"/>
        </w:rPr>
        <w:t>egulation 7.2</w:t>
      </w:r>
      <w:r w:rsidR="005E18FB">
        <w:rPr>
          <w:u w:val="single"/>
        </w:rPr>
        <w:t>A – additional Indigenous supplementary assistance - primary</w:t>
      </w:r>
    </w:p>
    <w:p w:rsidR="003727FE" w:rsidRDefault="003727FE" w:rsidP="003727FE">
      <w:pPr>
        <w:keepNext/>
        <w:spacing w:before="0"/>
        <w:ind w:right="91"/>
        <w:rPr>
          <w:u w:val="single"/>
        </w:rPr>
      </w:pPr>
    </w:p>
    <w:p w:rsidR="003727FE" w:rsidRDefault="00DD29CC" w:rsidP="003727FE">
      <w:pPr>
        <w:keepNext/>
        <w:spacing w:before="0"/>
        <w:ind w:right="91"/>
      </w:pPr>
      <w:r>
        <w:t>Item [1] insert</w:t>
      </w:r>
      <w:r w:rsidR="003727FE">
        <w:t>s</w:t>
      </w:r>
      <w:r>
        <w:t xml:space="preserve"> a new regulation 7.2A after regulation 7.2.</w:t>
      </w:r>
    </w:p>
    <w:p w:rsidR="003727FE" w:rsidRDefault="003727FE" w:rsidP="003727FE">
      <w:pPr>
        <w:keepNext/>
        <w:spacing w:before="0"/>
        <w:ind w:right="91"/>
      </w:pPr>
    </w:p>
    <w:p w:rsidR="003727FE" w:rsidRDefault="00DD29CC" w:rsidP="003727FE">
      <w:pPr>
        <w:keepNext/>
        <w:spacing w:before="0"/>
        <w:ind w:right="91"/>
      </w:pPr>
      <w:r w:rsidRPr="008D10E1">
        <w:t>Regulation 7.2A</w:t>
      </w:r>
      <w:r>
        <w:t xml:space="preserve"> deals with additional Indigenous supplementary assistance for primary education at non-remote school campus that is a boarding school.</w:t>
      </w:r>
    </w:p>
    <w:p w:rsidR="003727FE" w:rsidRDefault="003727FE" w:rsidP="003727FE">
      <w:pPr>
        <w:keepNext/>
        <w:spacing w:before="0"/>
        <w:ind w:right="91"/>
      </w:pPr>
    </w:p>
    <w:p w:rsidR="003727FE" w:rsidRDefault="00DD29CC" w:rsidP="003727FE">
      <w:pPr>
        <w:keepNext/>
        <w:spacing w:before="0"/>
        <w:ind w:right="91"/>
      </w:pPr>
      <w:r>
        <w:t>Regulation 7.2A provides that for subsection 67(1A) of the Act, the additional assistance amount is $2537 for the 2011 program year for an Indigenous student from a remote area or a very remote area and receiving primary education as a boarding student at a non-remote campus of a boarding school that has more than 50 Indigenous boarding students from remote or very remote areas on the schools census day.</w:t>
      </w:r>
      <w:r w:rsidR="003727FE">
        <w:t xml:space="preserve"> </w:t>
      </w:r>
    </w:p>
    <w:p w:rsidR="003727FE" w:rsidRDefault="003727FE" w:rsidP="003727FE">
      <w:pPr>
        <w:keepNext/>
        <w:spacing w:before="0"/>
        <w:ind w:right="91"/>
      </w:pPr>
    </w:p>
    <w:p w:rsidR="003727FE" w:rsidRDefault="00DD29CC" w:rsidP="003727FE">
      <w:pPr>
        <w:keepNext/>
        <w:spacing w:before="0"/>
        <w:ind w:right="91"/>
        <w:rPr>
          <w:u w:val="single"/>
        </w:rPr>
      </w:pPr>
      <w:r w:rsidRPr="008D10E1">
        <w:rPr>
          <w:u w:val="single"/>
        </w:rPr>
        <w:t>Item [2] – Regulation 7.3A – additional Indigenous supplementary assistance – secondary</w:t>
      </w:r>
    </w:p>
    <w:p w:rsidR="003727FE" w:rsidRDefault="003727FE" w:rsidP="003727FE">
      <w:pPr>
        <w:keepNext/>
        <w:spacing w:before="0"/>
        <w:ind w:right="91"/>
        <w:rPr>
          <w:u w:val="single"/>
        </w:rPr>
      </w:pPr>
    </w:p>
    <w:p w:rsidR="003727FE" w:rsidRDefault="00DD29CC" w:rsidP="003727FE">
      <w:pPr>
        <w:keepNext/>
        <w:spacing w:before="0"/>
        <w:ind w:right="91"/>
      </w:pPr>
      <w:r>
        <w:t>Item [2] inserts new regulation 7.3A after regulation 7.3.</w:t>
      </w:r>
    </w:p>
    <w:p w:rsidR="003727FE" w:rsidRDefault="003727FE" w:rsidP="003727FE">
      <w:pPr>
        <w:keepNext/>
        <w:spacing w:before="0"/>
        <w:ind w:right="91"/>
      </w:pPr>
    </w:p>
    <w:p w:rsidR="003727FE" w:rsidRDefault="00DD29CC" w:rsidP="003727FE">
      <w:pPr>
        <w:keepNext/>
        <w:spacing w:before="0"/>
        <w:ind w:right="91"/>
      </w:pPr>
      <w:r>
        <w:t>Regulation 7.3A deals with additional Indigenous supplementary assistance for secondary education at non-remote school campus that is a boarding school.</w:t>
      </w:r>
    </w:p>
    <w:p w:rsidR="003727FE" w:rsidRDefault="003727FE" w:rsidP="003727FE">
      <w:pPr>
        <w:keepNext/>
        <w:spacing w:before="0"/>
        <w:ind w:right="91"/>
      </w:pPr>
    </w:p>
    <w:p w:rsidR="003727FE" w:rsidRDefault="00DD29CC" w:rsidP="003727FE">
      <w:pPr>
        <w:keepNext/>
        <w:spacing w:before="0"/>
        <w:ind w:right="91"/>
      </w:pPr>
      <w:r>
        <w:t>Regulation 7.3A provides that for subsection 69(1A) of the Act, the additional assistance amount is $2435 for the 2011 program year for an Indigenous student from a remote area or a very remote area and is receiving secondary education</w:t>
      </w:r>
      <w:r w:rsidR="005E18FB">
        <w:t xml:space="preserve"> as a boarding student at a </w:t>
      </w:r>
      <w:proofErr w:type="spellStart"/>
      <w:r w:rsidR="005E18FB">
        <w:t>non</w:t>
      </w:r>
      <w:r w:rsidR="005E18FB">
        <w:noBreakHyphen/>
      </w:r>
      <w:r>
        <w:t>remote</w:t>
      </w:r>
      <w:proofErr w:type="spellEnd"/>
      <w:r>
        <w:t xml:space="preserve"> campus of a boarding school that has more than 50 Indigenous boarding students from remote or very remote areas on the schools census day.</w:t>
      </w:r>
    </w:p>
    <w:p w:rsidR="003727FE" w:rsidRDefault="003727FE" w:rsidP="003727FE">
      <w:pPr>
        <w:keepNext/>
        <w:spacing w:before="0"/>
        <w:ind w:right="91"/>
      </w:pPr>
    </w:p>
    <w:p w:rsidR="003727FE" w:rsidRDefault="00DD29CC" w:rsidP="003727FE">
      <w:pPr>
        <w:keepNext/>
        <w:spacing w:before="0"/>
        <w:ind w:right="91"/>
      </w:pPr>
      <w:r w:rsidRPr="00C9245B">
        <w:t xml:space="preserve">Notes 1 and 2 are respectively identical notes inserted under new regulations 7.2A and 7.3A. </w:t>
      </w:r>
    </w:p>
    <w:p w:rsidR="003727FE" w:rsidRDefault="003727FE" w:rsidP="003727FE">
      <w:pPr>
        <w:keepNext/>
        <w:spacing w:before="0"/>
        <w:ind w:right="91"/>
      </w:pPr>
    </w:p>
    <w:p w:rsidR="003727FE" w:rsidRDefault="00DD29CC" w:rsidP="003727FE">
      <w:pPr>
        <w:keepNext/>
        <w:spacing w:before="0"/>
        <w:ind w:right="91"/>
      </w:pPr>
      <w:r w:rsidRPr="00C9245B">
        <w:t>Note 1 has the effect of providing that the total number of Indigenous boarding students mentioned in each of paragraphs 7.2A(b) and 7.3A(b) may be calculated by the number of students receiving primary or secondary education at the boarding school.</w:t>
      </w:r>
    </w:p>
    <w:p w:rsidR="00DD29CC" w:rsidRPr="00C9245B" w:rsidRDefault="00DD29CC" w:rsidP="003727FE">
      <w:pPr>
        <w:keepNext/>
        <w:spacing w:before="0"/>
        <w:ind w:right="91"/>
      </w:pPr>
      <w:r w:rsidRPr="00C9245B">
        <w:t>Note 2 provides that the terms, remote area and very remote area, are identified in the</w:t>
      </w:r>
      <w:r>
        <w:t xml:space="preserve"> </w:t>
      </w:r>
      <w:r w:rsidRPr="00C9245B">
        <w:rPr>
          <w:b/>
          <w:i/>
        </w:rPr>
        <w:t>Remoteness Structure</w:t>
      </w:r>
      <w:r w:rsidRPr="00C9245B">
        <w:t xml:space="preserve">, which is defined in section 4 of the </w:t>
      </w:r>
      <w:r w:rsidRPr="00C9245B">
        <w:rPr>
          <w:i/>
        </w:rPr>
        <w:t>Schools Assistance Act 2008</w:t>
      </w:r>
      <w:r w:rsidRPr="00C9245B">
        <w:t>.</w:t>
      </w:r>
      <w:r>
        <w:t xml:space="preserve"> </w:t>
      </w:r>
    </w:p>
    <w:p w:rsidR="00F9268D" w:rsidRDefault="00F9268D" w:rsidP="00DD29CC">
      <w:pPr>
        <w:spacing w:before="0"/>
        <w:ind w:right="91"/>
      </w:pPr>
    </w:p>
    <w:sectPr w:rsidR="00F9268D" w:rsidSect="00CD4DFF">
      <w:headerReference w:type="even" r:id="rId8"/>
      <w:headerReference w:type="default" r:id="rId9"/>
      <w:pgSz w:w="11907" w:h="16840" w:code="9"/>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514" w:rsidRDefault="00276514" w:rsidP="00DA1E15">
      <w:pPr>
        <w:spacing w:before="0"/>
      </w:pPr>
      <w:r>
        <w:separator/>
      </w:r>
    </w:p>
  </w:endnote>
  <w:endnote w:type="continuationSeparator" w:id="0">
    <w:p w:rsidR="00276514" w:rsidRDefault="00276514" w:rsidP="00DA1E15">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514" w:rsidRDefault="00276514" w:rsidP="00DA1E15">
      <w:pPr>
        <w:spacing w:before="0"/>
      </w:pPr>
      <w:r>
        <w:separator/>
      </w:r>
    </w:p>
  </w:footnote>
  <w:footnote w:type="continuationSeparator" w:id="0">
    <w:p w:rsidR="00276514" w:rsidRDefault="00276514" w:rsidP="00DA1E15">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514" w:rsidRDefault="0019286E" w:rsidP="00CD4DFF">
    <w:pPr>
      <w:pStyle w:val="Header"/>
      <w:framePr w:wrap="around" w:vAnchor="text" w:hAnchor="margin" w:xAlign="center" w:y="1"/>
      <w:rPr>
        <w:rStyle w:val="PageNumber"/>
      </w:rPr>
    </w:pPr>
    <w:r>
      <w:rPr>
        <w:rStyle w:val="PageNumber"/>
      </w:rPr>
      <w:fldChar w:fldCharType="begin"/>
    </w:r>
    <w:r w:rsidR="00276514">
      <w:rPr>
        <w:rStyle w:val="PageNumber"/>
      </w:rPr>
      <w:instrText xml:space="preserve">PAGE  </w:instrText>
    </w:r>
    <w:r>
      <w:rPr>
        <w:rStyle w:val="PageNumber"/>
      </w:rPr>
      <w:fldChar w:fldCharType="end"/>
    </w:r>
  </w:p>
  <w:p w:rsidR="00276514" w:rsidRDefault="002765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514" w:rsidRDefault="00276514" w:rsidP="00CD4DFF">
    <w:pPr>
      <w:pStyle w:val="Header"/>
      <w:spacing w:befor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801D0"/>
    <w:multiLevelType w:val="hybridMultilevel"/>
    <w:tmpl w:val="23F02402"/>
    <w:lvl w:ilvl="0" w:tplc="F06AC262">
      <w:start w:val="1"/>
      <w:numFmt w:val="bullet"/>
      <w:pStyle w:val="dotpoint"/>
      <w:lvlText w:val=""/>
      <w:lvlJc w:val="left"/>
      <w:pPr>
        <w:tabs>
          <w:tab w:val="num" w:pos="284"/>
        </w:tabs>
        <w:ind w:left="284" w:firstLine="0"/>
      </w:pPr>
      <w:rPr>
        <w:rFonts w:ascii="Symbol" w:hAnsi="Symbol" w:hint="default"/>
        <w:color w:val="16578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6F042B29"/>
    <w:multiLevelType w:val="multilevel"/>
    <w:tmpl w:val="7C94ACEC"/>
    <w:lvl w:ilvl="0">
      <w:start w:val="1"/>
      <w:numFmt w:val="decimal"/>
      <w:pStyle w:val="bodytextoutlinednumber"/>
      <w:lvlText w:val="%1."/>
      <w:lvlJc w:val="left"/>
      <w:pPr>
        <w:tabs>
          <w:tab w:val="num" w:pos="567"/>
        </w:tabs>
        <w:ind w:left="0" w:firstLine="0"/>
      </w:pPr>
      <w:rPr>
        <w:rFonts w:ascii="Calibri" w:hAnsi="Calibri" w:hint="default"/>
        <w:b w:val="0"/>
        <w:i w:val="0"/>
        <w:sz w:val="24"/>
      </w:rPr>
    </w:lvl>
    <w:lvl w:ilvl="1">
      <w:start w:val="1"/>
      <w:numFmt w:val="lowerLetter"/>
      <w:lvlText w:val="%2."/>
      <w:lvlJc w:val="left"/>
      <w:pPr>
        <w:tabs>
          <w:tab w:val="num" w:pos="851"/>
        </w:tabs>
        <w:ind w:left="1134" w:hanging="567"/>
      </w:pPr>
      <w:rPr>
        <w:rFonts w:ascii="Calibri" w:hAnsi="Calibri" w:hint="default"/>
        <w:b w:val="0"/>
        <w:i w:val="0"/>
        <w:color w:val="auto"/>
        <w:sz w:val="24"/>
      </w:rPr>
    </w:lvl>
    <w:lvl w:ilvl="2">
      <w:start w:val="1"/>
      <w:numFmt w:val="lowerRoman"/>
      <w:lvlText w:val="%3."/>
      <w:lvlJc w:val="left"/>
      <w:pPr>
        <w:tabs>
          <w:tab w:val="num" w:pos="227"/>
        </w:tabs>
        <w:ind w:left="454" w:hanging="227"/>
      </w:pPr>
      <w:rPr>
        <w:rFonts w:ascii="Calibri" w:hAnsi="Calibri" w:hint="default"/>
        <w:b w:val="0"/>
        <w:i w:val="0"/>
        <w:color w:val="auto"/>
        <w:sz w:val="24"/>
      </w:rPr>
    </w:lvl>
    <w:lvl w:ilvl="3">
      <w:start w:val="1"/>
      <w:numFmt w:val="decimal"/>
      <w:lvlText w:val="%4."/>
      <w:lvlJc w:val="left"/>
      <w:pPr>
        <w:tabs>
          <w:tab w:val="num" w:pos="680"/>
        </w:tabs>
        <w:ind w:left="680" w:hanging="226"/>
      </w:pPr>
      <w:rPr>
        <w:rFonts w:ascii="Calibri" w:hAnsi="Calibri" w:hint="default"/>
        <w:b w:val="0"/>
        <w:i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footnotePr>
    <w:footnote w:id="-1"/>
    <w:footnote w:id="0"/>
  </w:footnotePr>
  <w:endnotePr>
    <w:endnote w:id="-1"/>
    <w:endnote w:id="0"/>
  </w:endnotePr>
  <w:compat/>
  <w:rsids>
    <w:rsidRoot w:val="00B81F12"/>
    <w:rsid w:val="00013CA0"/>
    <w:rsid w:val="00030063"/>
    <w:rsid w:val="000359C2"/>
    <w:rsid w:val="000636BD"/>
    <w:rsid w:val="0006620F"/>
    <w:rsid w:val="000A6C4A"/>
    <w:rsid w:val="000B4742"/>
    <w:rsid w:val="00152460"/>
    <w:rsid w:val="00152B44"/>
    <w:rsid w:val="00170AE3"/>
    <w:rsid w:val="0017147E"/>
    <w:rsid w:val="00180222"/>
    <w:rsid w:val="00181F60"/>
    <w:rsid w:val="0019286E"/>
    <w:rsid w:val="00194952"/>
    <w:rsid w:val="001B404F"/>
    <w:rsid w:val="001B6E27"/>
    <w:rsid w:val="001C184E"/>
    <w:rsid w:val="00207612"/>
    <w:rsid w:val="002636E7"/>
    <w:rsid w:val="00273228"/>
    <w:rsid w:val="00276514"/>
    <w:rsid w:val="002D386F"/>
    <w:rsid w:val="002D5C29"/>
    <w:rsid w:val="002D6D65"/>
    <w:rsid w:val="002E167C"/>
    <w:rsid w:val="002F17A3"/>
    <w:rsid w:val="002F3F33"/>
    <w:rsid w:val="002F7D14"/>
    <w:rsid w:val="00354994"/>
    <w:rsid w:val="00362F9B"/>
    <w:rsid w:val="003727FE"/>
    <w:rsid w:val="003A4CF6"/>
    <w:rsid w:val="003C6840"/>
    <w:rsid w:val="003E063C"/>
    <w:rsid w:val="003E51C2"/>
    <w:rsid w:val="004200B9"/>
    <w:rsid w:val="00433F86"/>
    <w:rsid w:val="00440890"/>
    <w:rsid w:val="004430E7"/>
    <w:rsid w:val="00461F47"/>
    <w:rsid w:val="00484C7B"/>
    <w:rsid w:val="00486C48"/>
    <w:rsid w:val="00497199"/>
    <w:rsid w:val="004B358F"/>
    <w:rsid w:val="004D43C7"/>
    <w:rsid w:val="004D5FB1"/>
    <w:rsid w:val="004F28C1"/>
    <w:rsid w:val="00505ABB"/>
    <w:rsid w:val="005148ED"/>
    <w:rsid w:val="00527F31"/>
    <w:rsid w:val="005547FA"/>
    <w:rsid w:val="005A32B2"/>
    <w:rsid w:val="005B155D"/>
    <w:rsid w:val="005B2B67"/>
    <w:rsid w:val="005C0D6D"/>
    <w:rsid w:val="005D0E6B"/>
    <w:rsid w:val="005E18FB"/>
    <w:rsid w:val="005E2925"/>
    <w:rsid w:val="00660AB4"/>
    <w:rsid w:val="0067554A"/>
    <w:rsid w:val="00693389"/>
    <w:rsid w:val="00693769"/>
    <w:rsid w:val="00724402"/>
    <w:rsid w:val="007303A5"/>
    <w:rsid w:val="0073503D"/>
    <w:rsid w:val="00752881"/>
    <w:rsid w:val="00757442"/>
    <w:rsid w:val="00785675"/>
    <w:rsid w:val="007957FA"/>
    <w:rsid w:val="007A5C4C"/>
    <w:rsid w:val="007D1870"/>
    <w:rsid w:val="007D609D"/>
    <w:rsid w:val="007E5BEB"/>
    <w:rsid w:val="007E7087"/>
    <w:rsid w:val="007F0C35"/>
    <w:rsid w:val="008056C8"/>
    <w:rsid w:val="008416B2"/>
    <w:rsid w:val="0085077C"/>
    <w:rsid w:val="00855010"/>
    <w:rsid w:val="00884BCF"/>
    <w:rsid w:val="008D31AD"/>
    <w:rsid w:val="008D3A2B"/>
    <w:rsid w:val="008D4C7E"/>
    <w:rsid w:val="008F6CF2"/>
    <w:rsid w:val="00904396"/>
    <w:rsid w:val="0094497D"/>
    <w:rsid w:val="0096301E"/>
    <w:rsid w:val="009679DB"/>
    <w:rsid w:val="00977B62"/>
    <w:rsid w:val="00A01BDC"/>
    <w:rsid w:val="00A145AA"/>
    <w:rsid w:val="00A4433B"/>
    <w:rsid w:val="00A93710"/>
    <w:rsid w:val="00B22598"/>
    <w:rsid w:val="00B51E63"/>
    <w:rsid w:val="00B54657"/>
    <w:rsid w:val="00B77ADA"/>
    <w:rsid w:val="00B81F12"/>
    <w:rsid w:val="00BB1A68"/>
    <w:rsid w:val="00BC7F25"/>
    <w:rsid w:val="00BD714A"/>
    <w:rsid w:val="00C2288A"/>
    <w:rsid w:val="00C32B9B"/>
    <w:rsid w:val="00C35704"/>
    <w:rsid w:val="00C52895"/>
    <w:rsid w:val="00C92D98"/>
    <w:rsid w:val="00CA1BCB"/>
    <w:rsid w:val="00CA2896"/>
    <w:rsid w:val="00CA369B"/>
    <w:rsid w:val="00CA5AC0"/>
    <w:rsid w:val="00CD4DFF"/>
    <w:rsid w:val="00CE5B7F"/>
    <w:rsid w:val="00CF3DA0"/>
    <w:rsid w:val="00D04636"/>
    <w:rsid w:val="00D22A2A"/>
    <w:rsid w:val="00D26F94"/>
    <w:rsid w:val="00D329FE"/>
    <w:rsid w:val="00D350FD"/>
    <w:rsid w:val="00D36808"/>
    <w:rsid w:val="00D371F0"/>
    <w:rsid w:val="00D7102B"/>
    <w:rsid w:val="00DA0A0E"/>
    <w:rsid w:val="00DA1E15"/>
    <w:rsid w:val="00DA36AF"/>
    <w:rsid w:val="00DB6786"/>
    <w:rsid w:val="00DD29CC"/>
    <w:rsid w:val="00E24591"/>
    <w:rsid w:val="00E32240"/>
    <w:rsid w:val="00E91CB6"/>
    <w:rsid w:val="00EA2E14"/>
    <w:rsid w:val="00ED219C"/>
    <w:rsid w:val="00ED33C7"/>
    <w:rsid w:val="00ED4CF4"/>
    <w:rsid w:val="00EE21DF"/>
    <w:rsid w:val="00F011F0"/>
    <w:rsid w:val="00F066D4"/>
    <w:rsid w:val="00F07331"/>
    <w:rsid w:val="00F1026B"/>
    <w:rsid w:val="00F1324F"/>
    <w:rsid w:val="00F32737"/>
    <w:rsid w:val="00F35637"/>
    <w:rsid w:val="00F55BE3"/>
    <w:rsid w:val="00F85D35"/>
    <w:rsid w:val="00F86B58"/>
    <w:rsid w:val="00F9268D"/>
    <w:rsid w:val="00FB5632"/>
    <w:rsid w:val="00FC200E"/>
    <w:rsid w:val="00FF4AEB"/>
    <w:rsid w:val="00FF65A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F12"/>
    <w:pPr>
      <w:spacing w:before="240"/>
    </w:pPr>
    <w:rPr>
      <w:sz w:val="24"/>
    </w:rPr>
  </w:style>
  <w:style w:type="paragraph" w:styleId="Heading1">
    <w:name w:val="heading 1"/>
    <w:basedOn w:val="Normal"/>
    <w:qFormat/>
    <w:rsid w:val="005B155D"/>
    <w:pPr>
      <w:keepNext/>
      <w:suppressAutoHyphens/>
      <w:autoSpaceDE w:val="0"/>
      <w:autoSpaceDN w:val="0"/>
      <w:adjustRightInd w:val="0"/>
      <w:spacing w:after="113" w:line="520" w:lineRule="atLeast"/>
      <w:textAlignment w:val="center"/>
      <w:outlineLvl w:val="0"/>
    </w:pPr>
    <w:rPr>
      <w:rFonts w:cs="Garamond"/>
      <w:caps/>
      <w:color w:val="165788"/>
      <w:sz w:val="48"/>
      <w:szCs w:val="48"/>
      <w:lang w:val="en-GB"/>
    </w:rPr>
  </w:style>
  <w:style w:type="paragraph" w:styleId="Heading2">
    <w:name w:val="heading 2"/>
    <w:basedOn w:val="Normal"/>
    <w:next w:val="Normal"/>
    <w:qFormat/>
    <w:rsid w:val="00440890"/>
    <w:pPr>
      <w:keepNext/>
      <w:spacing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Part">
    <w:name w:val="Heading Part"/>
    <w:basedOn w:val="Heading2"/>
    <w:next w:val="Normal"/>
    <w:rsid w:val="00440890"/>
    <w:pPr>
      <w:suppressAutoHyphens/>
      <w:autoSpaceDE w:val="0"/>
      <w:autoSpaceDN w:val="0"/>
      <w:adjustRightInd w:val="0"/>
      <w:spacing w:before="480" w:after="40" w:line="240" w:lineRule="atLeast"/>
      <w:textAlignment w:val="center"/>
    </w:pPr>
    <w:rPr>
      <w:rFonts w:ascii="Calibri" w:hAnsi="Calibri" w:cs="Garamond"/>
      <w:i w:val="0"/>
      <w:iCs w:val="0"/>
      <w:color w:val="000000"/>
      <w:sz w:val="36"/>
      <w:szCs w:val="36"/>
      <w:lang w:val="en-GB"/>
    </w:rPr>
  </w:style>
  <w:style w:type="paragraph" w:customStyle="1" w:styleId="dotpoint">
    <w:name w:val="dot point"/>
    <w:basedOn w:val="Normal"/>
    <w:rsid w:val="00ED4CF4"/>
    <w:pPr>
      <w:numPr>
        <w:numId w:val="3"/>
      </w:numPr>
      <w:suppressAutoHyphens/>
      <w:autoSpaceDE w:val="0"/>
      <w:autoSpaceDN w:val="0"/>
      <w:adjustRightInd w:val="0"/>
      <w:spacing w:before="150" w:after="150" w:line="300" w:lineRule="atLeast"/>
      <w:textAlignment w:val="center"/>
    </w:pPr>
    <w:rPr>
      <w:rFonts w:cs="Garamond"/>
      <w:color w:val="000000"/>
      <w:lang w:val="en-GB"/>
    </w:rPr>
  </w:style>
  <w:style w:type="paragraph" w:customStyle="1" w:styleId="bodytextoutlinednumber">
    <w:name w:val="body text outlined number"/>
    <w:basedOn w:val="Normal"/>
    <w:rsid w:val="00ED4CF4"/>
    <w:pPr>
      <w:numPr>
        <w:numId w:val="4"/>
      </w:numPr>
      <w:suppressAutoHyphens/>
      <w:autoSpaceDE w:val="0"/>
      <w:autoSpaceDN w:val="0"/>
      <w:adjustRightInd w:val="0"/>
      <w:spacing w:before="150" w:after="150" w:line="300" w:lineRule="atLeast"/>
      <w:textAlignment w:val="center"/>
    </w:pPr>
    <w:rPr>
      <w:rFonts w:cs="Garamond"/>
      <w:color w:val="000000"/>
      <w:lang w:val="en-GB"/>
    </w:rPr>
  </w:style>
  <w:style w:type="character" w:customStyle="1" w:styleId="StyleHyperlink105pt1">
    <w:name w:val="Style Hyperlink + 10.5 pt1"/>
    <w:basedOn w:val="Hyperlink"/>
    <w:rsid w:val="00F9268D"/>
    <w:rPr>
      <w:rFonts w:ascii="Calibri" w:hAnsi="Calibri" w:cs="Times New Roman"/>
      <w:color w:val="165788"/>
      <w:sz w:val="22"/>
    </w:rPr>
  </w:style>
  <w:style w:type="character" w:styleId="Hyperlink">
    <w:name w:val="Hyperlink"/>
    <w:basedOn w:val="DefaultParagraphFont"/>
    <w:rsid w:val="00F9268D"/>
    <w:rPr>
      <w:color w:val="0000FF"/>
      <w:u w:val="single"/>
    </w:rPr>
  </w:style>
  <w:style w:type="paragraph" w:customStyle="1" w:styleId="StyleAppendicesBodyTextLinespacingsingle">
    <w:name w:val="Style Appendices Body Text + Line spacing:  single"/>
    <w:basedOn w:val="Normal"/>
    <w:rsid w:val="00A4433B"/>
    <w:pPr>
      <w:spacing w:before="150"/>
    </w:pPr>
  </w:style>
  <w:style w:type="paragraph" w:styleId="Header">
    <w:name w:val="header"/>
    <w:basedOn w:val="Normal"/>
    <w:link w:val="HeaderChar"/>
    <w:rsid w:val="00B81F12"/>
    <w:pPr>
      <w:tabs>
        <w:tab w:val="center" w:pos="4153"/>
        <w:tab w:val="right" w:pos="8306"/>
      </w:tabs>
    </w:pPr>
  </w:style>
  <w:style w:type="character" w:customStyle="1" w:styleId="HeaderChar">
    <w:name w:val="Header Char"/>
    <w:basedOn w:val="DefaultParagraphFont"/>
    <w:link w:val="Header"/>
    <w:rsid w:val="00B81F12"/>
    <w:rPr>
      <w:sz w:val="24"/>
    </w:rPr>
  </w:style>
  <w:style w:type="character" w:styleId="PageNumber">
    <w:name w:val="page number"/>
    <w:basedOn w:val="DefaultParagraphFont"/>
    <w:rsid w:val="00B81F12"/>
  </w:style>
  <w:style w:type="paragraph" w:styleId="BodyText2">
    <w:name w:val="Body Text 2"/>
    <w:basedOn w:val="Normal"/>
    <w:link w:val="BodyText2Char"/>
    <w:rsid w:val="00B81F12"/>
    <w:pPr>
      <w:spacing w:before="0"/>
    </w:pPr>
    <w:rPr>
      <w:color w:val="000000"/>
      <w:lang w:eastAsia="en-US"/>
    </w:rPr>
  </w:style>
  <w:style w:type="character" w:customStyle="1" w:styleId="BodyText2Char">
    <w:name w:val="Body Text 2 Char"/>
    <w:basedOn w:val="DefaultParagraphFont"/>
    <w:link w:val="BodyText2"/>
    <w:rsid w:val="00B81F12"/>
    <w:rPr>
      <w:color w:val="000000"/>
      <w:sz w:val="24"/>
      <w:lang w:eastAsia="en-US"/>
    </w:rPr>
  </w:style>
  <w:style w:type="paragraph" w:styleId="BalloonText">
    <w:name w:val="Balloon Text"/>
    <w:basedOn w:val="Normal"/>
    <w:link w:val="BalloonTextChar"/>
    <w:rsid w:val="00030063"/>
    <w:pPr>
      <w:spacing w:before="0"/>
    </w:pPr>
    <w:rPr>
      <w:rFonts w:ascii="Tahoma" w:hAnsi="Tahoma" w:cs="Tahoma"/>
      <w:sz w:val="16"/>
      <w:szCs w:val="16"/>
    </w:rPr>
  </w:style>
  <w:style w:type="character" w:customStyle="1" w:styleId="BalloonTextChar">
    <w:name w:val="Balloon Text Char"/>
    <w:basedOn w:val="DefaultParagraphFont"/>
    <w:link w:val="BalloonText"/>
    <w:rsid w:val="00030063"/>
    <w:rPr>
      <w:rFonts w:ascii="Tahoma" w:hAnsi="Tahoma" w:cs="Tahoma"/>
      <w:sz w:val="16"/>
      <w:szCs w:val="16"/>
    </w:rPr>
  </w:style>
  <w:style w:type="character" w:styleId="CommentReference">
    <w:name w:val="annotation reference"/>
    <w:basedOn w:val="DefaultParagraphFont"/>
    <w:rsid w:val="00DA0A0E"/>
    <w:rPr>
      <w:sz w:val="16"/>
      <w:szCs w:val="16"/>
    </w:rPr>
  </w:style>
  <w:style w:type="paragraph" w:styleId="CommentText">
    <w:name w:val="annotation text"/>
    <w:basedOn w:val="Normal"/>
    <w:link w:val="CommentTextChar"/>
    <w:rsid w:val="00DA0A0E"/>
    <w:rPr>
      <w:sz w:val="20"/>
    </w:rPr>
  </w:style>
  <w:style w:type="character" w:customStyle="1" w:styleId="CommentTextChar">
    <w:name w:val="Comment Text Char"/>
    <w:basedOn w:val="DefaultParagraphFont"/>
    <w:link w:val="CommentText"/>
    <w:rsid w:val="00DA0A0E"/>
  </w:style>
  <w:style w:type="paragraph" w:styleId="CommentSubject">
    <w:name w:val="annotation subject"/>
    <w:basedOn w:val="CommentText"/>
    <w:next w:val="CommentText"/>
    <w:link w:val="CommentSubjectChar"/>
    <w:rsid w:val="00DA0A0E"/>
    <w:rPr>
      <w:b/>
      <w:bCs/>
    </w:rPr>
  </w:style>
  <w:style w:type="character" w:customStyle="1" w:styleId="CommentSubjectChar">
    <w:name w:val="Comment Subject Char"/>
    <w:basedOn w:val="CommentTextChar"/>
    <w:link w:val="CommentSubject"/>
    <w:rsid w:val="00DA0A0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898C8-9964-4438-9638-0920B6AD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1066</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Grant</dc:creator>
  <cp:lastModifiedBy>adamsd</cp:lastModifiedBy>
  <cp:revision>3</cp:revision>
  <cp:lastPrinted>2011-03-17T05:33:00Z</cp:lastPrinted>
  <dcterms:created xsi:type="dcterms:W3CDTF">2011-03-23T02:00:00Z</dcterms:created>
  <dcterms:modified xsi:type="dcterms:W3CDTF">2011-05-10T22:46:00Z</dcterms:modified>
</cp:coreProperties>
</file>