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E4" w:rsidRPr="00076E4B" w:rsidRDefault="002352E4" w:rsidP="002352E4">
      <w:pPr>
        <w:jc w:val="center"/>
        <w:rPr>
          <w:rFonts w:ascii="Arial" w:hAnsi="Arial" w:cs="Arial"/>
          <w:b/>
          <w:bCs/>
          <w:sz w:val="24"/>
          <w:szCs w:val="20"/>
          <w:u w:val="single"/>
        </w:rPr>
      </w:pPr>
      <w:r w:rsidRPr="00076E4B">
        <w:rPr>
          <w:rFonts w:ascii="Arial" w:hAnsi="Arial" w:cs="Arial"/>
          <w:b/>
          <w:bCs/>
          <w:sz w:val="24"/>
          <w:szCs w:val="20"/>
          <w:u w:val="single"/>
        </w:rPr>
        <w:t>EXPLANATORY STATEMENT</w:t>
      </w:r>
    </w:p>
    <w:p w:rsidR="002352E4" w:rsidRPr="00076E4B" w:rsidRDefault="002352E4" w:rsidP="002352E4">
      <w:pPr>
        <w:jc w:val="center"/>
        <w:rPr>
          <w:rFonts w:ascii="Arial" w:hAnsi="Arial" w:cs="Arial"/>
          <w:i/>
          <w:sz w:val="24"/>
          <w:szCs w:val="20"/>
        </w:rPr>
      </w:pPr>
      <w:r w:rsidRPr="00076E4B">
        <w:rPr>
          <w:rFonts w:ascii="Arial" w:hAnsi="Arial" w:cs="Arial"/>
          <w:bCs/>
          <w:sz w:val="24"/>
          <w:szCs w:val="20"/>
        </w:rPr>
        <w:t xml:space="preserve">Issued by the </w:t>
      </w:r>
      <w:r w:rsidR="000632DC" w:rsidRPr="00076E4B">
        <w:rPr>
          <w:rFonts w:ascii="Arial" w:hAnsi="Arial" w:cs="Arial"/>
          <w:bCs/>
          <w:sz w:val="24"/>
          <w:szCs w:val="20"/>
        </w:rPr>
        <w:t xml:space="preserve">authority of the </w:t>
      </w:r>
      <w:r w:rsidRPr="00076E4B">
        <w:rPr>
          <w:rFonts w:ascii="Arial" w:hAnsi="Arial" w:cs="Arial"/>
          <w:bCs/>
          <w:sz w:val="24"/>
          <w:szCs w:val="20"/>
        </w:rPr>
        <w:t>Australian Communications and Media Authority</w:t>
      </w:r>
      <w:r w:rsidRPr="00076E4B">
        <w:rPr>
          <w:rFonts w:ascii="Arial" w:hAnsi="Arial" w:cs="Arial"/>
          <w:i/>
          <w:sz w:val="24"/>
          <w:szCs w:val="20"/>
        </w:rPr>
        <w:t xml:space="preserve"> </w:t>
      </w:r>
    </w:p>
    <w:p w:rsidR="00377DBC" w:rsidRPr="00076E4B" w:rsidRDefault="00377DBC" w:rsidP="00377DBC">
      <w:pPr>
        <w:jc w:val="center"/>
        <w:rPr>
          <w:rFonts w:ascii="Arial" w:hAnsi="Arial" w:cs="Arial"/>
          <w:b/>
          <w:i/>
        </w:rPr>
      </w:pPr>
      <w:r w:rsidRPr="00076E4B">
        <w:rPr>
          <w:rFonts w:ascii="Arial" w:hAnsi="Arial" w:cs="Arial"/>
          <w:b/>
          <w:i/>
        </w:rPr>
        <w:t>Telecommunications Act 1997</w:t>
      </w:r>
    </w:p>
    <w:p w:rsidR="00906A8E" w:rsidRPr="00076E4B" w:rsidRDefault="00906A8E" w:rsidP="00906A8E">
      <w:pPr>
        <w:jc w:val="center"/>
        <w:rPr>
          <w:rFonts w:ascii="Arial" w:hAnsi="Arial" w:cs="Arial"/>
          <w:b/>
          <w:caps/>
        </w:rPr>
      </w:pPr>
      <w:r w:rsidRPr="00076E4B">
        <w:rPr>
          <w:rFonts w:ascii="Arial" w:hAnsi="Arial" w:cs="Arial"/>
          <w:b/>
          <w:caps/>
        </w:rPr>
        <w:t>Telecommunications Technical Standard (Requirements for connection to an air interface of a Telecommunications Network - Part 4: IMT-2000 Customer Equipment - AS/CA S042.4:2010) 2011</w:t>
      </w:r>
    </w:p>
    <w:p w:rsidR="00377DBC" w:rsidRPr="00076E4B" w:rsidRDefault="00377DBC" w:rsidP="00686FEB">
      <w:pPr>
        <w:spacing w:before="240" w:after="120" w:line="240" w:lineRule="atLeast"/>
        <w:rPr>
          <w:rFonts w:ascii="Arial" w:hAnsi="Arial" w:cs="Arial"/>
          <w:b/>
          <w:sz w:val="24"/>
          <w:szCs w:val="28"/>
        </w:rPr>
      </w:pPr>
      <w:r w:rsidRPr="00076E4B">
        <w:rPr>
          <w:rFonts w:ascii="Arial" w:hAnsi="Arial" w:cs="Arial"/>
          <w:b/>
          <w:sz w:val="24"/>
          <w:szCs w:val="28"/>
        </w:rPr>
        <w:t>Purpose</w:t>
      </w:r>
    </w:p>
    <w:p w:rsidR="009528DB" w:rsidRPr="00076E4B" w:rsidRDefault="009528DB" w:rsidP="00686FEB">
      <w:pPr>
        <w:pStyle w:val="ListParagraph"/>
        <w:spacing w:line="240" w:lineRule="atLeast"/>
        <w:ind w:left="0"/>
        <w:rPr>
          <w:rFonts w:ascii="Arial" w:hAnsi="Arial" w:cs="Arial"/>
        </w:rPr>
      </w:pPr>
      <w:r w:rsidRPr="00076E4B">
        <w:rPr>
          <w:rFonts w:ascii="Arial" w:hAnsi="Arial" w:cs="Arial"/>
        </w:rPr>
        <w:t>The</w:t>
      </w:r>
      <w:r w:rsidRPr="00076E4B">
        <w:rPr>
          <w:rFonts w:ascii="Arial" w:hAnsi="Arial" w:cs="Arial"/>
          <w:i/>
        </w:rPr>
        <w:t xml:space="preserve"> </w:t>
      </w:r>
      <w:r w:rsidR="00906A8E" w:rsidRPr="00076E4B">
        <w:rPr>
          <w:rFonts w:ascii="Arial" w:hAnsi="Arial" w:cs="Arial"/>
          <w:i/>
        </w:rPr>
        <w:t>Telecommunications Technical Standard</w:t>
      </w:r>
      <w:r w:rsidR="00906A8E" w:rsidRPr="00076E4B">
        <w:rPr>
          <w:rFonts w:ascii="Arial" w:hAnsi="Arial" w:cs="Arial"/>
        </w:rPr>
        <w:t xml:space="preserve"> </w:t>
      </w:r>
      <w:r w:rsidR="00906A8E" w:rsidRPr="00076E4B">
        <w:rPr>
          <w:rFonts w:ascii="Arial" w:hAnsi="Arial" w:cs="Arial"/>
          <w:i/>
        </w:rPr>
        <w:t xml:space="preserve">(Requirements for Connection to an Air </w:t>
      </w:r>
      <w:r w:rsidR="006B523E" w:rsidRPr="00076E4B">
        <w:rPr>
          <w:rFonts w:ascii="Arial" w:hAnsi="Arial" w:cs="Arial"/>
          <w:i/>
        </w:rPr>
        <w:t>I</w:t>
      </w:r>
      <w:r w:rsidR="00906A8E" w:rsidRPr="00076E4B">
        <w:rPr>
          <w:rFonts w:ascii="Arial" w:hAnsi="Arial" w:cs="Arial"/>
          <w:i/>
        </w:rPr>
        <w:t>nterface of a Telecommunications Network - Part 4: IMT-2000 Customer Equipment - AS/CA S042.4:2010) 2011</w:t>
      </w:r>
      <w:r w:rsidR="00906A8E" w:rsidRPr="00076E4B">
        <w:rPr>
          <w:rFonts w:ascii="Arial" w:hAnsi="Arial" w:cs="Arial"/>
        </w:rPr>
        <w:t xml:space="preserve"> </w:t>
      </w:r>
      <w:r w:rsidR="00825491" w:rsidRPr="00076E4B">
        <w:rPr>
          <w:rFonts w:ascii="Arial" w:hAnsi="Arial" w:cs="Arial"/>
        </w:rPr>
        <w:t>(</w:t>
      </w:r>
      <w:r w:rsidR="00825491" w:rsidRPr="00076E4B">
        <w:rPr>
          <w:rFonts w:ascii="Arial" w:hAnsi="Arial" w:cs="Arial"/>
          <w:b/>
        </w:rPr>
        <w:t>the ACMA 2011 Standard</w:t>
      </w:r>
      <w:r w:rsidR="00825491" w:rsidRPr="00076E4B">
        <w:rPr>
          <w:rFonts w:ascii="Arial" w:hAnsi="Arial" w:cs="Arial"/>
        </w:rPr>
        <w:t>)</w:t>
      </w:r>
      <w:r w:rsidRPr="00076E4B">
        <w:rPr>
          <w:rFonts w:ascii="Arial" w:hAnsi="Arial" w:cs="Arial"/>
        </w:rPr>
        <w:t xml:space="preserve"> </w:t>
      </w:r>
      <w:r w:rsidR="00AE41D9" w:rsidRPr="00076E4B">
        <w:rPr>
          <w:rFonts w:ascii="Arial" w:hAnsi="Arial" w:cs="Arial"/>
        </w:rPr>
        <w:t xml:space="preserve">sets out the requirements that must be met </w:t>
      </w:r>
      <w:r w:rsidRPr="00076E4B">
        <w:rPr>
          <w:rFonts w:ascii="Arial" w:hAnsi="Arial" w:cs="Arial"/>
        </w:rPr>
        <w:t>in relation to specifi</w:t>
      </w:r>
      <w:r w:rsidR="00712E45" w:rsidRPr="00076E4B">
        <w:rPr>
          <w:rFonts w:ascii="Arial" w:hAnsi="Arial" w:cs="Arial"/>
        </w:rPr>
        <w:t>ed</w:t>
      </w:r>
      <w:r w:rsidRPr="00076E4B">
        <w:rPr>
          <w:rFonts w:ascii="Arial" w:hAnsi="Arial" w:cs="Arial"/>
        </w:rPr>
        <w:t xml:space="preserve"> </w:t>
      </w:r>
      <w:r w:rsidR="00825491" w:rsidRPr="00076E4B">
        <w:rPr>
          <w:rFonts w:ascii="Arial" w:hAnsi="Arial" w:cs="Arial"/>
        </w:rPr>
        <w:t xml:space="preserve">customer </w:t>
      </w:r>
      <w:r w:rsidR="007663F9" w:rsidRPr="00076E4B">
        <w:rPr>
          <w:rFonts w:ascii="Arial" w:hAnsi="Arial" w:cs="Arial"/>
        </w:rPr>
        <w:t>equipment</w:t>
      </w:r>
      <w:r w:rsidR="00825491" w:rsidRPr="00076E4B">
        <w:rPr>
          <w:rFonts w:ascii="Arial" w:hAnsi="Arial" w:cs="Arial"/>
        </w:rPr>
        <w:t xml:space="preserve"> (</w:t>
      </w:r>
      <w:r w:rsidR="00825491" w:rsidRPr="00076E4B">
        <w:rPr>
          <w:rFonts w:ascii="Arial" w:hAnsi="Arial" w:cs="Arial"/>
          <w:b/>
        </w:rPr>
        <w:t>C</w:t>
      </w:r>
      <w:r w:rsidR="007663F9" w:rsidRPr="00076E4B">
        <w:rPr>
          <w:rFonts w:ascii="Arial" w:hAnsi="Arial" w:cs="Arial"/>
          <w:b/>
        </w:rPr>
        <w:t>E</w:t>
      </w:r>
      <w:r w:rsidR="00825491" w:rsidRPr="00076E4B">
        <w:rPr>
          <w:rFonts w:ascii="Arial" w:hAnsi="Arial" w:cs="Arial"/>
        </w:rPr>
        <w:t>)</w:t>
      </w:r>
      <w:r w:rsidRPr="00076E4B">
        <w:rPr>
          <w:rFonts w:ascii="Arial" w:hAnsi="Arial" w:cs="Arial"/>
        </w:rPr>
        <w:t xml:space="preserve"> </w:t>
      </w:r>
      <w:r w:rsidR="003A654E" w:rsidRPr="00076E4B">
        <w:rPr>
          <w:rFonts w:ascii="Arial" w:hAnsi="Arial" w:cs="Arial"/>
        </w:rPr>
        <w:t>for the purposes of the Australian telecommunications compliance and labelling regime.</w:t>
      </w:r>
    </w:p>
    <w:p w:rsidR="009528DB" w:rsidRPr="00076E4B" w:rsidRDefault="009528DB" w:rsidP="00686FEB">
      <w:pPr>
        <w:pStyle w:val="ListParagraph"/>
        <w:spacing w:line="240" w:lineRule="atLeast"/>
        <w:ind w:left="0"/>
        <w:rPr>
          <w:rFonts w:ascii="Arial" w:hAnsi="Arial" w:cs="Arial"/>
        </w:rPr>
      </w:pPr>
    </w:p>
    <w:p w:rsidR="0056278D" w:rsidRPr="00076E4B" w:rsidRDefault="009528DB" w:rsidP="00686FEB">
      <w:pPr>
        <w:pStyle w:val="ListParagraph"/>
        <w:spacing w:line="240" w:lineRule="atLeast"/>
        <w:ind w:left="0"/>
        <w:rPr>
          <w:rFonts w:ascii="Arial" w:hAnsi="Arial" w:cs="Arial"/>
        </w:rPr>
      </w:pPr>
      <w:r w:rsidRPr="00076E4B">
        <w:rPr>
          <w:rFonts w:ascii="Arial" w:hAnsi="Arial" w:cs="Arial"/>
        </w:rPr>
        <w:t xml:space="preserve">The </w:t>
      </w:r>
      <w:r w:rsidR="00A7352C" w:rsidRPr="00076E4B">
        <w:rPr>
          <w:rFonts w:ascii="Arial" w:hAnsi="Arial" w:cs="Arial"/>
        </w:rPr>
        <w:t>ACMA 2011 Standard</w:t>
      </w:r>
      <w:r w:rsidR="00A7352C" w:rsidRPr="00076E4B" w:rsidDel="00A7352C">
        <w:rPr>
          <w:rFonts w:ascii="Arial" w:hAnsi="Arial" w:cs="Arial"/>
        </w:rPr>
        <w:t xml:space="preserve"> </w:t>
      </w:r>
      <w:r w:rsidRPr="00076E4B">
        <w:rPr>
          <w:rFonts w:ascii="Arial" w:hAnsi="Arial" w:cs="Arial"/>
        </w:rPr>
        <w:t>adopts</w:t>
      </w:r>
      <w:r w:rsidR="00AE41D9" w:rsidRPr="00076E4B">
        <w:rPr>
          <w:rFonts w:ascii="Arial" w:hAnsi="Arial" w:cs="Arial"/>
        </w:rPr>
        <w:t xml:space="preserve"> the mandatory technical requirements </w:t>
      </w:r>
      <w:r w:rsidR="007663F9" w:rsidRPr="00076E4B">
        <w:rPr>
          <w:rFonts w:ascii="Arial" w:hAnsi="Arial" w:cs="Arial"/>
        </w:rPr>
        <w:t>for CE</w:t>
      </w:r>
      <w:r w:rsidR="00825491" w:rsidRPr="00076E4B">
        <w:rPr>
          <w:rFonts w:ascii="Arial" w:hAnsi="Arial" w:cs="Arial"/>
        </w:rPr>
        <w:t xml:space="preserve"> </w:t>
      </w:r>
      <w:r w:rsidR="00AE41D9" w:rsidRPr="00076E4B">
        <w:rPr>
          <w:rFonts w:ascii="Arial" w:hAnsi="Arial" w:cs="Arial"/>
        </w:rPr>
        <w:t>prescribed in</w:t>
      </w:r>
      <w:r w:rsidRPr="00076E4B">
        <w:rPr>
          <w:rFonts w:ascii="Arial" w:hAnsi="Arial" w:cs="Arial"/>
        </w:rPr>
        <w:t xml:space="preserve"> a </w:t>
      </w:r>
      <w:r w:rsidR="00906A8E" w:rsidRPr="00076E4B">
        <w:rPr>
          <w:rFonts w:ascii="Arial" w:hAnsi="Arial" w:cs="Arial"/>
        </w:rPr>
        <w:t>new</w:t>
      </w:r>
      <w:r w:rsidRPr="00076E4B">
        <w:rPr>
          <w:rFonts w:ascii="Arial" w:hAnsi="Arial" w:cs="Arial"/>
        </w:rPr>
        <w:t xml:space="preserve"> industry telecommunications technical standard </w:t>
      </w:r>
      <w:r w:rsidR="0061495E" w:rsidRPr="00076E4B">
        <w:rPr>
          <w:rFonts w:ascii="Arial" w:hAnsi="Arial" w:cs="Arial"/>
        </w:rPr>
        <w:t>developed by Communications Alliance</w:t>
      </w:r>
      <w:r w:rsidR="000632DC" w:rsidRPr="00076E4B">
        <w:rPr>
          <w:rFonts w:ascii="Arial" w:hAnsi="Arial" w:cs="Arial"/>
        </w:rPr>
        <w:t xml:space="preserve"> Ltd</w:t>
      </w:r>
      <w:r w:rsidR="00690BC5" w:rsidRPr="00076E4B">
        <w:rPr>
          <w:rFonts w:ascii="Arial" w:hAnsi="Arial" w:cs="Arial"/>
        </w:rPr>
        <w:t xml:space="preserve"> (</w:t>
      </w:r>
      <w:r w:rsidR="00690BC5" w:rsidRPr="00076E4B">
        <w:rPr>
          <w:rFonts w:ascii="Arial" w:hAnsi="Arial" w:cs="Arial"/>
          <w:b/>
        </w:rPr>
        <w:t>CA</w:t>
      </w:r>
      <w:r w:rsidR="00690BC5" w:rsidRPr="00076E4B">
        <w:rPr>
          <w:rFonts w:ascii="Arial" w:hAnsi="Arial" w:cs="Arial"/>
        </w:rPr>
        <w:t>)</w:t>
      </w:r>
      <w:r w:rsidR="000632DC" w:rsidRPr="00076E4B">
        <w:rPr>
          <w:rFonts w:ascii="Arial" w:hAnsi="Arial" w:cs="Arial"/>
        </w:rPr>
        <w:t xml:space="preserve">, being </w:t>
      </w:r>
      <w:r w:rsidR="00906A8E" w:rsidRPr="00076E4B">
        <w:rPr>
          <w:rFonts w:ascii="Arial" w:hAnsi="Arial" w:cs="Arial"/>
        </w:rPr>
        <w:t xml:space="preserve">AS/CA S042.4:2010 </w:t>
      </w:r>
      <w:r w:rsidR="00906A8E" w:rsidRPr="00076E4B">
        <w:rPr>
          <w:rFonts w:ascii="Arial" w:hAnsi="Arial" w:cs="Arial"/>
          <w:i/>
        </w:rPr>
        <w:t xml:space="preserve">Requirements for connection to an air interface of a Telecommunications Network - Part 4: IMT-2000 Customer Equipment </w:t>
      </w:r>
      <w:r w:rsidR="007663F9" w:rsidRPr="00076E4B">
        <w:rPr>
          <w:rFonts w:ascii="Arial" w:hAnsi="Arial" w:cs="Arial"/>
        </w:rPr>
        <w:t>(</w:t>
      </w:r>
      <w:r w:rsidR="007663F9" w:rsidRPr="00076E4B">
        <w:rPr>
          <w:rFonts w:ascii="Arial" w:hAnsi="Arial" w:cs="Arial"/>
          <w:b/>
        </w:rPr>
        <w:t>the</w:t>
      </w:r>
      <w:r w:rsidR="007663F9" w:rsidRPr="00076E4B">
        <w:rPr>
          <w:rFonts w:ascii="Arial" w:hAnsi="Arial" w:cs="Arial"/>
        </w:rPr>
        <w:t xml:space="preserve"> </w:t>
      </w:r>
      <w:r w:rsidR="007663F9" w:rsidRPr="00076E4B">
        <w:rPr>
          <w:rFonts w:ascii="Arial" w:hAnsi="Arial" w:cs="Arial"/>
          <w:b/>
        </w:rPr>
        <w:t>CA Standard</w:t>
      </w:r>
      <w:r w:rsidR="007663F9" w:rsidRPr="00076E4B">
        <w:rPr>
          <w:rFonts w:ascii="Arial" w:hAnsi="Arial" w:cs="Arial"/>
        </w:rPr>
        <w:t>)</w:t>
      </w:r>
      <w:r w:rsidRPr="00076E4B">
        <w:rPr>
          <w:rFonts w:ascii="Arial" w:hAnsi="Arial" w:cs="Arial"/>
        </w:rPr>
        <w:t>.</w:t>
      </w:r>
    </w:p>
    <w:p w:rsidR="00377DBC" w:rsidRPr="00076E4B" w:rsidRDefault="00377DBC" w:rsidP="00686FEB">
      <w:pPr>
        <w:keepNext/>
        <w:spacing w:before="240" w:after="120" w:line="240" w:lineRule="atLeast"/>
        <w:rPr>
          <w:rFonts w:ascii="Arial" w:hAnsi="Arial" w:cs="Arial"/>
          <w:b/>
          <w:sz w:val="24"/>
          <w:szCs w:val="28"/>
        </w:rPr>
      </w:pPr>
      <w:r w:rsidRPr="00076E4B">
        <w:rPr>
          <w:rFonts w:ascii="Arial" w:hAnsi="Arial" w:cs="Arial"/>
          <w:b/>
          <w:sz w:val="24"/>
          <w:szCs w:val="28"/>
        </w:rPr>
        <w:t>Legislative Provisions</w:t>
      </w:r>
    </w:p>
    <w:p w:rsidR="00377DBC" w:rsidRPr="00076E4B" w:rsidRDefault="00AE41D9" w:rsidP="00686FEB">
      <w:pPr>
        <w:spacing w:line="240" w:lineRule="atLeast"/>
        <w:rPr>
          <w:rFonts w:ascii="Arial" w:hAnsi="Arial" w:cs="Arial"/>
        </w:rPr>
      </w:pPr>
      <w:r w:rsidRPr="00076E4B">
        <w:rPr>
          <w:rFonts w:ascii="Arial" w:hAnsi="Arial" w:cs="Arial"/>
        </w:rPr>
        <w:t xml:space="preserve">The </w:t>
      </w:r>
      <w:r w:rsidR="00A7352C" w:rsidRPr="00076E4B">
        <w:rPr>
          <w:rFonts w:ascii="Arial" w:hAnsi="Arial" w:cs="Arial"/>
        </w:rPr>
        <w:t xml:space="preserve">ACMA 2011 Standard </w:t>
      </w:r>
      <w:r w:rsidR="009C7795" w:rsidRPr="00076E4B">
        <w:rPr>
          <w:rFonts w:ascii="Arial" w:hAnsi="Arial" w:cs="Arial"/>
        </w:rPr>
        <w:t xml:space="preserve">is made under subsection 376(1) of the </w:t>
      </w:r>
      <w:r w:rsidR="009C7795" w:rsidRPr="00076E4B">
        <w:rPr>
          <w:rFonts w:ascii="Arial" w:hAnsi="Arial" w:cs="Arial"/>
          <w:i/>
        </w:rPr>
        <w:t>Telecommunications Act 1997</w:t>
      </w:r>
      <w:r w:rsidR="00B12315" w:rsidRPr="00076E4B">
        <w:rPr>
          <w:rFonts w:ascii="Arial" w:hAnsi="Arial" w:cs="Arial"/>
        </w:rPr>
        <w:t xml:space="preserve"> (</w:t>
      </w:r>
      <w:r w:rsidR="00B12315" w:rsidRPr="00076E4B">
        <w:rPr>
          <w:rFonts w:ascii="Arial" w:hAnsi="Arial" w:cs="Arial"/>
          <w:b/>
        </w:rPr>
        <w:t>the Act</w:t>
      </w:r>
      <w:r w:rsidR="009C7795" w:rsidRPr="00076E4B">
        <w:rPr>
          <w:rFonts w:ascii="Arial" w:hAnsi="Arial" w:cs="Arial"/>
        </w:rPr>
        <w:t xml:space="preserve">). Subsection 376(1) allows the </w:t>
      </w:r>
      <w:r w:rsidR="00304B6C" w:rsidRPr="00076E4B">
        <w:rPr>
          <w:rFonts w:ascii="Arial" w:hAnsi="Arial" w:cs="Arial"/>
        </w:rPr>
        <w:t>A</w:t>
      </w:r>
      <w:r w:rsidR="00712E45" w:rsidRPr="00076E4B">
        <w:rPr>
          <w:rFonts w:ascii="Arial" w:hAnsi="Arial" w:cs="Arial"/>
        </w:rPr>
        <w:t>ustralian Communications and Media Authority</w:t>
      </w:r>
      <w:r w:rsidR="00466614" w:rsidRPr="00076E4B">
        <w:rPr>
          <w:rFonts w:ascii="Arial" w:hAnsi="Arial" w:cs="Arial"/>
        </w:rPr>
        <w:t xml:space="preserve"> (</w:t>
      </w:r>
      <w:r w:rsidR="00466614" w:rsidRPr="00076E4B">
        <w:rPr>
          <w:rFonts w:ascii="Arial" w:hAnsi="Arial" w:cs="Arial"/>
          <w:b/>
        </w:rPr>
        <w:t>the ACMA</w:t>
      </w:r>
      <w:r w:rsidR="00466614" w:rsidRPr="00076E4B">
        <w:rPr>
          <w:rFonts w:ascii="Arial" w:hAnsi="Arial" w:cs="Arial"/>
        </w:rPr>
        <w:t>)</w:t>
      </w:r>
      <w:r w:rsidR="00712E45" w:rsidRPr="00076E4B">
        <w:rPr>
          <w:rFonts w:ascii="Arial" w:hAnsi="Arial" w:cs="Arial"/>
        </w:rPr>
        <w:t xml:space="preserve"> </w:t>
      </w:r>
      <w:r w:rsidR="009C7795" w:rsidRPr="00076E4B">
        <w:rPr>
          <w:rFonts w:ascii="Arial" w:hAnsi="Arial" w:cs="Arial"/>
        </w:rPr>
        <w:t xml:space="preserve">to make </w:t>
      </w:r>
      <w:r w:rsidR="007A1977" w:rsidRPr="00076E4B">
        <w:rPr>
          <w:rFonts w:ascii="Arial" w:hAnsi="Arial" w:cs="Arial"/>
        </w:rPr>
        <w:t xml:space="preserve">a </w:t>
      </w:r>
      <w:r w:rsidR="009C7795" w:rsidRPr="00076E4B">
        <w:rPr>
          <w:rFonts w:ascii="Arial" w:hAnsi="Arial" w:cs="Arial"/>
        </w:rPr>
        <w:t>technical standard</w:t>
      </w:r>
      <w:r w:rsidR="0061221E" w:rsidRPr="00076E4B">
        <w:rPr>
          <w:rFonts w:ascii="Arial" w:hAnsi="Arial" w:cs="Arial"/>
        </w:rPr>
        <w:t xml:space="preserve"> in the form of a written instrument</w:t>
      </w:r>
      <w:r w:rsidR="009C7795" w:rsidRPr="00076E4B">
        <w:rPr>
          <w:rFonts w:ascii="Arial" w:hAnsi="Arial" w:cs="Arial"/>
        </w:rPr>
        <w:t xml:space="preserve"> relating to specified CE</w:t>
      </w:r>
      <w:r w:rsidR="009739BA" w:rsidRPr="00076E4B">
        <w:rPr>
          <w:rFonts w:ascii="Arial" w:hAnsi="Arial" w:cs="Arial"/>
        </w:rPr>
        <w:t xml:space="preserve"> </w:t>
      </w:r>
      <w:r w:rsidR="00EA4CD3" w:rsidRPr="00076E4B">
        <w:rPr>
          <w:rFonts w:ascii="Arial" w:hAnsi="Arial" w:cs="Arial"/>
        </w:rPr>
        <w:t xml:space="preserve">or specified </w:t>
      </w:r>
      <w:r w:rsidR="007663F9" w:rsidRPr="00076E4B">
        <w:rPr>
          <w:rFonts w:ascii="Arial" w:hAnsi="Arial" w:cs="Arial"/>
        </w:rPr>
        <w:t>customer cabling (</w:t>
      </w:r>
      <w:r w:rsidR="007663F9" w:rsidRPr="00076E4B">
        <w:rPr>
          <w:rFonts w:ascii="Arial" w:hAnsi="Arial" w:cs="Arial"/>
          <w:b/>
        </w:rPr>
        <w:t>CC</w:t>
      </w:r>
      <w:r w:rsidR="007663F9" w:rsidRPr="00076E4B">
        <w:rPr>
          <w:rFonts w:ascii="Arial" w:hAnsi="Arial" w:cs="Arial"/>
        </w:rPr>
        <w:t>)</w:t>
      </w:r>
      <w:r w:rsidR="009739BA" w:rsidRPr="00076E4B">
        <w:rPr>
          <w:rFonts w:ascii="Arial" w:hAnsi="Arial" w:cs="Arial"/>
        </w:rPr>
        <w:t>.</w:t>
      </w:r>
    </w:p>
    <w:p w:rsidR="0061221E" w:rsidRPr="00076E4B" w:rsidRDefault="0061221E" w:rsidP="00686FEB">
      <w:pPr>
        <w:spacing w:line="240" w:lineRule="atLeast"/>
        <w:rPr>
          <w:rFonts w:ascii="Arial" w:hAnsi="Arial" w:cs="Arial"/>
        </w:rPr>
      </w:pPr>
      <w:r w:rsidRPr="00076E4B">
        <w:rPr>
          <w:rFonts w:ascii="Arial" w:hAnsi="Arial" w:cs="Arial"/>
        </w:rPr>
        <w:t xml:space="preserve">Subsection </w:t>
      </w:r>
      <w:r w:rsidR="00065A14" w:rsidRPr="00076E4B">
        <w:rPr>
          <w:rFonts w:ascii="Arial" w:hAnsi="Arial" w:cs="Arial"/>
        </w:rPr>
        <w:t>3</w:t>
      </w:r>
      <w:r w:rsidRPr="00076E4B">
        <w:rPr>
          <w:rFonts w:ascii="Arial" w:hAnsi="Arial" w:cs="Arial"/>
        </w:rPr>
        <w:t xml:space="preserve">76(2) </w:t>
      </w:r>
      <w:r w:rsidR="00EA4CD3" w:rsidRPr="00076E4B">
        <w:rPr>
          <w:rFonts w:ascii="Arial" w:hAnsi="Arial" w:cs="Arial"/>
        </w:rPr>
        <w:t xml:space="preserve">of the Act </w:t>
      </w:r>
      <w:r w:rsidRPr="00076E4B">
        <w:rPr>
          <w:rFonts w:ascii="Arial" w:hAnsi="Arial" w:cs="Arial"/>
        </w:rPr>
        <w:t>provides that a technical standard made under section 376 can only consist of such requirements as are necessary or convenient for:</w:t>
      </w:r>
    </w:p>
    <w:p w:rsidR="0061221E" w:rsidRPr="00076E4B" w:rsidRDefault="0061221E" w:rsidP="007D1AB1">
      <w:pPr>
        <w:pStyle w:val="ListParagraph"/>
        <w:numPr>
          <w:ilvl w:val="0"/>
          <w:numId w:val="1"/>
        </w:numPr>
        <w:rPr>
          <w:rFonts w:ascii="Arial" w:hAnsi="Arial" w:cs="Arial"/>
        </w:rPr>
      </w:pPr>
      <w:r w:rsidRPr="00076E4B">
        <w:rPr>
          <w:rFonts w:ascii="Arial" w:hAnsi="Arial" w:cs="Arial"/>
        </w:rPr>
        <w:t>protecting the integrity of a telecommunications network or a facility;</w:t>
      </w:r>
    </w:p>
    <w:p w:rsidR="0061221E" w:rsidRPr="00076E4B" w:rsidRDefault="0061221E" w:rsidP="007D1AB1">
      <w:pPr>
        <w:pStyle w:val="ListParagraph"/>
        <w:numPr>
          <w:ilvl w:val="0"/>
          <w:numId w:val="1"/>
        </w:numPr>
        <w:rPr>
          <w:rFonts w:ascii="Arial" w:hAnsi="Arial" w:cs="Arial"/>
        </w:rPr>
      </w:pPr>
      <w:r w:rsidRPr="00076E4B">
        <w:rPr>
          <w:rFonts w:ascii="Arial" w:hAnsi="Arial" w:cs="Arial"/>
        </w:rPr>
        <w:t>protecting the health or safety of persons who operate, work on, use services or are otherwise likely to be affected by the operation of</w:t>
      </w:r>
      <w:r w:rsidR="00EA4CD3" w:rsidRPr="00076E4B">
        <w:rPr>
          <w:rFonts w:ascii="Arial" w:hAnsi="Arial" w:cs="Arial"/>
        </w:rPr>
        <w:t>,</w:t>
      </w:r>
      <w:r w:rsidRPr="00076E4B">
        <w:rPr>
          <w:rFonts w:ascii="Arial" w:hAnsi="Arial" w:cs="Arial"/>
        </w:rPr>
        <w:t xml:space="preserve"> the </w:t>
      </w:r>
      <w:r w:rsidR="00EA4CD3" w:rsidRPr="00076E4B">
        <w:rPr>
          <w:rFonts w:ascii="Arial" w:hAnsi="Arial" w:cs="Arial"/>
        </w:rPr>
        <w:t xml:space="preserve">telecommunications </w:t>
      </w:r>
      <w:r w:rsidRPr="00076E4B">
        <w:rPr>
          <w:rFonts w:ascii="Arial" w:hAnsi="Arial" w:cs="Arial"/>
        </w:rPr>
        <w:t>network or facility to which the equipment or cabling is connected;</w:t>
      </w:r>
    </w:p>
    <w:p w:rsidR="0061221E" w:rsidRPr="00076E4B" w:rsidRDefault="0061221E" w:rsidP="007D1AB1">
      <w:pPr>
        <w:pStyle w:val="ListParagraph"/>
        <w:numPr>
          <w:ilvl w:val="0"/>
          <w:numId w:val="1"/>
        </w:numPr>
        <w:rPr>
          <w:rFonts w:ascii="Arial" w:hAnsi="Arial" w:cs="Arial"/>
        </w:rPr>
      </w:pPr>
      <w:r w:rsidRPr="00076E4B">
        <w:rPr>
          <w:rFonts w:ascii="Arial" w:hAnsi="Arial" w:cs="Arial"/>
        </w:rPr>
        <w:t>ensuring equipment can be used to give access to an emergency call service;</w:t>
      </w:r>
    </w:p>
    <w:p w:rsidR="0061221E" w:rsidRPr="00076E4B" w:rsidRDefault="0061221E" w:rsidP="007D1AB1">
      <w:pPr>
        <w:pStyle w:val="ListParagraph"/>
        <w:numPr>
          <w:ilvl w:val="0"/>
          <w:numId w:val="1"/>
        </w:numPr>
        <w:rPr>
          <w:rFonts w:ascii="Arial" w:hAnsi="Arial" w:cs="Arial"/>
        </w:rPr>
      </w:pPr>
      <w:r w:rsidRPr="00076E4B">
        <w:rPr>
          <w:rFonts w:ascii="Arial" w:hAnsi="Arial" w:cs="Arial"/>
        </w:rPr>
        <w:t xml:space="preserve">ensuring interoperability of equipment with a </w:t>
      </w:r>
      <w:r w:rsidR="00466614" w:rsidRPr="00076E4B">
        <w:rPr>
          <w:rFonts w:ascii="Arial" w:hAnsi="Arial" w:cs="Arial"/>
        </w:rPr>
        <w:t xml:space="preserve">telecommunications </w:t>
      </w:r>
      <w:r w:rsidRPr="00076E4B">
        <w:rPr>
          <w:rFonts w:ascii="Arial" w:hAnsi="Arial" w:cs="Arial"/>
        </w:rPr>
        <w:t xml:space="preserve">network facility used to </w:t>
      </w:r>
      <w:r w:rsidR="00466614" w:rsidRPr="00076E4B">
        <w:rPr>
          <w:rFonts w:ascii="Arial" w:hAnsi="Arial" w:cs="Arial"/>
        </w:rPr>
        <w:t xml:space="preserve">supply a </w:t>
      </w:r>
      <w:r w:rsidRPr="00076E4B">
        <w:rPr>
          <w:rFonts w:ascii="Arial" w:hAnsi="Arial" w:cs="Arial"/>
        </w:rPr>
        <w:t>standard telephone service; or</w:t>
      </w:r>
    </w:p>
    <w:p w:rsidR="0061221E" w:rsidRPr="00076E4B" w:rsidRDefault="0061221E" w:rsidP="007D1AB1">
      <w:pPr>
        <w:pStyle w:val="ListParagraph"/>
        <w:numPr>
          <w:ilvl w:val="0"/>
          <w:numId w:val="1"/>
        </w:numPr>
        <w:rPr>
          <w:rFonts w:ascii="Arial" w:hAnsi="Arial" w:cs="Arial"/>
        </w:rPr>
      </w:pPr>
      <w:r w:rsidRPr="00076E4B">
        <w:rPr>
          <w:rFonts w:ascii="Arial" w:hAnsi="Arial" w:cs="Arial"/>
        </w:rPr>
        <w:t>achieving an objective specified in the regulations (no regulations have been made to date).</w:t>
      </w:r>
    </w:p>
    <w:p w:rsidR="0061221E" w:rsidRPr="00076E4B" w:rsidRDefault="0061221E" w:rsidP="00686FEB">
      <w:pPr>
        <w:spacing w:line="240" w:lineRule="atLeast"/>
        <w:rPr>
          <w:rFonts w:ascii="Arial" w:hAnsi="Arial" w:cs="Arial"/>
        </w:rPr>
      </w:pPr>
      <w:r w:rsidRPr="00076E4B">
        <w:rPr>
          <w:rFonts w:ascii="Arial" w:hAnsi="Arial" w:cs="Arial"/>
        </w:rPr>
        <w:t xml:space="preserve">The Act provides at section 377 that in making a technical standard, the ACMA may apply, adopt or incorporate (with or without modification) any matter contained in a standard proposed or approved by </w:t>
      </w:r>
      <w:r w:rsidR="00466614" w:rsidRPr="00076E4B">
        <w:rPr>
          <w:rFonts w:ascii="Arial" w:hAnsi="Arial" w:cs="Arial"/>
        </w:rPr>
        <w:t xml:space="preserve">Standards Australia International Limited or </w:t>
      </w:r>
      <w:r w:rsidRPr="00076E4B">
        <w:rPr>
          <w:rFonts w:ascii="Arial" w:hAnsi="Arial" w:cs="Arial"/>
        </w:rPr>
        <w:t>any other body or association</w:t>
      </w:r>
      <w:r w:rsidR="004F1D50">
        <w:rPr>
          <w:rFonts w:ascii="Arial" w:hAnsi="Arial" w:cs="Arial"/>
        </w:rPr>
        <w:t>, such as CA</w:t>
      </w:r>
      <w:r w:rsidRPr="00076E4B">
        <w:rPr>
          <w:rFonts w:ascii="Arial" w:hAnsi="Arial" w:cs="Arial"/>
        </w:rPr>
        <w:t>.  The ACMA’s practice is to review, and where appropriate to adopt,</w:t>
      </w:r>
      <w:r w:rsidR="003A654E" w:rsidRPr="00076E4B">
        <w:rPr>
          <w:rFonts w:ascii="Arial" w:hAnsi="Arial" w:cs="Arial"/>
        </w:rPr>
        <w:t xml:space="preserve"> the mandatory requirements of</w:t>
      </w:r>
      <w:r w:rsidRPr="00076E4B">
        <w:rPr>
          <w:rFonts w:ascii="Arial" w:hAnsi="Arial" w:cs="Arial"/>
        </w:rPr>
        <w:t xml:space="preserve"> industry telecommunications technical standards developed by CA.</w:t>
      </w:r>
    </w:p>
    <w:p w:rsidR="00377DBC" w:rsidRPr="00076E4B" w:rsidRDefault="00377DBC" w:rsidP="00686FEB">
      <w:pPr>
        <w:spacing w:before="240" w:after="120" w:line="240" w:lineRule="atLeast"/>
        <w:rPr>
          <w:rFonts w:ascii="Arial" w:hAnsi="Arial" w:cs="Arial"/>
          <w:b/>
          <w:sz w:val="24"/>
          <w:szCs w:val="24"/>
        </w:rPr>
      </w:pPr>
      <w:r w:rsidRPr="00076E4B">
        <w:rPr>
          <w:rFonts w:ascii="Arial" w:hAnsi="Arial" w:cs="Arial"/>
          <w:b/>
          <w:sz w:val="24"/>
          <w:szCs w:val="24"/>
        </w:rPr>
        <w:t>Background</w:t>
      </w:r>
    </w:p>
    <w:p w:rsidR="00B55FBC" w:rsidRPr="00076E4B" w:rsidRDefault="009C7795" w:rsidP="005309AB">
      <w:pPr>
        <w:spacing w:line="240" w:lineRule="atLeast"/>
        <w:rPr>
          <w:rFonts w:ascii="Arial" w:hAnsi="Arial" w:cs="Arial"/>
        </w:rPr>
      </w:pPr>
      <w:r w:rsidRPr="00076E4B">
        <w:rPr>
          <w:rFonts w:ascii="Arial" w:hAnsi="Arial" w:cs="Arial"/>
        </w:rPr>
        <w:t xml:space="preserve">The telecommunications regulatory arrangements require each supplier </w:t>
      </w:r>
      <w:r w:rsidR="00B55FBC" w:rsidRPr="00076E4B">
        <w:rPr>
          <w:rFonts w:ascii="Arial" w:hAnsi="Arial" w:cs="Arial"/>
        </w:rPr>
        <w:t xml:space="preserve">of an item of CE or CC that falls within the scope of an applicable standard </w:t>
      </w:r>
      <w:r w:rsidRPr="00076E4B">
        <w:rPr>
          <w:rFonts w:ascii="Arial" w:hAnsi="Arial" w:cs="Arial"/>
        </w:rPr>
        <w:t xml:space="preserve">to apply a compliance label to </w:t>
      </w:r>
      <w:r w:rsidR="00B55FBC" w:rsidRPr="00076E4B">
        <w:rPr>
          <w:rFonts w:ascii="Arial" w:hAnsi="Arial" w:cs="Arial"/>
        </w:rPr>
        <w:t xml:space="preserve">the </w:t>
      </w:r>
      <w:r w:rsidR="00B55FBC" w:rsidRPr="00076E4B">
        <w:rPr>
          <w:rFonts w:ascii="Arial" w:hAnsi="Arial" w:cs="Arial"/>
        </w:rPr>
        <w:lastRenderedPageBreak/>
        <w:t>item</w:t>
      </w:r>
      <w:r w:rsidRPr="00076E4B">
        <w:rPr>
          <w:rFonts w:ascii="Arial" w:hAnsi="Arial" w:cs="Arial"/>
        </w:rPr>
        <w:t xml:space="preserve"> prior to supply to the market</w:t>
      </w:r>
      <w:r w:rsidR="00B55FBC" w:rsidRPr="00076E4B">
        <w:rPr>
          <w:rFonts w:ascii="Arial" w:hAnsi="Arial" w:cs="Arial"/>
        </w:rPr>
        <w:t xml:space="preserve"> and to keep prescribed records</w:t>
      </w:r>
      <w:r w:rsidRPr="00076E4B">
        <w:rPr>
          <w:rFonts w:ascii="Arial" w:hAnsi="Arial" w:cs="Arial"/>
        </w:rPr>
        <w:t>.</w:t>
      </w:r>
      <w:r w:rsidR="00C13DB5" w:rsidRPr="00076E4B">
        <w:rPr>
          <w:rFonts w:ascii="Arial" w:hAnsi="Arial" w:cs="Arial"/>
        </w:rPr>
        <w:t xml:space="preserve"> </w:t>
      </w:r>
      <w:r w:rsidRPr="00076E4B">
        <w:rPr>
          <w:rFonts w:ascii="Arial" w:hAnsi="Arial" w:cs="Arial"/>
        </w:rPr>
        <w:t>Compliance is determined against technical standards made under section 376 of the Act</w:t>
      </w:r>
      <w:r w:rsidR="00B55FBC" w:rsidRPr="00076E4B">
        <w:rPr>
          <w:rFonts w:ascii="Arial" w:hAnsi="Arial" w:cs="Arial"/>
        </w:rPr>
        <w:t>.</w:t>
      </w:r>
    </w:p>
    <w:p w:rsidR="00377DBC" w:rsidRPr="00076E4B" w:rsidRDefault="00B55FBC" w:rsidP="005309AB">
      <w:pPr>
        <w:spacing w:line="240" w:lineRule="atLeast"/>
        <w:rPr>
          <w:rFonts w:ascii="Arial" w:hAnsi="Arial" w:cs="Arial"/>
        </w:rPr>
      </w:pPr>
      <w:r w:rsidRPr="00076E4B">
        <w:rPr>
          <w:rFonts w:ascii="Arial" w:hAnsi="Arial" w:cs="Arial"/>
        </w:rPr>
        <w:t>T</w:t>
      </w:r>
      <w:r w:rsidR="009C7795" w:rsidRPr="00076E4B">
        <w:rPr>
          <w:rFonts w:ascii="Arial" w:hAnsi="Arial" w:cs="Arial"/>
        </w:rPr>
        <w:t xml:space="preserve">he </w:t>
      </w:r>
      <w:r w:rsidR="009C7795" w:rsidRPr="00076E4B">
        <w:rPr>
          <w:rFonts w:ascii="Arial" w:hAnsi="Arial" w:cs="Arial"/>
          <w:i/>
        </w:rPr>
        <w:t>Telecommunications Labelling (Customer Equipment and Customer Cabling) Notice 2001</w:t>
      </w:r>
      <w:r w:rsidR="00B12315" w:rsidRPr="00076E4B">
        <w:rPr>
          <w:rFonts w:ascii="Arial" w:hAnsi="Arial" w:cs="Arial"/>
        </w:rPr>
        <w:t xml:space="preserve"> (</w:t>
      </w:r>
      <w:r w:rsidR="009C7795" w:rsidRPr="00076E4B">
        <w:rPr>
          <w:rFonts w:ascii="Arial" w:hAnsi="Arial" w:cs="Arial"/>
          <w:b/>
        </w:rPr>
        <w:t xml:space="preserve">the </w:t>
      </w:r>
      <w:r w:rsidR="0083036F" w:rsidRPr="00076E4B">
        <w:rPr>
          <w:rFonts w:ascii="Arial" w:hAnsi="Arial" w:cs="Arial"/>
          <w:b/>
        </w:rPr>
        <w:t>TLN</w:t>
      </w:r>
      <w:r w:rsidR="009C7795" w:rsidRPr="00076E4B">
        <w:rPr>
          <w:rFonts w:ascii="Arial" w:hAnsi="Arial" w:cs="Arial"/>
        </w:rPr>
        <w:t>)</w:t>
      </w:r>
      <w:r w:rsidRPr="00076E4B">
        <w:rPr>
          <w:rFonts w:ascii="Arial" w:hAnsi="Arial" w:cs="Arial"/>
        </w:rPr>
        <w:t xml:space="preserve"> made under section 407 of the Act, lists those standards and applies labelling and record keeping </w:t>
      </w:r>
      <w:r w:rsidR="00065A14" w:rsidRPr="00076E4B">
        <w:rPr>
          <w:rFonts w:ascii="Arial" w:hAnsi="Arial" w:cs="Arial"/>
        </w:rPr>
        <w:t>requirements</w:t>
      </w:r>
      <w:r w:rsidRPr="00076E4B">
        <w:rPr>
          <w:rFonts w:ascii="Arial" w:hAnsi="Arial" w:cs="Arial"/>
        </w:rPr>
        <w:t xml:space="preserve"> in relation to items of CE and CC covered by a listed standard. </w:t>
      </w:r>
      <w:r w:rsidR="009C7795" w:rsidRPr="00076E4B">
        <w:rPr>
          <w:rFonts w:ascii="Arial" w:hAnsi="Arial" w:cs="Arial"/>
        </w:rPr>
        <w:t xml:space="preserve">The </w:t>
      </w:r>
      <w:r w:rsidR="0083036F" w:rsidRPr="00076E4B">
        <w:rPr>
          <w:rFonts w:ascii="Arial" w:hAnsi="Arial" w:cs="Arial"/>
        </w:rPr>
        <w:t>TLN</w:t>
      </w:r>
      <w:r w:rsidR="009C7795" w:rsidRPr="00076E4B">
        <w:rPr>
          <w:rFonts w:ascii="Arial" w:hAnsi="Arial" w:cs="Arial"/>
        </w:rPr>
        <w:t xml:space="preserve"> makes i</w:t>
      </w:r>
      <w:r w:rsidR="009A0B17" w:rsidRPr="00076E4B">
        <w:rPr>
          <w:rFonts w:ascii="Arial" w:hAnsi="Arial" w:cs="Arial"/>
        </w:rPr>
        <w:t>t mandatory for a supplier of</w:t>
      </w:r>
      <w:r w:rsidR="00A71BD5" w:rsidRPr="00076E4B">
        <w:rPr>
          <w:rFonts w:ascii="Arial" w:hAnsi="Arial" w:cs="Arial"/>
        </w:rPr>
        <w:t xml:space="preserve"> certain</w:t>
      </w:r>
      <w:r w:rsidR="009A0B17" w:rsidRPr="00076E4B">
        <w:rPr>
          <w:rFonts w:ascii="Arial" w:hAnsi="Arial" w:cs="Arial"/>
        </w:rPr>
        <w:t xml:space="preserve"> </w:t>
      </w:r>
      <w:r w:rsidR="007663F9" w:rsidRPr="00076E4B">
        <w:rPr>
          <w:rFonts w:ascii="Arial" w:hAnsi="Arial" w:cs="Arial"/>
        </w:rPr>
        <w:t>CE</w:t>
      </w:r>
      <w:r w:rsidR="009C7795" w:rsidRPr="00076E4B">
        <w:rPr>
          <w:rFonts w:ascii="Arial" w:hAnsi="Arial" w:cs="Arial"/>
        </w:rPr>
        <w:t xml:space="preserve"> to comply with </w:t>
      </w:r>
      <w:r w:rsidR="004F1D50">
        <w:rPr>
          <w:rFonts w:ascii="Arial" w:hAnsi="Arial" w:cs="Arial"/>
        </w:rPr>
        <w:t>applicable s</w:t>
      </w:r>
      <w:r w:rsidR="009C7795" w:rsidRPr="00076E4B">
        <w:rPr>
          <w:rFonts w:ascii="Arial" w:hAnsi="Arial" w:cs="Arial"/>
        </w:rPr>
        <w:t>tandard</w:t>
      </w:r>
      <w:r w:rsidR="004F1D50">
        <w:rPr>
          <w:rFonts w:ascii="Arial" w:hAnsi="Arial" w:cs="Arial"/>
        </w:rPr>
        <w:t>s</w:t>
      </w:r>
      <w:r w:rsidR="00712E45" w:rsidRPr="00076E4B">
        <w:rPr>
          <w:rFonts w:ascii="Arial" w:hAnsi="Arial" w:cs="Arial"/>
        </w:rPr>
        <w:t xml:space="preserve"> before affixing a label to their product</w:t>
      </w:r>
      <w:r w:rsidR="009C7795" w:rsidRPr="00076E4B">
        <w:rPr>
          <w:rFonts w:ascii="Arial" w:hAnsi="Arial" w:cs="Arial"/>
        </w:rPr>
        <w:t>.</w:t>
      </w:r>
    </w:p>
    <w:p w:rsidR="00906A8E" w:rsidRPr="00076E4B" w:rsidRDefault="00227FD0" w:rsidP="005309AB">
      <w:pPr>
        <w:spacing w:line="240" w:lineRule="atLeast"/>
        <w:rPr>
          <w:rFonts w:ascii="Arial" w:hAnsi="Arial" w:cs="Arial"/>
        </w:rPr>
      </w:pPr>
      <w:r w:rsidRPr="00076E4B">
        <w:rPr>
          <w:rFonts w:ascii="Arial" w:hAnsi="Arial" w:cs="Arial"/>
        </w:rPr>
        <w:t>The ACMA routinely makes standards under section 376 of the Act adopting</w:t>
      </w:r>
      <w:r w:rsidR="003A654E" w:rsidRPr="00076E4B">
        <w:rPr>
          <w:rFonts w:ascii="Arial" w:hAnsi="Arial" w:cs="Arial"/>
        </w:rPr>
        <w:t xml:space="preserve"> mandatory</w:t>
      </w:r>
      <w:r w:rsidRPr="00076E4B">
        <w:rPr>
          <w:rFonts w:ascii="Arial" w:hAnsi="Arial" w:cs="Arial"/>
        </w:rPr>
        <w:t xml:space="preserve"> technical requirements contained in industry standards made by CA. The CA Standard adopted in the </w:t>
      </w:r>
      <w:r w:rsidR="00A7352C" w:rsidRPr="00076E4B">
        <w:rPr>
          <w:rFonts w:ascii="Arial" w:hAnsi="Arial" w:cs="Arial"/>
        </w:rPr>
        <w:t xml:space="preserve">ACMA 2011 Standard </w:t>
      </w:r>
      <w:r w:rsidRPr="00076E4B">
        <w:rPr>
          <w:rFonts w:ascii="Arial" w:hAnsi="Arial" w:cs="Arial"/>
        </w:rPr>
        <w:t xml:space="preserve">arose out of a </w:t>
      </w:r>
      <w:r w:rsidR="00BF0499">
        <w:rPr>
          <w:rFonts w:ascii="Arial" w:hAnsi="Arial" w:cs="Arial"/>
        </w:rPr>
        <w:t>review</w:t>
      </w:r>
      <w:r w:rsidR="00906A8E" w:rsidRPr="00076E4B">
        <w:rPr>
          <w:rFonts w:ascii="Arial" w:hAnsi="Arial" w:cs="Arial"/>
        </w:rPr>
        <w:t xml:space="preserve"> of the compliance arrangements for CE </w:t>
      </w:r>
      <w:r w:rsidR="002D13C7">
        <w:rPr>
          <w:rFonts w:ascii="Arial" w:hAnsi="Arial" w:cs="Arial"/>
        </w:rPr>
        <w:t xml:space="preserve">to which IMT-2000 applies </w:t>
      </w:r>
      <w:r w:rsidR="00906A8E" w:rsidRPr="00076E4B">
        <w:rPr>
          <w:rFonts w:ascii="Arial" w:hAnsi="Arial" w:cs="Arial"/>
        </w:rPr>
        <w:t>in Australia by the CA Customer Equipment and Cable Reference Panel (</w:t>
      </w:r>
      <w:r w:rsidR="00906A8E" w:rsidRPr="00076E4B">
        <w:rPr>
          <w:rFonts w:ascii="Arial" w:hAnsi="Arial" w:cs="Arial"/>
          <w:b/>
        </w:rPr>
        <w:t>CECRP</w:t>
      </w:r>
      <w:r w:rsidR="00906A8E" w:rsidRPr="00076E4B">
        <w:rPr>
          <w:rFonts w:ascii="Arial" w:hAnsi="Arial" w:cs="Arial"/>
        </w:rPr>
        <w:t xml:space="preserve">). </w:t>
      </w:r>
    </w:p>
    <w:p w:rsidR="00906A8E" w:rsidRPr="00076E4B" w:rsidRDefault="00906A8E" w:rsidP="005309AB">
      <w:pPr>
        <w:spacing w:line="240" w:lineRule="atLeast"/>
        <w:rPr>
          <w:rFonts w:ascii="CenturyGothic" w:hAnsi="CenturyGothic" w:cs="CenturyGothic"/>
          <w:lang w:eastAsia="en-AU"/>
        </w:rPr>
      </w:pPr>
      <w:r w:rsidRPr="00076E4B">
        <w:rPr>
          <w:rFonts w:ascii="Arial" w:hAnsi="Arial" w:cs="Arial"/>
        </w:rPr>
        <w:t xml:space="preserve">This </w:t>
      </w:r>
      <w:r w:rsidR="00BF0499">
        <w:rPr>
          <w:rFonts w:ascii="Arial" w:hAnsi="Arial" w:cs="Arial"/>
        </w:rPr>
        <w:t>review</w:t>
      </w:r>
      <w:r w:rsidRPr="00076E4B">
        <w:rPr>
          <w:rFonts w:ascii="Arial" w:hAnsi="Arial" w:cs="Arial"/>
        </w:rPr>
        <w:t xml:space="preserve"> identified the need for the development of a technical standard for CE</w:t>
      </w:r>
      <w:r w:rsidR="005973BD">
        <w:rPr>
          <w:rFonts w:ascii="Arial" w:hAnsi="Arial" w:cs="Arial"/>
        </w:rPr>
        <w:t xml:space="preserve"> to which IMT-2000 applies</w:t>
      </w:r>
      <w:r w:rsidRPr="00076E4B">
        <w:rPr>
          <w:rFonts w:ascii="Arial" w:hAnsi="Arial" w:cs="Arial"/>
        </w:rPr>
        <w:t xml:space="preserve"> in Australia to replace the </w:t>
      </w:r>
      <w:r w:rsidR="005309AB" w:rsidRPr="00076E4B">
        <w:rPr>
          <w:rFonts w:ascii="Arial" w:hAnsi="Arial" w:cs="Arial"/>
        </w:rPr>
        <w:t>existing</w:t>
      </w:r>
      <w:r w:rsidRPr="00076E4B">
        <w:rPr>
          <w:rFonts w:ascii="Arial" w:hAnsi="Arial" w:cs="Arial"/>
        </w:rPr>
        <w:t xml:space="preserve"> arrangements which require</w:t>
      </w:r>
      <w:r w:rsidR="005309AB" w:rsidRPr="00076E4B">
        <w:rPr>
          <w:rFonts w:ascii="Arial" w:hAnsi="Arial" w:cs="Arial"/>
        </w:rPr>
        <w:t>d</w:t>
      </w:r>
      <w:r w:rsidRPr="00076E4B">
        <w:rPr>
          <w:rFonts w:ascii="Arial" w:hAnsi="Arial" w:cs="Arial"/>
        </w:rPr>
        <w:t xml:space="preserve"> </w:t>
      </w:r>
      <w:r w:rsidR="006B523E" w:rsidRPr="00076E4B">
        <w:rPr>
          <w:rFonts w:ascii="Arial" w:hAnsi="Arial" w:cs="Arial"/>
        </w:rPr>
        <w:t xml:space="preserve">suppliers to obtain </w:t>
      </w:r>
      <w:r w:rsidRPr="00076E4B">
        <w:rPr>
          <w:rFonts w:ascii="Arial" w:hAnsi="Arial" w:cs="Arial"/>
        </w:rPr>
        <w:t>written permission from the manager of a carrier network or facility</w:t>
      </w:r>
      <w:r w:rsidR="006B523E" w:rsidRPr="00076E4B">
        <w:rPr>
          <w:rFonts w:ascii="Arial" w:hAnsi="Arial" w:cs="Arial"/>
        </w:rPr>
        <w:t xml:space="preserve"> to connect CE to that network or facility</w:t>
      </w:r>
      <w:r w:rsidRPr="00076E4B">
        <w:rPr>
          <w:rFonts w:ascii="Arial" w:hAnsi="Arial" w:cs="Arial"/>
        </w:rPr>
        <w:t xml:space="preserve">. The CA </w:t>
      </w:r>
      <w:r w:rsidRPr="00076E4B">
        <w:rPr>
          <w:rFonts w:ascii="CenturyGothic" w:hAnsi="CenturyGothic" w:cs="CenturyGothic"/>
          <w:lang w:eastAsia="en-AU"/>
        </w:rPr>
        <w:t>Standard is based on relevant international standards.</w:t>
      </w:r>
    </w:p>
    <w:p w:rsidR="0056278D" w:rsidRPr="00076E4B" w:rsidRDefault="00377DBC" w:rsidP="00686FEB">
      <w:pPr>
        <w:pStyle w:val="ListParagraph"/>
        <w:spacing w:before="240" w:after="120" w:line="240" w:lineRule="atLeast"/>
        <w:ind w:left="0"/>
        <w:rPr>
          <w:rFonts w:ascii="Arial" w:hAnsi="Arial" w:cs="Arial"/>
          <w:b/>
          <w:sz w:val="24"/>
          <w:szCs w:val="24"/>
        </w:rPr>
      </w:pPr>
      <w:r w:rsidRPr="00076E4B">
        <w:rPr>
          <w:rFonts w:ascii="Arial" w:hAnsi="Arial" w:cs="Arial"/>
          <w:b/>
          <w:sz w:val="24"/>
          <w:szCs w:val="24"/>
        </w:rPr>
        <w:t>Operation</w:t>
      </w:r>
    </w:p>
    <w:p w:rsidR="007663F9" w:rsidRPr="00076E4B" w:rsidRDefault="00BB0D8C" w:rsidP="00E953E8">
      <w:pPr>
        <w:spacing w:line="240" w:lineRule="atLeast"/>
        <w:rPr>
          <w:rFonts w:ascii="Arial" w:hAnsi="Arial" w:cs="Arial"/>
        </w:rPr>
      </w:pPr>
      <w:r w:rsidRPr="00076E4B">
        <w:rPr>
          <w:rFonts w:ascii="Arial" w:hAnsi="Arial" w:cs="Arial"/>
        </w:rPr>
        <w:t xml:space="preserve">The </w:t>
      </w:r>
      <w:r w:rsidR="005D0BAF" w:rsidRPr="00076E4B">
        <w:rPr>
          <w:rFonts w:ascii="Arial" w:hAnsi="Arial" w:cs="Arial"/>
        </w:rPr>
        <w:t>ACMA</w:t>
      </w:r>
      <w:r w:rsidR="00FB4FD3" w:rsidRPr="00076E4B">
        <w:rPr>
          <w:rFonts w:ascii="Arial" w:hAnsi="Arial" w:cs="Arial"/>
        </w:rPr>
        <w:t xml:space="preserve"> </w:t>
      </w:r>
      <w:r w:rsidR="00466614" w:rsidRPr="00076E4B">
        <w:rPr>
          <w:rFonts w:ascii="Arial" w:hAnsi="Arial" w:cs="Arial"/>
        </w:rPr>
        <w:t xml:space="preserve">2011 </w:t>
      </w:r>
      <w:r w:rsidRPr="00076E4B">
        <w:rPr>
          <w:rFonts w:ascii="Arial" w:hAnsi="Arial" w:cs="Arial"/>
        </w:rPr>
        <w:t>Standard</w:t>
      </w:r>
      <w:r w:rsidR="00A7352C" w:rsidRPr="00076E4B">
        <w:rPr>
          <w:rFonts w:ascii="Arial" w:hAnsi="Arial" w:cs="Arial"/>
        </w:rPr>
        <w:t xml:space="preserve"> </w:t>
      </w:r>
      <w:r w:rsidR="00466614" w:rsidRPr="00076E4B">
        <w:rPr>
          <w:rFonts w:ascii="Arial" w:hAnsi="Arial" w:cs="Arial"/>
        </w:rPr>
        <w:t xml:space="preserve">adopts </w:t>
      </w:r>
      <w:r w:rsidR="00A7352C" w:rsidRPr="00076E4B">
        <w:rPr>
          <w:rFonts w:ascii="Arial" w:hAnsi="Arial" w:cs="Arial"/>
        </w:rPr>
        <w:t xml:space="preserve">the mandatory requirements of the CA Standard </w:t>
      </w:r>
      <w:r w:rsidR="00825491" w:rsidRPr="00076E4B">
        <w:rPr>
          <w:rFonts w:ascii="Arial" w:hAnsi="Arial" w:cs="Arial"/>
        </w:rPr>
        <w:t>prescribing the technical requirements for C</w:t>
      </w:r>
      <w:r w:rsidR="007663F9" w:rsidRPr="00076E4B">
        <w:rPr>
          <w:rFonts w:ascii="Arial" w:hAnsi="Arial" w:cs="Arial"/>
        </w:rPr>
        <w:t>E</w:t>
      </w:r>
      <w:r w:rsidR="00825491" w:rsidRPr="00076E4B">
        <w:rPr>
          <w:rFonts w:ascii="Arial" w:hAnsi="Arial" w:cs="Arial"/>
        </w:rPr>
        <w:t xml:space="preserve"> </w:t>
      </w:r>
      <w:r w:rsidR="007663F9" w:rsidRPr="00076E4B">
        <w:rPr>
          <w:rFonts w:ascii="Arial" w:hAnsi="Arial" w:cs="Arial"/>
        </w:rPr>
        <w:t>for connection</w:t>
      </w:r>
      <w:r w:rsidR="00E258A9" w:rsidRPr="00076E4B">
        <w:rPr>
          <w:rFonts w:ascii="Arial" w:hAnsi="Arial" w:cs="Arial"/>
        </w:rPr>
        <w:t xml:space="preserve"> to </w:t>
      </w:r>
      <w:r w:rsidR="005309AB" w:rsidRPr="00076E4B">
        <w:rPr>
          <w:rFonts w:ascii="Arial" w:hAnsi="Arial" w:cs="Arial"/>
        </w:rPr>
        <w:t>an IMT-2000</w:t>
      </w:r>
      <w:r w:rsidR="00933314" w:rsidRPr="00076E4B">
        <w:rPr>
          <w:rFonts w:ascii="Arial" w:hAnsi="Arial" w:cs="Arial"/>
        </w:rPr>
        <w:t xml:space="preserve"> </w:t>
      </w:r>
      <w:r w:rsidR="005309AB" w:rsidRPr="00076E4B">
        <w:rPr>
          <w:rFonts w:ascii="Arial" w:hAnsi="Arial" w:cs="Arial"/>
        </w:rPr>
        <w:t>(commonly known as “3G”) public mobile telecommunications service (</w:t>
      </w:r>
      <w:r w:rsidR="005309AB" w:rsidRPr="00076E4B">
        <w:rPr>
          <w:rFonts w:ascii="Arial" w:hAnsi="Arial" w:cs="Arial"/>
          <w:b/>
        </w:rPr>
        <w:t>PMTS</w:t>
      </w:r>
      <w:r w:rsidR="005309AB" w:rsidRPr="00076E4B">
        <w:rPr>
          <w:rFonts w:ascii="Arial" w:hAnsi="Arial" w:cs="Arial"/>
        </w:rPr>
        <w:t>)</w:t>
      </w:r>
      <w:r w:rsidR="007663F9" w:rsidRPr="00076E4B">
        <w:rPr>
          <w:rFonts w:ascii="Arial" w:hAnsi="Arial" w:cs="Arial"/>
        </w:rPr>
        <w:t>.</w:t>
      </w:r>
      <w:r w:rsidR="00933314" w:rsidRPr="00076E4B">
        <w:rPr>
          <w:rFonts w:ascii="Arial" w:hAnsi="Arial" w:cs="Arial"/>
        </w:rPr>
        <w:t xml:space="preserve"> </w:t>
      </w:r>
    </w:p>
    <w:p w:rsidR="00E953E8" w:rsidRPr="00076E4B" w:rsidRDefault="00A7352C" w:rsidP="00E953E8">
      <w:pPr>
        <w:spacing w:line="240" w:lineRule="atLeast"/>
        <w:rPr>
          <w:rFonts w:ascii="Arial" w:hAnsi="Arial" w:cs="Arial"/>
        </w:rPr>
      </w:pPr>
      <w:r w:rsidRPr="00076E4B">
        <w:rPr>
          <w:rFonts w:ascii="Arial" w:hAnsi="Arial" w:cs="Arial"/>
        </w:rPr>
        <w:t xml:space="preserve">Once referenced </w:t>
      </w:r>
      <w:r w:rsidR="00BB0D8C" w:rsidRPr="00076E4B">
        <w:rPr>
          <w:rFonts w:ascii="Arial" w:hAnsi="Arial" w:cs="Arial"/>
        </w:rPr>
        <w:t xml:space="preserve">in the </w:t>
      </w:r>
      <w:r w:rsidR="0083036F" w:rsidRPr="00076E4B">
        <w:rPr>
          <w:rFonts w:ascii="Arial" w:hAnsi="Arial" w:cs="Arial"/>
        </w:rPr>
        <w:t>TLN</w:t>
      </w:r>
      <w:r w:rsidR="0061221E" w:rsidRPr="00076E4B">
        <w:rPr>
          <w:rFonts w:ascii="Arial" w:hAnsi="Arial" w:cs="Arial"/>
        </w:rPr>
        <w:t>,</w:t>
      </w:r>
      <w:r w:rsidR="00940B62" w:rsidRPr="00076E4B">
        <w:rPr>
          <w:rFonts w:ascii="Arial" w:hAnsi="Arial" w:cs="Arial"/>
        </w:rPr>
        <w:t xml:space="preserve"> </w:t>
      </w:r>
      <w:r w:rsidR="004F1D50">
        <w:rPr>
          <w:rFonts w:ascii="Arial" w:hAnsi="Arial" w:cs="Arial"/>
        </w:rPr>
        <w:t xml:space="preserve">and </w:t>
      </w:r>
      <w:r w:rsidR="004F1D50" w:rsidRPr="00076E4B">
        <w:rPr>
          <w:rFonts w:ascii="Arial" w:hAnsi="Arial" w:cs="Arial"/>
        </w:rPr>
        <w:t>following a phase-in period of 12 months</w:t>
      </w:r>
      <w:r w:rsidR="002D13C7">
        <w:rPr>
          <w:rFonts w:ascii="Arial" w:hAnsi="Arial" w:cs="Arial"/>
        </w:rPr>
        <w:t xml:space="preserve"> provided for in the TLN</w:t>
      </w:r>
      <w:r w:rsidR="005973BD">
        <w:rPr>
          <w:rFonts w:ascii="Arial" w:hAnsi="Arial" w:cs="Arial"/>
        </w:rPr>
        <w:t xml:space="preserve"> (</w:t>
      </w:r>
      <w:r w:rsidR="005973BD" w:rsidRPr="005973BD">
        <w:rPr>
          <w:rFonts w:ascii="Arial" w:hAnsi="Arial" w:cs="Arial"/>
          <w:b/>
        </w:rPr>
        <w:t>the phase-in period</w:t>
      </w:r>
      <w:r w:rsidR="005973BD">
        <w:rPr>
          <w:rFonts w:ascii="Arial" w:hAnsi="Arial" w:cs="Arial"/>
        </w:rPr>
        <w:t>)</w:t>
      </w:r>
      <w:r w:rsidR="004F1D50">
        <w:rPr>
          <w:rFonts w:ascii="Arial" w:hAnsi="Arial" w:cs="Arial"/>
        </w:rPr>
        <w:t>,</w:t>
      </w:r>
      <w:r w:rsidR="004F1D50" w:rsidRPr="00076E4B">
        <w:rPr>
          <w:rFonts w:ascii="Arial" w:hAnsi="Arial" w:cs="Arial"/>
        </w:rPr>
        <w:t xml:space="preserve"> </w:t>
      </w:r>
      <w:r w:rsidRPr="00076E4B">
        <w:rPr>
          <w:rFonts w:ascii="Arial" w:hAnsi="Arial" w:cs="Arial"/>
        </w:rPr>
        <w:t xml:space="preserve">the ACMA 2011 Standard </w:t>
      </w:r>
      <w:r w:rsidR="005309AB" w:rsidRPr="00076E4B">
        <w:rPr>
          <w:rFonts w:ascii="Arial" w:hAnsi="Arial" w:cs="Arial"/>
        </w:rPr>
        <w:t xml:space="preserve">will become the standard to be met in order to apply a compliance label to items of CE </w:t>
      </w:r>
      <w:r w:rsidR="005973BD">
        <w:rPr>
          <w:rFonts w:ascii="Arial" w:hAnsi="Arial" w:cs="Arial"/>
        </w:rPr>
        <w:t>to which IMT-2000 applies (</w:t>
      </w:r>
      <w:r w:rsidR="005973BD" w:rsidRPr="00BB70E7">
        <w:rPr>
          <w:rFonts w:ascii="Arial" w:hAnsi="Arial" w:cs="Arial"/>
          <w:b/>
        </w:rPr>
        <w:t>t</w:t>
      </w:r>
      <w:r w:rsidR="005973BD" w:rsidRPr="005973BD">
        <w:rPr>
          <w:rFonts w:ascii="Arial" w:hAnsi="Arial" w:cs="Arial"/>
          <w:b/>
        </w:rPr>
        <w:t>he relevant CE</w:t>
      </w:r>
      <w:r w:rsidR="005973BD">
        <w:rPr>
          <w:rFonts w:ascii="Arial" w:hAnsi="Arial" w:cs="Arial"/>
        </w:rPr>
        <w:t>)</w:t>
      </w:r>
      <w:r w:rsidR="00825491" w:rsidRPr="00076E4B">
        <w:rPr>
          <w:rFonts w:ascii="Arial" w:hAnsi="Arial" w:cs="Arial"/>
        </w:rPr>
        <w:t>.</w:t>
      </w:r>
      <w:r w:rsidR="00D03115" w:rsidRPr="00076E4B">
        <w:rPr>
          <w:rFonts w:ascii="Arial" w:hAnsi="Arial" w:cs="Arial"/>
        </w:rPr>
        <w:t xml:space="preserve"> </w:t>
      </w:r>
    </w:p>
    <w:p w:rsidR="00E953E8" w:rsidRPr="00076E4B" w:rsidRDefault="00E953E8" w:rsidP="00E953E8">
      <w:pPr>
        <w:spacing w:line="240" w:lineRule="atLeast"/>
        <w:rPr>
          <w:rFonts w:ascii="Arial" w:hAnsi="Arial" w:cs="Arial"/>
        </w:rPr>
      </w:pPr>
      <w:r w:rsidRPr="00076E4B">
        <w:rPr>
          <w:rFonts w:ascii="Arial" w:hAnsi="Arial" w:cs="Arial"/>
        </w:rPr>
        <w:t xml:space="preserve">During the </w:t>
      </w:r>
      <w:r w:rsidR="00BF0499">
        <w:rPr>
          <w:rFonts w:ascii="Arial" w:hAnsi="Arial" w:cs="Arial"/>
        </w:rPr>
        <w:t>phase-in</w:t>
      </w:r>
      <w:r w:rsidRPr="00076E4B">
        <w:rPr>
          <w:rFonts w:ascii="Arial" w:hAnsi="Arial" w:cs="Arial"/>
        </w:rPr>
        <w:t xml:space="preserve"> period the</w:t>
      </w:r>
      <w:r w:rsidR="005973BD">
        <w:rPr>
          <w:rFonts w:ascii="Arial" w:hAnsi="Arial" w:cs="Arial"/>
        </w:rPr>
        <w:t xml:space="preserve"> TLN requires that the relevant CE comply with either the</w:t>
      </w:r>
      <w:r w:rsidRPr="00076E4B">
        <w:rPr>
          <w:rFonts w:ascii="Arial" w:hAnsi="Arial" w:cs="Arial"/>
        </w:rPr>
        <w:t xml:space="preserve"> ACMA 2011 Standard </w:t>
      </w:r>
      <w:r w:rsidR="005973BD">
        <w:rPr>
          <w:rFonts w:ascii="Arial" w:hAnsi="Arial" w:cs="Arial"/>
        </w:rPr>
        <w:t xml:space="preserve">or the </w:t>
      </w:r>
      <w:r w:rsidRPr="00076E4B">
        <w:rPr>
          <w:rFonts w:ascii="Arial" w:hAnsi="Arial" w:cs="Arial"/>
        </w:rPr>
        <w:t xml:space="preserve">requirements set out at </w:t>
      </w:r>
      <w:r w:rsidR="005973BD">
        <w:rPr>
          <w:rFonts w:ascii="Arial" w:hAnsi="Arial" w:cs="Arial"/>
        </w:rPr>
        <w:t xml:space="preserve">section 4.9A </w:t>
      </w:r>
      <w:r w:rsidRPr="00076E4B">
        <w:rPr>
          <w:rFonts w:ascii="Arial" w:hAnsi="Arial" w:cs="Arial"/>
        </w:rPr>
        <w:t xml:space="preserve">of the TLN. After the phase-in period ends, the requirements set out at </w:t>
      </w:r>
      <w:r w:rsidR="005973BD">
        <w:rPr>
          <w:rFonts w:ascii="Arial" w:hAnsi="Arial" w:cs="Arial"/>
        </w:rPr>
        <w:t xml:space="preserve">section 4.9A </w:t>
      </w:r>
      <w:r w:rsidRPr="00076E4B">
        <w:rPr>
          <w:rFonts w:ascii="Arial" w:hAnsi="Arial" w:cs="Arial"/>
        </w:rPr>
        <w:t>of the TLN will cease to apply</w:t>
      </w:r>
      <w:r w:rsidR="005973BD">
        <w:rPr>
          <w:rFonts w:ascii="Arial" w:hAnsi="Arial" w:cs="Arial"/>
        </w:rPr>
        <w:t>,</w:t>
      </w:r>
      <w:r w:rsidRPr="00076E4B">
        <w:rPr>
          <w:rFonts w:ascii="Arial" w:hAnsi="Arial" w:cs="Arial"/>
        </w:rPr>
        <w:t xml:space="preserve"> and a supplier will be required to declare compliance with the ACMA 2011 Standard before affixing a compliance label to</w:t>
      </w:r>
      <w:r w:rsidR="005973BD">
        <w:rPr>
          <w:rFonts w:ascii="Arial" w:hAnsi="Arial" w:cs="Arial"/>
        </w:rPr>
        <w:t xml:space="preserve"> the relevant</w:t>
      </w:r>
      <w:r w:rsidRPr="00076E4B">
        <w:rPr>
          <w:rFonts w:ascii="Arial" w:hAnsi="Arial" w:cs="Arial"/>
        </w:rPr>
        <w:t xml:space="preserve"> CE.</w:t>
      </w:r>
    </w:p>
    <w:p w:rsidR="00377DBC" w:rsidRPr="00076E4B" w:rsidRDefault="00377DBC" w:rsidP="00686FEB">
      <w:pPr>
        <w:spacing w:before="240" w:after="120" w:line="240" w:lineRule="atLeast"/>
        <w:rPr>
          <w:rFonts w:ascii="Arial" w:hAnsi="Arial" w:cs="Arial"/>
          <w:b/>
          <w:sz w:val="24"/>
          <w:szCs w:val="28"/>
        </w:rPr>
      </w:pPr>
      <w:r w:rsidRPr="00076E4B">
        <w:rPr>
          <w:rFonts w:ascii="Arial" w:hAnsi="Arial" w:cs="Arial"/>
          <w:b/>
          <w:sz w:val="24"/>
          <w:szCs w:val="28"/>
        </w:rPr>
        <w:t>Consultation</w:t>
      </w:r>
    </w:p>
    <w:p w:rsidR="00377DBC" w:rsidRPr="00076E4B" w:rsidRDefault="0059053E" w:rsidP="005309AB">
      <w:pPr>
        <w:spacing w:before="120" w:after="120" w:line="240" w:lineRule="atLeast"/>
        <w:rPr>
          <w:rFonts w:ascii="Arial" w:hAnsi="Arial" w:cs="Arial"/>
        </w:rPr>
      </w:pPr>
      <w:r w:rsidRPr="00076E4B">
        <w:rPr>
          <w:rFonts w:ascii="Arial" w:hAnsi="Arial" w:cs="Arial"/>
        </w:rPr>
        <w:t>S</w:t>
      </w:r>
      <w:r w:rsidR="00DA2102" w:rsidRPr="00076E4B">
        <w:rPr>
          <w:rFonts w:ascii="Arial" w:hAnsi="Arial" w:cs="Arial"/>
        </w:rPr>
        <w:t>ubs</w:t>
      </w:r>
      <w:r w:rsidRPr="00076E4B">
        <w:rPr>
          <w:rFonts w:ascii="Arial" w:hAnsi="Arial" w:cs="Arial"/>
        </w:rPr>
        <w:t>ection 378</w:t>
      </w:r>
      <w:r w:rsidR="00DA2102" w:rsidRPr="00076E4B">
        <w:rPr>
          <w:rFonts w:ascii="Arial" w:hAnsi="Arial" w:cs="Arial"/>
        </w:rPr>
        <w:t>(1)</w:t>
      </w:r>
      <w:r w:rsidRPr="00076E4B">
        <w:rPr>
          <w:rFonts w:ascii="Arial" w:hAnsi="Arial" w:cs="Arial"/>
        </w:rPr>
        <w:t xml:space="preserve"> of the Act requires the ACMA to ensure, so far as practicable, that interested persons have an adequate opportunity to make representations on a proposed technical standard and that due consideration be given to any representation before the ACMA makes the standard.</w:t>
      </w:r>
    </w:p>
    <w:p w:rsidR="003A654E" w:rsidRPr="00076E4B" w:rsidRDefault="00B91CAB" w:rsidP="005309AB">
      <w:pPr>
        <w:spacing w:before="120" w:after="120" w:line="240" w:lineRule="atLeast"/>
        <w:rPr>
          <w:rFonts w:ascii="Arial" w:hAnsi="Arial" w:cs="Arial"/>
        </w:rPr>
      </w:pPr>
      <w:r w:rsidRPr="00076E4B">
        <w:rPr>
          <w:rFonts w:ascii="Arial" w:hAnsi="Arial" w:cs="Arial"/>
        </w:rPr>
        <w:t xml:space="preserve">Subsection 378(2) of the Act permits the ACMA to make an arrangement with an approved body or association for that body or association to prepare, publish and undertake public consultation on a draft standard and to report to the ACMA on the results of that consultation process. </w:t>
      </w:r>
      <w:r w:rsidR="003A654E" w:rsidRPr="00076E4B">
        <w:rPr>
          <w:rFonts w:ascii="Arial" w:hAnsi="Arial" w:cs="Arial"/>
        </w:rPr>
        <w:t>CA has accreditation as a Standard</w:t>
      </w:r>
      <w:r w:rsidR="002D13C7">
        <w:rPr>
          <w:rFonts w:ascii="Arial" w:hAnsi="Arial" w:cs="Arial"/>
        </w:rPr>
        <w:t>s</w:t>
      </w:r>
      <w:r w:rsidR="003A654E" w:rsidRPr="00076E4B">
        <w:rPr>
          <w:rFonts w:ascii="Arial" w:hAnsi="Arial" w:cs="Arial"/>
        </w:rPr>
        <w:t xml:space="preserve"> Development Organisation from the Accreditation Board for Standards Development Organisations</w:t>
      </w:r>
      <w:r w:rsidR="00DA2102" w:rsidRPr="00076E4B">
        <w:rPr>
          <w:rFonts w:ascii="Arial" w:hAnsi="Arial" w:cs="Arial"/>
        </w:rPr>
        <w:t xml:space="preserve"> </w:t>
      </w:r>
      <w:r w:rsidR="000826F2" w:rsidRPr="00076E4B">
        <w:rPr>
          <w:rFonts w:ascii="Arial" w:hAnsi="Arial" w:cs="Arial"/>
        </w:rPr>
        <w:t>established by Standards Australia Limited</w:t>
      </w:r>
      <w:r w:rsidR="005973BD">
        <w:rPr>
          <w:rFonts w:ascii="Arial" w:hAnsi="Arial" w:cs="Arial"/>
        </w:rPr>
        <w:t xml:space="preserve"> (formerly Standards Australia International Limited)</w:t>
      </w:r>
      <w:r w:rsidR="003A654E" w:rsidRPr="00076E4B">
        <w:rPr>
          <w:rFonts w:ascii="Arial" w:hAnsi="Arial" w:cs="Arial"/>
        </w:rPr>
        <w:t>.  The ACMA has a Memorandum of Understanding with CA under which CA is responsible for the development and revision of industry telecommunications technical standards.</w:t>
      </w:r>
    </w:p>
    <w:p w:rsidR="000826F2" w:rsidRPr="00076E4B" w:rsidRDefault="0059053E" w:rsidP="005309AB">
      <w:pPr>
        <w:spacing w:before="120" w:after="120" w:line="240" w:lineRule="atLeast"/>
        <w:rPr>
          <w:rFonts w:ascii="Arial" w:hAnsi="Arial" w:cs="Arial"/>
        </w:rPr>
      </w:pPr>
      <w:r w:rsidRPr="00076E4B">
        <w:rPr>
          <w:rFonts w:ascii="Arial" w:hAnsi="Arial" w:cs="Arial"/>
        </w:rPr>
        <w:t xml:space="preserve">The </w:t>
      </w:r>
      <w:r w:rsidR="00140CE7" w:rsidRPr="00076E4B">
        <w:rPr>
          <w:rFonts w:ascii="Arial" w:hAnsi="Arial" w:cs="Arial"/>
        </w:rPr>
        <w:t xml:space="preserve">CA </w:t>
      </w:r>
      <w:r w:rsidR="00560A7D" w:rsidRPr="00076E4B">
        <w:rPr>
          <w:rFonts w:ascii="Arial" w:hAnsi="Arial" w:cs="Arial"/>
        </w:rPr>
        <w:t>S</w:t>
      </w:r>
      <w:r w:rsidR="00653E07" w:rsidRPr="00076E4B">
        <w:rPr>
          <w:rFonts w:ascii="Arial" w:hAnsi="Arial" w:cs="Arial"/>
        </w:rPr>
        <w:t>tandard</w:t>
      </w:r>
      <w:r w:rsidR="000826F2" w:rsidRPr="00076E4B">
        <w:rPr>
          <w:rFonts w:ascii="Arial" w:hAnsi="Arial" w:cs="Arial"/>
        </w:rPr>
        <w:t xml:space="preserve"> adopted by the ACMA 2011 Standard </w:t>
      </w:r>
      <w:r w:rsidRPr="00076E4B">
        <w:rPr>
          <w:rFonts w:ascii="Arial" w:hAnsi="Arial" w:cs="Arial"/>
        </w:rPr>
        <w:t xml:space="preserve">was </w:t>
      </w:r>
      <w:r w:rsidR="00653E07" w:rsidRPr="00076E4B">
        <w:rPr>
          <w:rFonts w:ascii="Arial" w:hAnsi="Arial" w:cs="Arial"/>
        </w:rPr>
        <w:t>developed</w:t>
      </w:r>
      <w:r w:rsidRPr="00076E4B">
        <w:rPr>
          <w:rFonts w:ascii="Arial" w:hAnsi="Arial" w:cs="Arial"/>
        </w:rPr>
        <w:t xml:space="preserve"> by the </w:t>
      </w:r>
      <w:r w:rsidR="00825491" w:rsidRPr="00076E4B">
        <w:rPr>
          <w:rFonts w:ascii="Arial" w:hAnsi="Arial" w:cs="Arial"/>
        </w:rPr>
        <w:t xml:space="preserve">CA </w:t>
      </w:r>
      <w:r w:rsidR="006E45E9" w:rsidRPr="00076E4B">
        <w:rPr>
          <w:rFonts w:ascii="Arial" w:hAnsi="Arial" w:cs="Arial"/>
          <w:bCs/>
          <w:iCs/>
        </w:rPr>
        <w:t>Mobile CE-General and IMT-2000</w:t>
      </w:r>
      <w:r w:rsidR="006E45E9" w:rsidRPr="00076E4B">
        <w:rPr>
          <w:rFonts w:ascii="Arial" w:hAnsi="Arial" w:cs="Arial"/>
        </w:rPr>
        <w:t xml:space="preserve"> </w:t>
      </w:r>
      <w:r w:rsidR="006E45E9" w:rsidRPr="00076E4B">
        <w:rPr>
          <w:rFonts w:ascii="Arial" w:hAnsi="Arial" w:cs="Arial"/>
          <w:bCs/>
        </w:rPr>
        <w:t>Working Committee (</w:t>
      </w:r>
      <w:r w:rsidR="006E45E9" w:rsidRPr="00076E4B">
        <w:rPr>
          <w:rFonts w:ascii="Arial" w:hAnsi="Arial" w:cs="Arial"/>
          <w:b/>
          <w:bCs/>
        </w:rPr>
        <w:t>CA WC19</w:t>
      </w:r>
      <w:r w:rsidR="006E45E9" w:rsidRPr="00076E4B">
        <w:rPr>
          <w:rFonts w:ascii="Arial" w:hAnsi="Arial" w:cs="Arial"/>
          <w:bCs/>
        </w:rPr>
        <w:t xml:space="preserve">), </w:t>
      </w:r>
      <w:r w:rsidR="000826F2" w:rsidRPr="00076E4B">
        <w:rPr>
          <w:rFonts w:ascii="Arial" w:hAnsi="Arial" w:cs="Arial"/>
        </w:rPr>
        <w:t>a committee comprising representatives from the ACMA</w:t>
      </w:r>
      <w:r w:rsidR="00B91CAB" w:rsidRPr="00076E4B">
        <w:rPr>
          <w:rFonts w:ascii="Arial" w:hAnsi="Arial" w:cs="Arial"/>
        </w:rPr>
        <w:t>,</w:t>
      </w:r>
      <w:r w:rsidR="000826F2" w:rsidRPr="00076E4B">
        <w:rPr>
          <w:rFonts w:ascii="Arial" w:hAnsi="Arial" w:cs="Arial"/>
        </w:rPr>
        <w:t xml:space="preserve"> relevant sections of industry</w:t>
      </w:r>
      <w:r w:rsidR="004F1D50">
        <w:rPr>
          <w:rFonts w:ascii="Arial" w:hAnsi="Arial" w:cs="Arial"/>
        </w:rPr>
        <w:t>,</w:t>
      </w:r>
      <w:r w:rsidR="000826F2" w:rsidRPr="00076E4B">
        <w:rPr>
          <w:rFonts w:ascii="Arial" w:hAnsi="Arial" w:cs="Arial"/>
        </w:rPr>
        <w:t xml:space="preserve"> and interested parties. In developing the industry standard, CA consulted with both industry and the community. </w:t>
      </w:r>
    </w:p>
    <w:p w:rsidR="008168CB" w:rsidRPr="00076E4B" w:rsidRDefault="00B2267C" w:rsidP="005309AB">
      <w:pPr>
        <w:spacing w:before="120" w:after="120" w:line="240" w:lineRule="atLeast"/>
        <w:rPr>
          <w:rFonts w:ascii="Arial" w:hAnsi="Arial" w:cs="Arial"/>
        </w:rPr>
      </w:pPr>
      <w:r w:rsidRPr="00076E4B">
        <w:rPr>
          <w:rFonts w:ascii="Arial" w:hAnsi="Arial" w:cs="Arial"/>
        </w:rPr>
        <w:lastRenderedPageBreak/>
        <w:t xml:space="preserve">A </w:t>
      </w:r>
      <w:r w:rsidR="008168CB" w:rsidRPr="00076E4B">
        <w:rPr>
          <w:rFonts w:ascii="Arial" w:hAnsi="Arial" w:cs="Arial"/>
        </w:rPr>
        <w:t xml:space="preserve">draft </w:t>
      </w:r>
      <w:r w:rsidR="009F14CA" w:rsidRPr="00076E4B">
        <w:rPr>
          <w:rFonts w:ascii="Arial" w:hAnsi="Arial" w:cs="Arial"/>
        </w:rPr>
        <w:t xml:space="preserve">of </w:t>
      </w:r>
      <w:r w:rsidRPr="00076E4B">
        <w:rPr>
          <w:rFonts w:ascii="Arial" w:hAnsi="Arial" w:cs="Arial"/>
        </w:rPr>
        <w:t xml:space="preserve">the </w:t>
      </w:r>
      <w:r w:rsidR="00C561AD" w:rsidRPr="00076E4B">
        <w:rPr>
          <w:rFonts w:ascii="Arial" w:hAnsi="Arial" w:cs="Arial"/>
        </w:rPr>
        <w:t xml:space="preserve">CA </w:t>
      </w:r>
      <w:r w:rsidR="00560A7D" w:rsidRPr="00076E4B">
        <w:rPr>
          <w:rFonts w:ascii="Arial" w:hAnsi="Arial" w:cs="Arial"/>
        </w:rPr>
        <w:t>S</w:t>
      </w:r>
      <w:r w:rsidR="008168CB" w:rsidRPr="00076E4B">
        <w:rPr>
          <w:rFonts w:ascii="Arial" w:hAnsi="Arial" w:cs="Arial"/>
        </w:rPr>
        <w:t xml:space="preserve">tandard was </w:t>
      </w:r>
      <w:r w:rsidR="00344FF8" w:rsidRPr="00076E4B">
        <w:rPr>
          <w:rFonts w:ascii="Arial" w:hAnsi="Arial" w:cs="Arial"/>
        </w:rPr>
        <w:t xml:space="preserve">issued for public comment for </w:t>
      </w:r>
      <w:r w:rsidR="0016485F">
        <w:rPr>
          <w:rFonts w:ascii="Arial" w:hAnsi="Arial" w:cs="Arial"/>
        </w:rPr>
        <w:t>63</w:t>
      </w:r>
      <w:r w:rsidR="00825491" w:rsidRPr="00076E4B">
        <w:rPr>
          <w:rFonts w:ascii="Arial" w:hAnsi="Arial" w:cs="Arial"/>
        </w:rPr>
        <w:t xml:space="preserve"> days from </w:t>
      </w:r>
      <w:r w:rsidR="0016485F">
        <w:rPr>
          <w:rFonts w:ascii="Arial" w:hAnsi="Arial" w:cs="Arial"/>
        </w:rPr>
        <w:t xml:space="preserve">4 May 2010 </w:t>
      </w:r>
      <w:r w:rsidR="002D13C7">
        <w:rPr>
          <w:rFonts w:ascii="Arial" w:hAnsi="Arial" w:cs="Arial"/>
        </w:rPr>
        <w:t>to</w:t>
      </w:r>
      <w:r w:rsidR="00825491" w:rsidRPr="00076E4B">
        <w:rPr>
          <w:rFonts w:ascii="Arial" w:hAnsi="Arial" w:cs="Arial"/>
        </w:rPr>
        <w:t xml:space="preserve"> 6 </w:t>
      </w:r>
      <w:r w:rsidR="0016485F">
        <w:rPr>
          <w:rFonts w:ascii="Arial" w:hAnsi="Arial" w:cs="Arial"/>
        </w:rPr>
        <w:t>July</w:t>
      </w:r>
      <w:r w:rsidR="00825491" w:rsidRPr="00076E4B">
        <w:rPr>
          <w:rFonts w:ascii="Arial" w:hAnsi="Arial" w:cs="Arial"/>
        </w:rPr>
        <w:t xml:space="preserve"> 2010</w:t>
      </w:r>
      <w:r w:rsidR="008168CB" w:rsidRPr="00076E4B">
        <w:rPr>
          <w:rFonts w:ascii="Arial" w:hAnsi="Arial" w:cs="Arial"/>
        </w:rPr>
        <w:t>, in compli</w:t>
      </w:r>
      <w:r w:rsidR="00003A45" w:rsidRPr="00076E4B">
        <w:rPr>
          <w:rFonts w:ascii="Arial" w:hAnsi="Arial" w:cs="Arial"/>
        </w:rPr>
        <w:t xml:space="preserve">ance with the requirements for </w:t>
      </w:r>
      <w:r w:rsidR="008168CB" w:rsidRPr="00076E4B">
        <w:rPr>
          <w:rFonts w:ascii="Arial" w:hAnsi="Arial" w:cs="Arial"/>
        </w:rPr>
        <w:t>consultation under section 378 of the Act.</w:t>
      </w:r>
      <w:r w:rsidR="000F4E98" w:rsidRPr="00076E4B">
        <w:rPr>
          <w:rFonts w:ascii="Arial" w:hAnsi="Arial" w:cs="Arial"/>
        </w:rPr>
        <w:t xml:space="preserve"> </w:t>
      </w:r>
      <w:r w:rsidR="009C674C" w:rsidRPr="00076E4B">
        <w:rPr>
          <w:rFonts w:ascii="Arial" w:hAnsi="Arial" w:cs="Arial"/>
        </w:rPr>
        <w:t xml:space="preserve"> </w:t>
      </w:r>
      <w:r w:rsidR="00825491" w:rsidRPr="00076E4B">
        <w:rPr>
          <w:rFonts w:ascii="Arial" w:hAnsi="Arial" w:cs="Arial"/>
        </w:rPr>
        <w:t>Copies of the draft of the CA Standard were issued to CA members, CECRP members and CA WC</w:t>
      </w:r>
      <w:r w:rsidR="006E45E9" w:rsidRPr="00076E4B">
        <w:rPr>
          <w:rFonts w:ascii="Arial" w:hAnsi="Arial" w:cs="Arial"/>
        </w:rPr>
        <w:t>19</w:t>
      </w:r>
      <w:r w:rsidR="00825491" w:rsidRPr="00076E4B">
        <w:rPr>
          <w:rFonts w:ascii="Arial" w:hAnsi="Arial" w:cs="Arial"/>
        </w:rPr>
        <w:t xml:space="preserve"> members</w:t>
      </w:r>
      <w:r w:rsidR="0035017B" w:rsidRPr="00076E4B">
        <w:rPr>
          <w:rFonts w:ascii="Arial" w:hAnsi="Arial" w:cs="Arial"/>
        </w:rPr>
        <w:t>.</w:t>
      </w:r>
    </w:p>
    <w:p w:rsidR="00377DBC" w:rsidRPr="00076E4B" w:rsidRDefault="00B2267C" w:rsidP="005309AB">
      <w:pPr>
        <w:spacing w:before="120" w:after="120" w:line="240" w:lineRule="atLeast"/>
        <w:rPr>
          <w:rFonts w:ascii="Arial" w:hAnsi="Arial" w:cs="Arial"/>
        </w:rPr>
      </w:pPr>
      <w:r w:rsidRPr="00076E4B">
        <w:rPr>
          <w:rFonts w:ascii="Arial" w:hAnsi="Arial" w:cs="Arial"/>
        </w:rPr>
        <w:t xml:space="preserve">A </w:t>
      </w:r>
      <w:r w:rsidR="0035017B" w:rsidRPr="00076E4B">
        <w:rPr>
          <w:rFonts w:ascii="Arial" w:hAnsi="Arial" w:cs="Arial"/>
        </w:rPr>
        <w:t xml:space="preserve">draft </w:t>
      </w:r>
      <w:r w:rsidRPr="00076E4B">
        <w:rPr>
          <w:rFonts w:ascii="Arial" w:hAnsi="Arial" w:cs="Arial"/>
        </w:rPr>
        <w:t xml:space="preserve">of the </w:t>
      </w:r>
      <w:r w:rsidR="00C561AD" w:rsidRPr="00076E4B">
        <w:rPr>
          <w:rFonts w:ascii="Arial" w:hAnsi="Arial" w:cs="Arial"/>
        </w:rPr>
        <w:t xml:space="preserve">CA </w:t>
      </w:r>
      <w:r w:rsidR="00560A7D" w:rsidRPr="00076E4B">
        <w:rPr>
          <w:rFonts w:ascii="Arial" w:hAnsi="Arial" w:cs="Arial"/>
        </w:rPr>
        <w:t>S</w:t>
      </w:r>
      <w:r w:rsidR="0035017B" w:rsidRPr="00076E4B">
        <w:rPr>
          <w:rFonts w:ascii="Arial" w:hAnsi="Arial" w:cs="Arial"/>
        </w:rPr>
        <w:t xml:space="preserve">tandard was </w:t>
      </w:r>
      <w:r w:rsidR="00783AF7" w:rsidRPr="00076E4B">
        <w:rPr>
          <w:rFonts w:ascii="Arial" w:hAnsi="Arial" w:cs="Arial"/>
        </w:rPr>
        <w:t xml:space="preserve">publicised </w:t>
      </w:r>
      <w:r w:rsidR="0035017B" w:rsidRPr="00076E4B">
        <w:rPr>
          <w:rFonts w:ascii="Arial" w:hAnsi="Arial" w:cs="Arial"/>
        </w:rPr>
        <w:t xml:space="preserve">through </w:t>
      </w:r>
      <w:r w:rsidR="00783AF7" w:rsidRPr="00076E4B">
        <w:rPr>
          <w:rFonts w:ascii="Arial" w:hAnsi="Arial" w:cs="Arial"/>
        </w:rPr>
        <w:t xml:space="preserve">the </w:t>
      </w:r>
      <w:r w:rsidR="003B7B6B" w:rsidRPr="00076E4B">
        <w:rPr>
          <w:rFonts w:ascii="Arial" w:hAnsi="Arial" w:cs="Arial"/>
        </w:rPr>
        <w:t xml:space="preserve">CA newsletter </w:t>
      </w:r>
      <w:r w:rsidR="0035017B" w:rsidRPr="00076E4B">
        <w:rPr>
          <w:rFonts w:ascii="Arial" w:hAnsi="Arial" w:cs="Arial"/>
          <w:i/>
        </w:rPr>
        <w:t>We Communicate</w:t>
      </w:r>
      <w:r w:rsidR="0035017B" w:rsidRPr="00076E4B">
        <w:rPr>
          <w:rFonts w:ascii="Arial" w:hAnsi="Arial" w:cs="Arial"/>
        </w:rPr>
        <w:t>, and Sta</w:t>
      </w:r>
      <w:r w:rsidR="00C561AD" w:rsidRPr="00076E4B">
        <w:rPr>
          <w:rFonts w:ascii="Arial" w:hAnsi="Arial" w:cs="Arial"/>
        </w:rPr>
        <w:t>ndards Australia publications</w:t>
      </w:r>
      <w:r w:rsidR="00783AF7" w:rsidRPr="00076E4B">
        <w:rPr>
          <w:rFonts w:ascii="Arial" w:hAnsi="Arial" w:cs="Arial"/>
        </w:rPr>
        <w:t xml:space="preserve">, and a notice was placed in </w:t>
      </w:r>
      <w:r w:rsidR="00783AF7" w:rsidRPr="00076E4B">
        <w:rPr>
          <w:rFonts w:ascii="Arial" w:hAnsi="Arial" w:cs="Arial"/>
          <w:i/>
        </w:rPr>
        <w:t>The Australian</w:t>
      </w:r>
      <w:r w:rsidR="00783AF7" w:rsidRPr="00076E4B">
        <w:rPr>
          <w:rFonts w:ascii="Arial" w:hAnsi="Arial" w:cs="Arial"/>
        </w:rPr>
        <w:t xml:space="preserve"> newspaper</w:t>
      </w:r>
      <w:r w:rsidR="00C561AD" w:rsidRPr="00076E4B">
        <w:rPr>
          <w:rFonts w:ascii="Arial" w:hAnsi="Arial" w:cs="Arial"/>
        </w:rPr>
        <w:t xml:space="preserve">. </w:t>
      </w:r>
      <w:r w:rsidRPr="00076E4B">
        <w:rPr>
          <w:rFonts w:ascii="Arial" w:hAnsi="Arial" w:cs="Arial"/>
        </w:rPr>
        <w:t xml:space="preserve"> </w:t>
      </w:r>
      <w:r w:rsidR="0035017B" w:rsidRPr="00076E4B">
        <w:rPr>
          <w:rFonts w:ascii="Arial" w:hAnsi="Arial" w:cs="Arial"/>
        </w:rPr>
        <w:t>A</w:t>
      </w:r>
      <w:r w:rsidR="001D3D08" w:rsidRPr="00076E4B">
        <w:rPr>
          <w:rFonts w:ascii="Arial" w:hAnsi="Arial" w:cs="Arial"/>
        </w:rPr>
        <w:t>n electronic</w:t>
      </w:r>
      <w:r w:rsidR="0035017B" w:rsidRPr="00076E4B">
        <w:rPr>
          <w:rFonts w:ascii="Arial" w:hAnsi="Arial" w:cs="Arial"/>
        </w:rPr>
        <w:t xml:space="preserve"> copy of the draft </w:t>
      </w:r>
      <w:r w:rsidRPr="00076E4B">
        <w:rPr>
          <w:rFonts w:ascii="Arial" w:hAnsi="Arial" w:cs="Arial"/>
        </w:rPr>
        <w:t xml:space="preserve">of the </w:t>
      </w:r>
      <w:r w:rsidR="00C561AD" w:rsidRPr="00076E4B">
        <w:rPr>
          <w:rFonts w:ascii="Arial" w:hAnsi="Arial" w:cs="Arial"/>
        </w:rPr>
        <w:t xml:space="preserve">CA </w:t>
      </w:r>
      <w:r w:rsidR="00560A7D" w:rsidRPr="00076E4B">
        <w:rPr>
          <w:rFonts w:ascii="Arial" w:hAnsi="Arial" w:cs="Arial"/>
        </w:rPr>
        <w:t>S</w:t>
      </w:r>
      <w:r w:rsidR="0035017B" w:rsidRPr="00076E4B">
        <w:rPr>
          <w:rFonts w:ascii="Arial" w:hAnsi="Arial" w:cs="Arial"/>
        </w:rPr>
        <w:t xml:space="preserve">tandard was </w:t>
      </w:r>
      <w:r w:rsidR="006B523E" w:rsidRPr="00076E4B">
        <w:rPr>
          <w:rFonts w:ascii="Arial" w:hAnsi="Arial" w:cs="Arial"/>
        </w:rPr>
        <w:t>made</w:t>
      </w:r>
      <w:r w:rsidR="009C674C" w:rsidRPr="00076E4B">
        <w:rPr>
          <w:rFonts w:ascii="Arial" w:hAnsi="Arial" w:cs="Arial"/>
        </w:rPr>
        <w:t xml:space="preserve"> </w:t>
      </w:r>
      <w:r w:rsidR="0035017B" w:rsidRPr="00076E4B">
        <w:rPr>
          <w:rFonts w:ascii="Arial" w:hAnsi="Arial" w:cs="Arial"/>
        </w:rPr>
        <w:t xml:space="preserve">available </w:t>
      </w:r>
      <w:r w:rsidR="001D3D08" w:rsidRPr="00076E4B">
        <w:rPr>
          <w:rFonts w:ascii="Arial" w:hAnsi="Arial" w:cs="Arial"/>
        </w:rPr>
        <w:t xml:space="preserve">for free download </w:t>
      </w:r>
      <w:r w:rsidR="0035017B" w:rsidRPr="00076E4B">
        <w:rPr>
          <w:rFonts w:ascii="Arial" w:hAnsi="Arial" w:cs="Arial"/>
        </w:rPr>
        <w:t>on the C</w:t>
      </w:r>
      <w:r w:rsidR="00C561AD" w:rsidRPr="00076E4B">
        <w:rPr>
          <w:rFonts w:ascii="Arial" w:hAnsi="Arial" w:cs="Arial"/>
        </w:rPr>
        <w:t xml:space="preserve">A </w:t>
      </w:r>
      <w:r w:rsidR="003B7B6B" w:rsidRPr="00076E4B">
        <w:rPr>
          <w:rFonts w:ascii="Arial" w:hAnsi="Arial" w:cs="Arial"/>
        </w:rPr>
        <w:t xml:space="preserve">website </w:t>
      </w:r>
      <w:r w:rsidR="00C561AD" w:rsidRPr="00076E4B">
        <w:rPr>
          <w:rFonts w:ascii="Arial" w:hAnsi="Arial" w:cs="Arial"/>
        </w:rPr>
        <w:t xml:space="preserve">during the above period. </w:t>
      </w:r>
      <w:r w:rsidR="009C674C" w:rsidRPr="00076E4B">
        <w:rPr>
          <w:rFonts w:ascii="Arial" w:hAnsi="Arial" w:cs="Arial"/>
        </w:rPr>
        <w:t>Draft c</w:t>
      </w:r>
      <w:r w:rsidR="0035017B" w:rsidRPr="00076E4B">
        <w:rPr>
          <w:rFonts w:ascii="Arial" w:hAnsi="Arial" w:cs="Arial"/>
        </w:rPr>
        <w:t>opies were also made available to interested parties who</w:t>
      </w:r>
      <w:r w:rsidR="001D3D08" w:rsidRPr="00076E4B">
        <w:rPr>
          <w:rFonts w:ascii="Arial" w:hAnsi="Arial" w:cs="Arial"/>
        </w:rPr>
        <w:t xml:space="preserve"> </w:t>
      </w:r>
      <w:r w:rsidR="0035017B" w:rsidRPr="00076E4B">
        <w:rPr>
          <w:rFonts w:ascii="Arial" w:hAnsi="Arial" w:cs="Arial"/>
        </w:rPr>
        <w:t>contacted C</w:t>
      </w:r>
      <w:r w:rsidR="00C561AD" w:rsidRPr="00076E4B">
        <w:rPr>
          <w:rFonts w:ascii="Arial" w:hAnsi="Arial" w:cs="Arial"/>
        </w:rPr>
        <w:t>A</w:t>
      </w:r>
      <w:r w:rsidR="001D3D08" w:rsidRPr="00076E4B">
        <w:rPr>
          <w:rFonts w:ascii="Arial" w:hAnsi="Arial" w:cs="Arial"/>
        </w:rPr>
        <w:t xml:space="preserve"> directly</w:t>
      </w:r>
      <w:r w:rsidR="0035017B" w:rsidRPr="00076E4B">
        <w:rPr>
          <w:rFonts w:ascii="Arial" w:hAnsi="Arial" w:cs="Arial"/>
        </w:rPr>
        <w:t>.</w:t>
      </w:r>
    </w:p>
    <w:p w:rsidR="00D216DF" w:rsidRDefault="0035017B">
      <w:pPr>
        <w:spacing w:line="240" w:lineRule="atLeast"/>
        <w:rPr>
          <w:rFonts w:ascii="Arial" w:hAnsi="Arial" w:cs="Arial"/>
        </w:rPr>
      </w:pPr>
      <w:r w:rsidRPr="00076E4B">
        <w:rPr>
          <w:rFonts w:ascii="Arial" w:hAnsi="Arial" w:cs="Arial"/>
        </w:rPr>
        <w:t xml:space="preserve">During the consultation period, </w:t>
      </w:r>
      <w:r w:rsidR="00E953E8" w:rsidRPr="00076E4B">
        <w:rPr>
          <w:rFonts w:ascii="Arial" w:hAnsi="Arial" w:cs="Arial"/>
        </w:rPr>
        <w:t>two</w:t>
      </w:r>
      <w:r w:rsidRPr="00076E4B">
        <w:rPr>
          <w:rFonts w:ascii="Arial" w:hAnsi="Arial" w:cs="Arial"/>
        </w:rPr>
        <w:t xml:space="preserve"> public </w:t>
      </w:r>
      <w:r w:rsidR="001D3D08" w:rsidRPr="00076E4B">
        <w:rPr>
          <w:rFonts w:ascii="Arial" w:hAnsi="Arial" w:cs="Arial"/>
        </w:rPr>
        <w:t xml:space="preserve">submissions </w:t>
      </w:r>
      <w:r w:rsidRPr="00076E4B">
        <w:rPr>
          <w:rFonts w:ascii="Arial" w:hAnsi="Arial" w:cs="Arial"/>
        </w:rPr>
        <w:t>were received and considered by C</w:t>
      </w:r>
      <w:r w:rsidR="001C6BDB" w:rsidRPr="00076E4B">
        <w:rPr>
          <w:rFonts w:ascii="Arial" w:hAnsi="Arial" w:cs="Arial"/>
        </w:rPr>
        <w:t>A</w:t>
      </w:r>
      <w:r w:rsidR="001D3D08" w:rsidRPr="00076E4B">
        <w:rPr>
          <w:rFonts w:ascii="Arial" w:hAnsi="Arial" w:cs="Arial"/>
        </w:rPr>
        <w:t xml:space="preserve">. </w:t>
      </w:r>
      <w:r w:rsidR="006B523E" w:rsidRPr="00076E4B">
        <w:rPr>
          <w:rFonts w:ascii="Arial" w:hAnsi="Arial" w:cs="Arial"/>
        </w:rPr>
        <w:t>Both</w:t>
      </w:r>
      <w:r w:rsidR="001D3D08" w:rsidRPr="00076E4B">
        <w:rPr>
          <w:rFonts w:ascii="Arial" w:hAnsi="Arial" w:cs="Arial"/>
        </w:rPr>
        <w:t xml:space="preserve"> submissions </w:t>
      </w:r>
      <w:r w:rsidR="004F1D50">
        <w:rPr>
          <w:rFonts w:ascii="Arial" w:hAnsi="Arial" w:cs="Arial"/>
        </w:rPr>
        <w:t xml:space="preserve">were in </w:t>
      </w:r>
      <w:r w:rsidR="001D3D08" w:rsidRPr="00076E4B">
        <w:rPr>
          <w:rFonts w:ascii="Arial" w:hAnsi="Arial" w:cs="Arial"/>
        </w:rPr>
        <w:t>support</w:t>
      </w:r>
      <w:r w:rsidR="004F1D50">
        <w:rPr>
          <w:rFonts w:ascii="Arial" w:hAnsi="Arial" w:cs="Arial"/>
        </w:rPr>
        <w:t xml:space="preserve"> of</w:t>
      </w:r>
      <w:r w:rsidR="001D3D08" w:rsidRPr="00076E4B">
        <w:rPr>
          <w:rFonts w:ascii="Arial" w:hAnsi="Arial" w:cs="Arial"/>
        </w:rPr>
        <w:t xml:space="preserve"> </w:t>
      </w:r>
      <w:r w:rsidR="00686FEB" w:rsidRPr="00076E4B">
        <w:rPr>
          <w:rFonts w:ascii="Arial" w:hAnsi="Arial" w:cs="Arial"/>
        </w:rPr>
        <w:t xml:space="preserve">the </w:t>
      </w:r>
      <w:r w:rsidR="004F1D50">
        <w:rPr>
          <w:rFonts w:ascii="Arial" w:hAnsi="Arial" w:cs="Arial"/>
        </w:rPr>
        <w:t xml:space="preserve">draft </w:t>
      </w:r>
      <w:r w:rsidR="00686FEB" w:rsidRPr="00076E4B">
        <w:rPr>
          <w:rFonts w:ascii="Arial" w:hAnsi="Arial" w:cs="Arial"/>
        </w:rPr>
        <w:t>CA Standard</w:t>
      </w:r>
      <w:r w:rsidR="004F1D50">
        <w:rPr>
          <w:rFonts w:ascii="Arial" w:hAnsi="Arial" w:cs="Arial"/>
        </w:rPr>
        <w:t>, but raised some minor suggested amendments. The ACMA is satisfied that CA satisfactorily addressed these suggestions prior to publishing the CA Standard.</w:t>
      </w:r>
    </w:p>
    <w:p w:rsidR="0083036F" w:rsidRPr="00076E4B" w:rsidRDefault="00686FEB" w:rsidP="005309AB">
      <w:pPr>
        <w:spacing w:before="120" w:after="120" w:line="240" w:lineRule="atLeast"/>
        <w:rPr>
          <w:rFonts w:ascii="Arial" w:hAnsi="Arial" w:cs="Arial"/>
        </w:rPr>
      </w:pPr>
      <w:r w:rsidRPr="00076E4B">
        <w:rPr>
          <w:rFonts w:ascii="Arial" w:hAnsi="Arial" w:cs="Arial"/>
        </w:rPr>
        <w:t>The ACMA considers that appropriate</w:t>
      </w:r>
      <w:r w:rsidR="0083036F" w:rsidRPr="00076E4B">
        <w:rPr>
          <w:rFonts w:ascii="Arial" w:hAnsi="Arial" w:cs="Arial"/>
        </w:rPr>
        <w:t xml:space="preserve"> consultation was conducted by C</w:t>
      </w:r>
      <w:r w:rsidR="00FF4E6D" w:rsidRPr="00076E4B">
        <w:rPr>
          <w:rFonts w:ascii="Arial" w:hAnsi="Arial" w:cs="Arial"/>
        </w:rPr>
        <w:t>A</w:t>
      </w:r>
      <w:r w:rsidR="009770BB" w:rsidRPr="00076E4B">
        <w:rPr>
          <w:rFonts w:ascii="Arial" w:hAnsi="Arial" w:cs="Arial"/>
        </w:rPr>
        <w:t xml:space="preserve"> </w:t>
      </w:r>
      <w:r w:rsidR="001D3D08" w:rsidRPr="00076E4B">
        <w:rPr>
          <w:rFonts w:ascii="Arial" w:hAnsi="Arial" w:cs="Arial"/>
        </w:rPr>
        <w:t>in relation to</w:t>
      </w:r>
      <w:r w:rsidR="00256692" w:rsidRPr="00076E4B">
        <w:rPr>
          <w:rFonts w:ascii="Arial" w:hAnsi="Arial" w:cs="Arial"/>
        </w:rPr>
        <w:t xml:space="preserve"> </w:t>
      </w:r>
      <w:r w:rsidR="0083036F" w:rsidRPr="00076E4B">
        <w:rPr>
          <w:rFonts w:ascii="Arial" w:hAnsi="Arial" w:cs="Arial"/>
        </w:rPr>
        <w:t xml:space="preserve">the CA </w:t>
      </w:r>
      <w:r w:rsidR="00560A7D" w:rsidRPr="00076E4B">
        <w:rPr>
          <w:rFonts w:ascii="Arial" w:hAnsi="Arial" w:cs="Arial"/>
        </w:rPr>
        <w:t>S</w:t>
      </w:r>
      <w:r w:rsidR="0083036F" w:rsidRPr="00076E4B">
        <w:rPr>
          <w:rFonts w:ascii="Arial" w:hAnsi="Arial" w:cs="Arial"/>
        </w:rPr>
        <w:t>tandard</w:t>
      </w:r>
      <w:r w:rsidR="009619A5" w:rsidRPr="00076E4B">
        <w:rPr>
          <w:rFonts w:ascii="Arial" w:hAnsi="Arial" w:cs="Arial"/>
        </w:rPr>
        <w:t xml:space="preserve"> </w:t>
      </w:r>
      <w:r w:rsidR="0083036F" w:rsidRPr="00076E4B">
        <w:rPr>
          <w:rFonts w:ascii="Arial" w:hAnsi="Arial" w:cs="Arial"/>
        </w:rPr>
        <w:t xml:space="preserve">adopted by </w:t>
      </w:r>
      <w:r w:rsidR="00256692" w:rsidRPr="00076E4B">
        <w:rPr>
          <w:rFonts w:ascii="Arial" w:hAnsi="Arial" w:cs="Arial"/>
        </w:rPr>
        <w:t xml:space="preserve">the </w:t>
      </w:r>
      <w:r w:rsidR="009770BB" w:rsidRPr="00076E4B">
        <w:rPr>
          <w:rFonts w:ascii="Arial" w:hAnsi="Arial" w:cs="Arial"/>
        </w:rPr>
        <w:t>ACMA 201</w:t>
      </w:r>
      <w:r w:rsidR="007D2F86" w:rsidRPr="00076E4B">
        <w:rPr>
          <w:rFonts w:ascii="Arial" w:hAnsi="Arial" w:cs="Arial"/>
        </w:rPr>
        <w:t>1</w:t>
      </w:r>
      <w:r w:rsidR="009770BB" w:rsidRPr="00076E4B">
        <w:rPr>
          <w:rFonts w:ascii="Arial" w:hAnsi="Arial" w:cs="Arial"/>
        </w:rPr>
        <w:t xml:space="preserve"> Standard</w:t>
      </w:r>
      <w:r w:rsidRPr="00076E4B">
        <w:rPr>
          <w:rFonts w:ascii="Arial" w:hAnsi="Arial" w:cs="Arial"/>
        </w:rPr>
        <w:t>. Therefore</w:t>
      </w:r>
      <w:r w:rsidR="00B91CAB" w:rsidRPr="00076E4B">
        <w:rPr>
          <w:rFonts w:ascii="Arial" w:hAnsi="Arial" w:cs="Arial"/>
        </w:rPr>
        <w:t>,</w:t>
      </w:r>
      <w:r w:rsidRPr="00076E4B">
        <w:rPr>
          <w:rFonts w:ascii="Arial" w:hAnsi="Arial" w:cs="Arial"/>
        </w:rPr>
        <w:t xml:space="preserve"> the ACMA </w:t>
      </w:r>
      <w:r w:rsidR="0083036F" w:rsidRPr="00076E4B">
        <w:rPr>
          <w:rFonts w:ascii="Arial" w:hAnsi="Arial" w:cs="Arial"/>
        </w:rPr>
        <w:t xml:space="preserve">is satisfied, pursuant to </w:t>
      </w:r>
      <w:r w:rsidRPr="00076E4B">
        <w:rPr>
          <w:rFonts w:ascii="Arial" w:hAnsi="Arial" w:cs="Arial"/>
        </w:rPr>
        <w:t xml:space="preserve">paragraph </w:t>
      </w:r>
      <w:r w:rsidR="0083036F" w:rsidRPr="00076E4B">
        <w:rPr>
          <w:rFonts w:ascii="Arial" w:hAnsi="Arial" w:cs="Arial"/>
        </w:rPr>
        <w:t>18(2)</w:t>
      </w:r>
      <w:r w:rsidRPr="00076E4B">
        <w:rPr>
          <w:rFonts w:ascii="Arial" w:hAnsi="Arial" w:cs="Arial"/>
        </w:rPr>
        <w:t>(e)</w:t>
      </w:r>
      <w:r w:rsidR="0083036F" w:rsidRPr="00076E4B">
        <w:rPr>
          <w:rFonts w:ascii="Arial" w:hAnsi="Arial" w:cs="Arial"/>
        </w:rPr>
        <w:t xml:space="preserve"> of the </w:t>
      </w:r>
      <w:r w:rsidR="0083036F" w:rsidRPr="00076E4B">
        <w:rPr>
          <w:rFonts w:ascii="Arial" w:hAnsi="Arial" w:cs="Arial"/>
          <w:i/>
        </w:rPr>
        <w:t>Legislative Instruments Act 2003</w:t>
      </w:r>
      <w:r w:rsidR="00344FF8" w:rsidRPr="00076E4B">
        <w:rPr>
          <w:rFonts w:ascii="Arial" w:hAnsi="Arial" w:cs="Arial"/>
        </w:rPr>
        <w:t xml:space="preserve">, that consultation </w:t>
      </w:r>
      <w:r w:rsidRPr="00076E4B">
        <w:rPr>
          <w:rFonts w:ascii="Arial" w:hAnsi="Arial" w:cs="Arial"/>
        </w:rPr>
        <w:t>in relation to</w:t>
      </w:r>
      <w:r w:rsidR="00256692" w:rsidRPr="00076E4B">
        <w:rPr>
          <w:rFonts w:ascii="Arial" w:hAnsi="Arial" w:cs="Arial"/>
        </w:rPr>
        <w:t xml:space="preserve"> </w:t>
      </w:r>
      <w:r w:rsidR="0083036F" w:rsidRPr="00076E4B">
        <w:rPr>
          <w:rFonts w:ascii="Arial" w:hAnsi="Arial" w:cs="Arial"/>
        </w:rPr>
        <w:t xml:space="preserve">the </w:t>
      </w:r>
      <w:r w:rsidR="006639EF" w:rsidRPr="00076E4B">
        <w:rPr>
          <w:rFonts w:ascii="Arial" w:hAnsi="Arial" w:cs="Arial"/>
        </w:rPr>
        <w:t>ACMA 2011</w:t>
      </w:r>
      <w:r w:rsidR="009770BB" w:rsidRPr="00076E4B">
        <w:rPr>
          <w:rFonts w:ascii="Arial" w:hAnsi="Arial" w:cs="Arial"/>
        </w:rPr>
        <w:t xml:space="preserve"> </w:t>
      </w:r>
      <w:r w:rsidR="00560A7D" w:rsidRPr="00076E4B">
        <w:rPr>
          <w:rFonts w:ascii="Arial" w:hAnsi="Arial" w:cs="Arial"/>
        </w:rPr>
        <w:t>S</w:t>
      </w:r>
      <w:r w:rsidR="0083036F" w:rsidRPr="00076E4B">
        <w:rPr>
          <w:rFonts w:ascii="Arial" w:hAnsi="Arial" w:cs="Arial"/>
        </w:rPr>
        <w:t>tandard is unnecessary.</w:t>
      </w:r>
    </w:p>
    <w:p w:rsidR="00377DBC" w:rsidRPr="00076E4B" w:rsidRDefault="00377DBC" w:rsidP="00686FEB">
      <w:pPr>
        <w:spacing w:before="240" w:after="120" w:line="240" w:lineRule="atLeast"/>
        <w:rPr>
          <w:rFonts w:ascii="Arial" w:hAnsi="Arial" w:cs="Arial"/>
          <w:b/>
          <w:sz w:val="24"/>
          <w:szCs w:val="24"/>
        </w:rPr>
      </w:pPr>
      <w:r w:rsidRPr="00076E4B">
        <w:rPr>
          <w:rFonts w:ascii="Arial" w:hAnsi="Arial" w:cs="Arial"/>
          <w:b/>
          <w:sz w:val="24"/>
          <w:szCs w:val="24"/>
        </w:rPr>
        <w:t>Regulation Impact</w:t>
      </w:r>
    </w:p>
    <w:p w:rsidR="00377DBC" w:rsidRPr="00076E4B" w:rsidRDefault="00EC1BAF" w:rsidP="00686FEB">
      <w:pPr>
        <w:pStyle w:val="ACMANumberedList"/>
        <w:spacing w:after="200" w:line="240" w:lineRule="atLeast"/>
        <w:rPr>
          <w:sz w:val="22"/>
          <w:szCs w:val="22"/>
        </w:rPr>
      </w:pPr>
      <w:r w:rsidRPr="00076E4B">
        <w:rPr>
          <w:color w:val="000000"/>
          <w:sz w:val="22"/>
          <w:szCs w:val="22"/>
        </w:rPr>
        <w:t>The Office of Best Practice Regulation has considered the matter and formed an opinion that the ACMA 201</w:t>
      </w:r>
      <w:r w:rsidR="007D2F86" w:rsidRPr="00076E4B">
        <w:rPr>
          <w:color w:val="000000"/>
          <w:sz w:val="22"/>
          <w:szCs w:val="22"/>
        </w:rPr>
        <w:t>1</w:t>
      </w:r>
      <w:r w:rsidRPr="00076E4B">
        <w:rPr>
          <w:color w:val="000000"/>
          <w:sz w:val="22"/>
          <w:szCs w:val="22"/>
        </w:rPr>
        <w:t xml:space="preserve"> Standard will have minor and machinery impact and does not impose any substantial additional regulatory burden on </w:t>
      </w:r>
      <w:r w:rsidR="00344FF8" w:rsidRPr="00076E4B">
        <w:rPr>
          <w:color w:val="000000"/>
          <w:sz w:val="22"/>
          <w:szCs w:val="22"/>
        </w:rPr>
        <w:t xml:space="preserve">manufacturers or importers of </w:t>
      </w:r>
      <w:r w:rsidR="00DB0024" w:rsidRPr="00076E4B">
        <w:rPr>
          <w:color w:val="000000"/>
          <w:sz w:val="22"/>
          <w:szCs w:val="22"/>
        </w:rPr>
        <w:t>CE</w:t>
      </w:r>
      <w:r w:rsidRPr="00076E4B">
        <w:rPr>
          <w:color w:val="000000"/>
          <w:sz w:val="22"/>
          <w:szCs w:val="22"/>
        </w:rPr>
        <w:t xml:space="preserve">, or the </w:t>
      </w:r>
      <w:r w:rsidRPr="00076E4B">
        <w:rPr>
          <w:sz w:val="22"/>
          <w:szCs w:val="22"/>
        </w:rPr>
        <w:t xml:space="preserve">economy. </w:t>
      </w:r>
      <w:r w:rsidR="007B401B" w:rsidRPr="00076E4B">
        <w:rPr>
          <w:sz w:val="22"/>
          <w:szCs w:val="22"/>
        </w:rPr>
        <w:t xml:space="preserve"> </w:t>
      </w:r>
      <w:r w:rsidRPr="00076E4B">
        <w:rPr>
          <w:sz w:val="22"/>
          <w:szCs w:val="22"/>
        </w:rPr>
        <w:t xml:space="preserve">The OBPR </w:t>
      </w:r>
      <w:r w:rsidR="00344FF8" w:rsidRPr="00076E4B">
        <w:rPr>
          <w:sz w:val="22"/>
          <w:szCs w:val="22"/>
        </w:rPr>
        <w:t>RIS exemption number is ID 12079</w:t>
      </w:r>
      <w:r w:rsidRPr="00076E4B">
        <w:rPr>
          <w:sz w:val="22"/>
          <w:szCs w:val="22"/>
        </w:rPr>
        <w:t>.</w:t>
      </w:r>
    </w:p>
    <w:p w:rsidR="00377DBC" w:rsidRPr="00076E4B" w:rsidRDefault="00377DBC" w:rsidP="00686FEB">
      <w:pPr>
        <w:spacing w:before="240" w:after="120" w:line="240" w:lineRule="atLeast"/>
        <w:rPr>
          <w:rFonts w:ascii="Arial" w:hAnsi="Arial" w:cs="Arial"/>
          <w:b/>
          <w:sz w:val="24"/>
          <w:szCs w:val="28"/>
        </w:rPr>
      </w:pPr>
      <w:r w:rsidRPr="00076E4B">
        <w:rPr>
          <w:rFonts w:ascii="Arial" w:hAnsi="Arial" w:cs="Arial"/>
          <w:b/>
          <w:sz w:val="24"/>
          <w:szCs w:val="28"/>
        </w:rPr>
        <w:t>Documents Incorporated in this Instrument by Reference</w:t>
      </w:r>
    </w:p>
    <w:p w:rsidR="00C048A0" w:rsidRDefault="00344FF8" w:rsidP="00686FEB">
      <w:pPr>
        <w:spacing w:line="240" w:lineRule="atLeast"/>
        <w:rPr>
          <w:rFonts w:ascii="Arial" w:hAnsi="Arial" w:cs="Arial"/>
        </w:rPr>
      </w:pPr>
      <w:r w:rsidRPr="00076E4B">
        <w:rPr>
          <w:rFonts w:ascii="Arial" w:hAnsi="Arial" w:cs="Arial"/>
        </w:rPr>
        <w:t>T</w:t>
      </w:r>
      <w:r w:rsidR="009619A5" w:rsidRPr="00076E4B">
        <w:rPr>
          <w:rFonts w:ascii="Arial" w:hAnsi="Arial" w:cs="Arial"/>
        </w:rPr>
        <w:t xml:space="preserve">he </w:t>
      </w:r>
      <w:r w:rsidR="00686FEB" w:rsidRPr="00076E4B">
        <w:rPr>
          <w:rFonts w:ascii="Arial" w:hAnsi="Arial" w:cs="Arial"/>
        </w:rPr>
        <w:t xml:space="preserve">CA Standard, </w:t>
      </w:r>
      <w:r w:rsidR="00E953E8" w:rsidRPr="00076E4B">
        <w:rPr>
          <w:rFonts w:ascii="Arial" w:hAnsi="Arial" w:cs="Arial"/>
        </w:rPr>
        <w:t xml:space="preserve">AS/CA S042.4:2010 </w:t>
      </w:r>
      <w:r w:rsidR="00E953E8" w:rsidRPr="00076E4B">
        <w:rPr>
          <w:rFonts w:ascii="Arial" w:hAnsi="Arial" w:cs="Arial"/>
          <w:i/>
        </w:rPr>
        <w:t xml:space="preserve">Requirements for connection to an air interface of a Telecommunications Network - Part 4: IMT-2000 Customer Equipment </w:t>
      </w:r>
      <w:r w:rsidR="00686FEB" w:rsidRPr="00076E4B">
        <w:rPr>
          <w:rFonts w:ascii="Arial" w:hAnsi="Arial" w:cs="Arial"/>
        </w:rPr>
        <w:t xml:space="preserve">is incorporated </w:t>
      </w:r>
      <w:r w:rsidR="009932A2" w:rsidRPr="00076E4B">
        <w:rPr>
          <w:rFonts w:ascii="Arial" w:hAnsi="Arial" w:cs="Arial"/>
        </w:rPr>
        <w:t>by reference</w:t>
      </w:r>
      <w:r w:rsidR="00466614" w:rsidRPr="00076E4B">
        <w:rPr>
          <w:rFonts w:ascii="Arial" w:hAnsi="Arial" w:cs="Arial"/>
        </w:rPr>
        <w:t xml:space="preserve"> in this ACMA 2011 Standard</w:t>
      </w:r>
      <w:r w:rsidR="009932A2" w:rsidRPr="00076E4B">
        <w:rPr>
          <w:rFonts w:ascii="Arial" w:hAnsi="Arial" w:cs="Arial"/>
        </w:rPr>
        <w:t>.</w:t>
      </w:r>
      <w:bookmarkStart w:id="0" w:name="OLE_LINK4"/>
      <w:bookmarkStart w:id="1" w:name="OLE_LINK5"/>
      <w:r w:rsidR="000F4E98" w:rsidRPr="00076E4B">
        <w:rPr>
          <w:rFonts w:ascii="Arial" w:hAnsi="Arial" w:cs="Arial"/>
        </w:rPr>
        <w:t xml:space="preserve"> </w:t>
      </w:r>
      <w:r w:rsidR="007B401B" w:rsidRPr="00076E4B">
        <w:rPr>
          <w:rFonts w:ascii="Arial" w:hAnsi="Arial" w:cs="Arial"/>
        </w:rPr>
        <w:t xml:space="preserve"> </w:t>
      </w:r>
      <w:r w:rsidRPr="00076E4B">
        <w:rPr>
          <w:rFonts w:ascii="Arial" w:hAnsi="Arial" w:cs="Arial"/>
        </w:rPr>
        <w:t>T</w:t>
      </w:r>
      <w:r w:rsidR="00A87E9E" w:rsidRPr="00076E4B">
        <w:rPr>
          <w:rFonts w:ascii="Arial" w:hAnsi="Arial" w:cs="Arial"/>
        </w:rPr>
        <w:t>he CA Standard</w:t>
      </w:r>
      <w:r w:rsidR="00466614" w:rsidRPr="00076E4B">
        <w:rPr>
          <w:rFonts w:ascii="Arial" w:hAnsi="Arial" w:cs="Arial"/>
        </w:rPr>
        <w:t xml:space="preserve"> can</w:t>
      </w:r>
      <w:r w:rsidR="00A87E9E" w:rsidRPr="00076E4B">
        <w:rPr>
          <w:rFonts w:ascii="Arial" w:hAnsi="Arial" w:cs="Arial"/>
        </w:rPr>
        <w:t xml:space="preserve"> </w:t>
      </w:r>
      <w:r w:rsidR="00466614" w:rsidRPr="00076E4B">
        <w:rPr>
          <w:rFonts w:ascii="Arial" w:hAnsi="Arial" w:cs="Arial"/>
        </w:rPr>
        <w:t xml:space="preserve">be downloaded free of charge from the CA website </w:t>
      </w:r>
      <w:r w:rsidR="00A87E9E" w:rsidRPr="00076E4B">
        <w:rPr>
          <w:rFonts w:ascii="Arial" w:hAnsi="Arial" w:cs="Arial"/>
        </w:rPr>
        <w:t>at</w:t>
      </w:r>
      <w:r w:rsidR="00C048A0">
        <w:rPr>
          <w:rFonts w:ascii="Arial" w:hAnsi="Arial" w:cs="Arial"/>
        </w:rPr>
        <w:t>:</w:t>
      </w:r>
    </w:p>
    <w:p w:rsidR="00377DBC" w:rsidRPr="00076E4B" w:rsidRDefault="00F73183" w:rsidP="00686FEB">
      <w:pPr>
        <w:spacing w:line="240" w:lineRule="atLeast"/>
      </w:pPr>
      <w:hyperlink r:id="rId8" w:history="1">
        <w:r w:rsidR="009932A2" w:rsidRPr="00076E4B">
          <w:rPr>
            <w:rStyle w:val="Hyperlink"/>
            <w:rFonts w:ascii="Arial" w:hAnsi="Arial" w:cs="Arial"/>
          </w:rPr>
          <w:t>http://www.commsalliance.com.au/Documents/Technical-CE</w:t>
        </w:r>
      </w:hyperlink>
    </w:p>
    <w:bookmarkEnd w:id="0"/>
    <w:bookmarkEnd w:id="1"/>
    <w:p w:rsidR="00377DBC" w:rsidRPr="00076E4B" w:rsidRDefault="00377DBC" w:rsidP="00686FEB">
      <w:pPr>
        <w:spacing w:before="240" w:after="120" w:line="240" w:lineRule="atLeast"/>
        <w:rPr>
          <w:rFonts w:ascii="Arial" w:hAnsi="Arial" w:cs="Arial"/>
          <w:b/>
          <w:sz w:val="24"/>
          <w:szCs w:val="28"/>
        </w:rPr>
      </w:pPr>
      <w:r w:rsidRPr="00076E4B">
        <w:rPr>
          <w:rFonts w:ascii="Arial" w:hAnsi="Arial" w:cs="Arial"/>
          <w:b/>
          <w:sz w:val="24"/>
          <w:szCs w:val="28"/>
        </w:rPr>
        <w:t>Detailed Description of the Instrument</w:t>
      </w:r>
    </w:p>
    <w:p w:rsidR="007B459B" w:rsidRPr="00076E4B" w:rsidRDefault="00A87E9E" w:rsidP="00686FEB">
      <w:pPr>
        <w:spacing w:line="240" w:lineRule="atLeast"/>
        <w:rPr>
          <w:rFonts w:ascii="Arial" w:hAnsi="Arial" w:cs="Arial"/>
        </w:rPr>
      </w:pPr>
      <w:r w:rsidRPr="00076E4B">
        <w:rPr>
          <w:rFonts w:ascii="Arial" w:hAnsi="Arial" w:cs="Arial"/>
        </w:rPr>
        <w:t xml:space="preserve">Details of the </w:t>
      </w:r>
      <w:r w:rsidR="009932A2" w:rsidRPr="00076E4B">
        <w:rPr>
          <w:rFonts w:ascii="Arial" w:hAnsi="Arial" w:cs="Arial"/>
        </w:rPr>
        <w:t xml:space="preserve">ACMA </w:t>
      </w:r>
      <w:r w:rsidR="006639EF" w:rsidRPr="00076E4B">
        <w:rPr>
          <w:rFonts w:ascii="Arial" w:hAnsi="Arial" w:cs="Arial"/>
        </w:rPr>
        <w:t>2011</w:t>
      </w:r>
      <w:r w:rsidR="00E54EE6" w:rsidRPr="00076E4B">
        <w:rPr>
          <w:rFonts w:ascii="Arial" w:hAnsi="Arial" w:cs="Arial"/>
        </w:rPr>
        <w:t xml:space="preserve"> Standard</w:t>
      </w:r>
      <w:r w:rsidRPr="00076E4B">
        <w:rPr>
          <w:rFonts w:ascii="Arial" w:hAnsi="Arial" w:cs="Arial"/>
        </w:rPr>
        <w:t xml:space="preserve"> are in </w:t>
      </w:r>
      <w:r w:rsidRPr="00076E4B">
        <w:rPr>
          <w:rFonts w:ascii="Arial" w:hAnsi="Arial" w:cs="Arial"/>
          <w:b/>
        </w:rPr>
        <w:t>Attachment A</w:t>
      </w:r>
      <w:r w:rsidRPr="00076E4B">
        <w:rPr>
          <w:rFonts w:ascii="Arial" w:hAnsi="Arial" w:cs="Arial"/>
        </w:rPr>
        <w:t>.</w:t>
      </w:r>
    </w:p>
    <w:p w:rsidR="007B459B" w:rsidRPr="00076E4B" w:rsidRDefault="00652C82" w:rsidP="007D1AB1">
      <w:pPr>
        <w:jc w:val="right"/>
        <w:rPr>
          <w:b/>
          <w:color w:val="000000"/>
        </w:rPr>
      </w:pPr>
      <w:r w:rsidRPr="00076E4B">
        <w:rPr>
          <w:rFonts w:ascii="Arial" w:hAnsi="Arial" w:cs="Arial"/>
        </w:rPr>
        <w:br w:type="page"/>
      </w:r>
      <w:r w:rsidR="007B459B" w:rsidRPr="00076E4B">
        <w:rPr>
          <w:b/>
          <w:color w:val="000000"/>
        </w:rPr>
        <w:lastRenderedPageBreak/>
        <w:t>ATTACHMENT A</w:t>
      </w:r>
    </w:p>
    <w:p w:rsidR="007B459B" w:rsidRPr="00076E4B" w:rsidRDefault="007B459B" w:rsidP="007B459B">
      <w:pPr>
        <w:jc w:val="center"/>
        <w:rPr>
          <w:rFonts w:ascii="Arial" w:hAnsi="Arial" w:cs="Arial"/>
          <w:b/>
          <w:color w:val="000000"/>
          <w:sz w:val="28"/>
          <w:szCs w:val="28"/>
        </w:rPr>
      </w:pPr>
      <w:r w:rsidRPr="00076E4B">
        <w:rPr>
          <w:rFonts w:ascii="Arial" w:hAnsi="Arial" w:cs="Arial"/>
          <w:b/>
          <w:color w:val="000000"/>
          <w:sz w:val="28"/>
          <w:szCs w:val="28"/>
        </w:rPr>
        <w:t>Notes on Sections</w:t>
      </w:r>
    </w:p>
    <w:p w:rsidR="007B459B" w:rsidRPr="00076E4B" w:rsidRDefault="007B459B" w:rsidP="007D1AB1">
      <w:pPr>
        <w:pStyle w:val="Heading3"/>
        <w:tabs>
          <w:tab w:val="left" w:pos="1620"/>
        </w:tabs>
        <w:spacing w:after="120" w:line="240" w:lineRule="atLeast"/>
        <w:rPr>
          <w:rFonts w:ascii="Arial" w:hAnsi="Arial" w:cs="Arial"/>
          <w:szCs w:val="28"/>
        </w:rPr>
      </w:pPr>
      <w:r w:rsidRPr="00076E4B">
        <w:rPr>
          <w:rFonts w:ascii="Arial" w:hAnsi="Arial" w:cs="Arial"/>
          <w:szCs w:val="28"/>
        </w:rPr>
        <w:t>Section 1</w:t>
      </w:r>
      <w:r w:rsidRPr="00076E4B">
        <w:rPr>
          <w:rFonts w:ascii="Arial" w:hAnsi="Arial" w:cs="Arial"/>
          <w:szCs w:val="28"/>
        </w:rPr>
        <w:tab/>
        <w:t>Name of Technical Standard</w:t>
      </w:r>
    </w:p>
    <w:p w:rsidR="007B459B" w:rsidRPr="00076E4B" w:rsidRDefault="007B459B" w:rsidP="00A71BD5">
      <w:pPr>
        <w:spacing w:before="120" w:after="120"/>
        <w:rPr>
          <w:rFonts w:ascii="Arial" w:hAnsi="Arial" w:cs="Arial"/>
          <w:i/>
        </w:rPr>
      </w:pPr>
      <w:r w:rsidRPr="00076E4B">
        <w:rPr>
          <w:rFonts w:ascii="Arial" w:hAnsi="Arial" w:cs="Arial"/>
          <w:color w:val="000000"/>
        </w:rPr>
        <w:t xml:space="preserve">This section </w:t>
      </w:r>
      <w:r w:rsidR="007D1AB1" w:rsidRPr="00076E4B">
        <w:rPr>
          <w:rFonts w:ascii="Arial" w:hAnsi="Arial" w:cs="Arial"/>
          <w:color w:val="000000"/>
        </w:rPr>
        <w:t xml:space="preserve">provides that </w:t>
      </w:r>
      <w:r w:rsidRPr="00076E4B">
        <w:rPr>
          <w:rFonts w:ascii="Arial" w:hAnsi="Arial" w:cs="Arial"/>
          <w:color w:val="000000"/>
        </w:rPr>
        <w:t xml:space="preserve">the name of the Standard </w:t>
      </w:r>
      <w:r w:rsidR="007D1AB1" w:rsidRPr="00076E4B">
        <w:rPr>
          <w:rFonts w:ascii="Arial" w:hAnsi="Arial" w:cs="Arial"/>
          <w:color w:val="000000"/>
        </w:rPr>
        <w:t xml:space="preserve">is </w:t>
      </w:r>
      <w:r w:rsidR="00DB0024" w:rsidRPr="00076E4B">
        <w:rPr>
          <w:rFonts w:ascii="Arial" w:hAnsi="Arial" w:cs="Arial"/>
          <w:color w:val="000000"/>
        </w:rPr>
        <w:t xml:space="preserve">the </w:t>
      </w:r>
      <w:r w:rsidR="00E953E8" w:rsidRPr="00076E4B">
        <w:rPr>
          <w:rFonts w:ascii="Arial" w:hAnsi="Arial" w:cs="Arial"/>
          <w:i/>
        </w:rPr>
        <w:t>Telecommunications Technical Standard</w:t>
      </w:r>
      <w:r w:rsidR="00E953E8" w:rsidRPr="00076E4B">
        <w:rPr>
          <w:rFonts w:ascii="Arial" w:hAnsi="Arial" w:cs="Arial"/>
        </w:rPr>
        <w:t xml:space="preserve"> </w:t>
      </w:r>
      <w:r w:rsidR="00E953E8" w:rsidRPr="00076E4B">
        <w:rPr>
          <w:rFonts w:ascii="Arial" w:hAnsi="Arial" w:cs="Arial"/>
          <w:i/>
        </w:rPr>
        <w:t>(Requirements for Connection to an Air</w:t>
      </w:r>
      <w:r w:rsidR="006B523E" w:rsidRPr="00076E4B">
        <w:rPr>
          <w:rFonts w:ascii="Arial" w:hAnsi="Arial" w:cs="Arial"/>
          <w:i/>
        </w:rPr>
        <w:t xml:space="preserve"> I</w:t>
      </w:r>
      <w:r w:rsidR="00E953E8" w:rsidRPr="00076E4B">
        <w:rPr>
          <w:rFonts w:ascii="Arial" w:hAnsi="Arial" w:cs="Arial"/>
          <w:i/>
        </w:rPr>
        <w:t>nterface of a Telecommunications Network - Part 4: IMT-2000 Customer Equipment - AS/CA S042.4:2010) 2011</w:t>
      </w:r>
      <w:r w:rsidR="00A71BD5" w:rsidRPr="00076E4B">
        <w:rPr>
          <w:rFonts w:ascii="Arial" w:hAnsi="Arial" w:cs="Arial"/>
          <w:i/>
        </w:rPr>
        <w:t>.</w:t>
      </w:r>
    </w:p>
    <w:p w:rsidR="009D7577" w:rsidRPr="00076E4B" w:rsidRDefault="009D7577" w:rsidP="007D1AB1">
      <w:pPr>
        <w:spacing w:before="120" w:after="120" w:line="240" w:lineRule="atLeast"/>
        <w:rPr>
          <w:rFonts w:ascii="Arial" w:hAnsi="Arial" w:cs="Arial"/>
        </w:rPr>
      </w:pPr>
      <w:r w:rsidRPr="00076E4B">
        <w:rPr>
          <w:rFonts w:ascii="Arial" w:hAnsi="Arial" w:cs="Arial"/>
        </w:rPr>
        <w:t xml:space="preserve">This section also notes that the ACMA 2011 Standard may also be cited as </w:t>
      </w:r>
      <w:r w:rsidR="00E953E8" w:rsidRPr="00076E4B">
        <w:rPr>
          <w:rFonts w:ascii="Arial" w:hAnsi="Arial" w:cs="Arial"/>
        </w:rPr>
        <w:t>AS/CA S042.4</w:t>
      </w:r>
      <w:r w:rsidR="00DB0024" w:rsidRPr="00076E4B">
        <w:rPr>
          <w:rFonts w:ascii="Arial" w:hAnsi="Arial" w:cs="Arial"/>
        </w:rPr>
        <w:t>-2011.</w:t>
      </w:r>
      <w:r w:rsidRPr="00076E4B">
        <w:rPr>
          <w:rFonts w:ascii="Arial" w:hAnsi="Arial" w:cs="Arial"/>
        </w:rPr>
        <w:t xml:space="preserve">The alternative citation is the name by which the ACMA 2011 Standard is usually cited by the ACMA. </w:t>
      </w:r>
    </w:p>
    <w:p w:rsidR="007B459B" w:rsidRPr="00076E4B" w:rsidRDefault="009244EC" w:rsidP="007D1AB1">
      <w:pPr>
        <w:pStyle w:val="Heading3"/>
        <w:tabs>
          <w:tab w:val="left" w:pos="1620"/>
        </w:tabs>
        <w:spacing w:after="120" w:line="240" w:lineRule="atLeast"/>
        <w:rPr>
          <w:rFonts w:ascii="Arial" w:hAnsi="Arial" w:cs="Arial"/>
          <w:color w:val="000000"/>
          <w:szCs w:val="28"/>
        </w:rPr>
      </w:pPr>
      <w:r w:rsidRPr="00076E4B">
        <w:rPr>
          <w:rFonts w:ascii="Arial" w:hAnsi="Arial" w:cs="Arial"/>
          <w:szCs w:val="28"/>
        </w:rPr>
        <w:t>Section 2</w:t>
      </w:r>
      <w:r w:rsidRPr="00076E4B">
        <w:rPr>
          <w:rFonts w:ascii="Arial" w:hAnsi="Arial" w:cs="Arial"/>
          <w:szCs w:val="28"/>
        </w:rPr>
        <w:tab/>
        <w:t>Commencement</w:t>
      </w:r>
    </w:p>
    <w:p w:rsidR="007B459B" w:rsidRPr="00076E4B" w:rsidRDefault="007B459B" w:rsidP="007D1AB1">
      <w:pPr>
        <w:spacing w:before="120" w:after="120" w:line="240" w:lineRule="atLeast"/>
        <w:rPr>
          <w:rFonts w:ascii="Arial" w:hAnsi="Arial" w:cs="Arial"/>
          <w:color w:val="000000"/>
        </w:rPr>
      </w:pPr>
      <w:r w:rsidRPr="00076E4B">
        <w:rPr>
          <w:rFonts w:ascii="Arial" w:hAnsi="Arial" w:cs="Arial"/>
          <w:color w:val="000000"/>
        </w:rPr>
        <w:t xml:space="preserve">This section provides </w:t>
      </w:r>
      <w:r w:rsidR="00E173BF" w:rsidRPr="00076E4B">
        <w:rPr>
          <w:rFonts w:ascii="Arial" w:hAnsi="Arial" w:cs="Arial"/>
          <w:color w:val="000000"/>
        </w:rPr>
        <w:t>for</w:t>
      </w:r>
      <w:r w:rsidRPr="00076E4B">
        <w:rPr>
          <w:rFonts w:ascii="Arial" w:hAnsi="Arial" w:cs="Arial"/>
          <w:color w:val="000000"/>
        </w:rPr>
        <w:t xml:space="preserve"> the </w:t>
      </w:r>
      <w:r w:rsidR="001359E3" w:rsidRPr="00076E4B">
        <w:rPr>
          <w:rFonts w:ascii="Arial" w:hAnsi="Arial" w:cs="Arial"/>
          <w:color w:val="000000"/>
        </w:rPr>
        <w:t>ACMA 2011 S</w:t>
      </w:r>
      <w:r w:rsidRPr="00076E4B">
        <w:rPr>
          <w:rFonts w:ascii="Arial" w:hAnsi="Arial" w:cs="Arial"/>
          <w:color w:val="000000"/>
        </w:rPr>
        <w:t xml:space="preserve">tandard </w:t>
      </w:r>
      <w:r w:rsidR="00E173BF" w:rsidRPr="00076E4B">
        <w:rPr>
          <w:rFonts w:ascii="Arial" w:hAnsi="Arial" w:cs="Arial"/>
          <w:color w:val="000000"/>
        </w:rPr>
        <w:t>to commence</w:t>
      </w:r>
      <w:r w:rsidRPr="00076E4B">
        <w:rPr>
          <w:rFonts w:ascii="Arial" w:hAnsi="Arial" w:cs="Arial"/>
          <w:color w:val="000000"/>
        </w:rPr>
        <w:t xml:space="preserve"> on the day after it is registered</w:t>
      </w:r>
      <w:r w:rsidR="007D1AB1" w:rsidRPr="00076E4B">
        <w:rPr>
          <w:rFonts w:ascii="Arial" w:hAnsi="Arial" w:cs="Arial"/>
          <w:color w:val="000000"/>
        </w:rPr>
        <w:t xml:space="preserve"> </w:t>
      </w:r>
      <w:r w:rsidR="007D1AB1" w:rsidRPr="00076E4B">
        <w:rPr>
          <w:rFonts w:ascii="Arial" w:hAnsi="Arial" w:cs="Arial"/>
          <w:szCs w:val="20"/>
        </w:rPr>
        <w:t>on the Federal Register of Legislative Instruments</w:t>
      </w:r>
      <w:r w:rsidRPr="00076E4B">
        <w:rPr>
          <w:rFonts w:ascii="Arial" w:hAnsi="Arial" w:cs="Arial"/>
          <w:color w:val="000000"/>
          <w:sz w:val="24"/>
        </w:rPr>
        <w:t>.</w:t>
      </w:r>
    </w:p>
    <w:p w:rsidR="007B459B" w:rsidRPr="00076E4B" w:rsidRDefault="00D966E7" w:rsidP="007D1AB1">
      <w:pPr>
        <w:pStyle w:val="Heading3"/>
        <w:tabs>
          <w:tab w:val="left" w:pos="1620"/>
        </w:tabs>
        <w:spacing w:after="120" w:line="240" w:lineRule="atLeast"/>
        <w:rPr>
          <w:rFonts w:ascii="Arial" w:hAnsi="Arial" w:cs="Arial"/>
          <w:color w:val="000000"/>
          <w:szCs w:val="28"/>
        </w:rPr>
      </w:pPr>
      <w:r w:rsidRPr="00076E4B">
        <w:rPr>
          <w:rFonts w:ascii="Arial" w:hAnsi="Arial" w:cs="Arial"/>
          <w:szCs w:val="28"/>
        </w:rPr>
        <w:t>Section 3</w:t>
      </w:r>
      <w:r w:rsidR="007B459B" w:rsidRPr="00076E4B">
        <w:rPr>
          <w:rFonts w:ascii="Arial" w:hAnsi="Arial" w:cs="Arial"/>
          <w:szCs w:val="28"/>
        </w:rPr>
        <w:tab/>
        <w:t>Definitions</w:t>
      </w:r>
    </w:p>
    <w:p w:rsidR="00DB0024" w:rsidRPr="00076E4B" w:rsidRDefault="007B459B" w:rsidP="00DB0024">
      <w:pPr>
        <w:spacing w:before="120" w:after="120"/>
        <w:rPr>
          <w:rFonts w:ascii="Arial" w:hAnsi="Arial" w:cs="Arial"/>
        </w:rPr>
      </w:pPr>
      <w:r w:rsidRPr="00076E4B">
        <w:rPr>
          <w:rFonts w:ascii="Arial" w:hAnsi="Arial" w:cs="Arial"/>
          <w:color w:val="000000"/>
        </w:rPr>
        <w:t>This section provides d</w:t>
      </w:r>
      <w:r w:rsidR="00964BB8" w:rsidRPr="00076E4B">
        <w:rPr>
          <w:rFonts w:ascii="Arial" w:hAnsi="Arial" w:cs="Arial"/>
          <w:color w:val="000000"/>
        </w:rPr>
        <w:t>efinitions for</w:t>
      </w:r>
      <w:r w:rsidR="007D1AB1" w:rsidRPr="00076E4B">
        <w:rPr>
          <w:rFonts w:ascii="Arial" w:hAnsi="Arial" w:cs="Arial"/>
          <w:color w:val="000000"/>
        </w:rPr>
        <w:t xml:space="preserve"> terms used in the ACMA 2011 Standard</w:t>
      </w:r>
      <w:r w:rsidR="00964BB8" w:rsidRPr="00076E4B">
        <w:rPr>
          <w:rFonts w:ascii="Arial" w:hAnsi="Arial" w:cs="Arial"/>
          <w:color w:val="000000"/>
        </w:rPr>
        <w:t>.</w:t>
      </w:r>
      <w:r w:rsidR="008C7556" w:rsidRPr="00076E4B">
        <w:rPr>
          <w:rFonts w:ascii="Arial" w:hAnsi="Arial" w:cs="Arial"/>
          <w:color w:val="000000"/>
        </w:rPr>
        <w:t xml:space="preserve"> It includes </w:t>
      </w:r>
      <w:r w:rsidR="00DB0024" w:rsidRPr="00076E4B">
        <w:rPr>
          <w:rFonts w:ascii="Arial" w:hAnsi="Arial" w:cs="Arial"/>
          <w:color w:val="000000"/>
        </w:rPr>
        <w:t xml:space="preserve">definitions for </w:t>
      </w:r>
      <w:r w:rsidR="00E953E8" w:rsidRPr="00076E4B">
        <w:rPr>
          <w:rFonts w:ascii="Arial" w:hAnsi="Arial" w:cs="Arial"/>
          <w:i/>
        </w:rPr>
        <w:t>addressable device, E-UTRA FDD, IMT-2000,</w:t>
      </w:r>
      <w:r w:rsidR="00E953E8" w:rsidRPr="00076E4B">
        <w:rPr>
          <w:rFonts w:ascii="Arial" w:hAnsi="Arial" w:cs="Arial"/>
        </w:rPr>
        <w:t xml:space="preserve"> </w:t>
      </w:r>
      <w:r w:rsidR="00E953E8" w:rsidRPr="00076E4B">
        <w:rPr>
          <w:rFonts w:ascii="Arial" w:hAnsi="Arial" w:cs="Arial"/>
          <w:i/>
        </w:rPr>
        <w:t>mandatory requirement, OFDMA TDD WMAN</w:t>
      </w:r>
      <w:r w:rsidR="002D13C7">
        <w:rPr>
          <w:rFonts w:ascii="Arial" w:hAnsi="Arial" w:cs="Arial"/>
          <w:i/>
        </w:rPr>
        <w:t xml:space="preserve">, </w:t>
      </w:r>
      <w:r w:rsidR="002D13C7" w:rsidRPr="00076E4B">
        <w:rPr>
          <w:rFonts w:ascii="Arial" w:hAnsi="Arial" w:cs="Arial"/>
          <w:i/>
        </w:rPr>
        <w:t>satellite</w:t>
      </w:r>
      <w:r w:rsidR="00E953E8" w:rsidRPr="00076E4B">
        <w:rPr>
          <w:rFonts w:ascii="Arial" w:hAnsi="Arial" w:cs="Arial"/>
          <w:i/>
        </w:rPr>
        <w:t xml:space="preserve"> service</w:t>
      </w:r>
      <w:r w:rsidR="00E953E8" w:rsidRPr="00076E4B">
        <w:rPr>
          <w:rFonts w:ascii="Arial" w:hAnsi="Arial" w:cs="Arial"/>
        </w:rPr>
        <w:t xml:space="preserve"> and </w:t>
      </w:r>
      <w:r w:rsidR="00E953E8" w:rsidRPr="00076E4B">
        <w:rPr>
          <w:rFonts w:ascii="Arial" w:hAnsi="Arial" w:cs="Arial"/>
          <w:i/>
        </w:rPr>
        <w:t>UTRA FDD</w:t>
      </w:r>
      <w:r w:rsidR="00E953E8" w:rsidRPr="00076E4B">
        <w:rPr>
          <w:rFonts w:ascii="Arial" w:hAnsi="Arial" w:cs="Arial"/>
        </w:rPr>
        <w:t xml:space="preserve"> </w:t>
      </w:r>
      <w:r w:rsidR="00DB0024" w:rsidRPr="00076E4B">
        <w:rPr>
          <w:rFonts w:ascii="Arial" w:hAnsi="Arial" w:cs="Arial"/>
        </w:rPr>
        <w:t>which are not defined in the Act.</w:t>
      </w:r>
    </w:p>
    <w:p w:rsidR="00D966E7" w:rsidRPr="00076E4B" w:rsidRDefault="00D966E7" w:rsidP="007D1AB1">
      <w:pPr>
        <w:pStyle w:val="Heading3"/>
        <w:tabs>
          <w:tab w:val="left" w:pos="1620"/>
        </w:tabs>
        <w:spacing w:after="120" w:line="240" w:lineRule="atLeast"/>
        <w:rPr>
          <w:rFonts w:ascii="Arial" w:hAnsi="Arial" w:cs="Arial"/>
          <w:color w:val="000000"/>
          <w:szCs w:val="28"/>
        </w:rPr>
      </w:pPr>
      <w:bookmarkStart w:id="2" w:name="OLE_LINK2"/>
      <w:r w:rsidRPr="00076E4B">
        <w:rPr>
          <w:rFonts w:ascii="Arial" w:hAnsi="Arial" w:cs="Arial"/>
          <w:szCs w:val="28"/>
        </w:rPr>
        <w:t>Section 4</w:t>
      </w:r>
      <w:r w:rsidRPr="00076E4B">
        <w:rPr>
          <w:rFonts w:ascii="Arial" w:hAnsi="Arial" w:cs="Arial"/>
          <w:szCs w:val="28"/>
        </w:rPr>
        <w:tab/>
        <w:t>Objects of Technical Standard</w:t>
      </w:r>
    </w:p>
    <w:bookmarkEnd w:id="2"/>
    <w:p w:rsidR="00D966E7" w:rsidRPr="00076E4B" w:rsidRDefault="00D966E7" w:rsidP="007D1AB1">
      <w:pPr>
        <w:spacing w:before="120" w:after="120" w:line="240" w:lineRule="atLeast"/>
        <w:rPr>
          <w:rFonts w:ascii="Arial" w:hAnsi="Arial" w:cs="Arial"/>
          <w:color w:val="000000"/>
        </w:rPr>
      </w:pPr>
      <w:r w:rsidRPr="00076E4B">
        <w:rPr>
          <w:rFonts w:ascii="Arial" w:hAnsi="Arial" w:cs="Arial"/>
          <w:color w:val="000000"/>
        </w:rPr>
        <w:t xml:space="preserve">This section sets out the objects of the </w:t>
      </w:r>
      <w:r w:rsidR="0082781E" w:rsidRPr="00076E4B">
        <w:rPr>
          <w:rFonts w:ascii="Arial" w:hAnsi="Arial" w:cs="Arial"/>
          <w:color w:val="000000"/>
        </w:rPr>
        <w:t>ACMA 2011</w:t>
      </w:r>
      <w:r w:rsidRPr="00076E4B">
        <w:rPr>
          <w:rFonts w:ascii="Arial" w:hAnsi="Arial" w:cs="Arial"/>
          <w:color w:val="000000"/>
        </w:rPr>
        <w:t xml:space="preserve"> Standard. </w:t>
      </w:r>
      <w:r w:rsidR="007B401B" w:rsidRPr="00076E4B">
        <w:rPr>
          <w:rFonts w:ascii="Arial" w:hAnsi="Arial" w:cs="Arial"/>
          <w:color w:val="000000"/>
        </w:rPr>
        <w:t xml:space="preserve"> </w:t>
      </w:r>
      <w:r w:rsidRPr="00076E4B">
        <w:rPr>
          <w:rFonts w:ascii="Arial" w:hAnsi="Arial" w:cs="Arial"/>
          <w:color w:val="000000"/>
        </w:rPr>
        <w:t xml:space="preserve">These objects are consistent with matters that may be incorporated into a standard as provided by </w:t>
      </w:r>
      <w:r w:rsidR="002D13C7">
        <w:rPr>
          <w:rFonts w:ascii="Arial" w:hAnsi="Arial" w:cs="Arial"/>
          <w:color w:val="000000"/>
        </w:rPr>
        <w:t>paragraphs</w:t>
      </w:r>
      <w:r w:rsidR="002D13C7" w:rsidRPr="00076E4B">
        <w:rPr>
          <w:rFonts w:ascii="Arial" w:hAnsi="Arial" w:cs="Arial"/>
          <w:color w:val="000000"/>
        </w:rPr>
        <w:t xml:space="preserve"> </w:t>
      </w:r>
      <w:r w:rsidRPr="00076E4B">
        <w:rPr>
          <w:rFonts w:ascii="Arial" w:hAnsi="Arial" w:cs="Arial"/>
          <w:color w:val="000000"/>
        </w:rPr>
        <w:t>376(2)</w:t>
      </w:r>
      <w:r w:rsidR="00E151E1" w:rsidRPr="00076E4B">
        <w:rPr>
          <w:rFonts w:ascii="Arial" w:hAnsi="Arial" w:cs="Arial"/>
          <w:color w:val="000000"/>
        </w:rPr>
        <w:t xml:space="preserve"> (a) </w:t>
      </w:r>
      <w:r w:rsidR="00DC3215" w:rsidRPr="00076E4B">
        <w:rPr>
          <w:rFonts w:ascii="Arial" w:hAnsi="Arial" w:cs="Arial"/>
          <w:color w:val="000000"/>
        </w:rPr>
        <w:t>to (d)</w:t>
      </w:r>
      <w:r w:rsidRPr="00076E4B">
        <w:rPr>
          <w:rFonts w:ascii="Arial" w:hAnsi="Arial" w:cs="Arial"/>
          <w:color w:val="000000"/>
        </w:rPr>
        <w:t xml:space="preserve"> of the </w:t>
      </w:r>
      <w:r w:rsidR="00B91CAB" w:rsidRPr="00076E4B">
        <w:rPr>
          <w:rFonts w:ascii="Arial" w:hAnsi="Arial" w:cs="Arial"/>
          <w:color w:val="000000"/>
        </w:rPr>
        <w:t>Act</w:t>
      </w:r>
      <w:r w:rsidRPr="00076E4B">
        <w:rPr>
          <w:rFonts w:ascii="Arial" w:hAnsi="Arial" w:cs="Arial"/>
          <w:color w:val="000000"/>
        </w:rPr>
        <w:t>.</w:t>
      </w:r>
    </w:p>
    <w:p w:rsidR="007B459B" w:rsidRPr="00076E4B" w:rsidRDefault="007B459B" w:rsidP="007D1AB1">
      <w:pPr>
        <w:pStyle w:val="Heading3"/>
        <w:tabs>
          <w:tab w:val="left" w:pos="1620"/>
        </w:tabs>
        <w:spacing w:after="120" w:line="240" w:lineRule="atLeast"/>
        <w:rPr>
          <w:rFonts w:ascii="Arial" w:hAnsi="Arial" w:cs="Arial"/>
          <w:szCs w:val="28"/>
        </w:rPr>
      </w:pPr>
      <w:r w:rsidRPr="00076E4B">
        <w:rPr>
          <w:rFonts w:ascii="Arial" w:hAnsi="Arial" w:cs="Arial"/>
          <w:szCs w:val="28"/>
        </w:rPr>
        <w:t xml:space="preserve">Section </w:t>
      </w:r>
      <w:r w:rsidR="0076369D" w:rsidRPr="00076E4B">
        <w:rPr>
          <w:rFonts w:ascii="Arial" w:hAnsi="Arial" w:cs="Arial"/>
          <w:szCs w:val="28"/>
        </w:rPr>
        <w:t>5</w:t>
      </w:r>
      <w:r w:rsidRPr="00076E4B">
        <w:rPr>
          <w:rFonts w:ascii="Arial" w:hAnsi="Arial" w:cs="Arial"/>
          <w:szCs w:val="28"/>
        </w:rPr>
        <w:tab/>
      </w:r>
      <w:r w:rsidR="002F22F4" w:rsidRPr="00076E4B">
        <w:rPr>
          <w:rFonts w:ascii="Arial" w:hAnsi="Arial" w:cs="Arial"/>
          <w:szCs w:val="28"/>
        </w:rPr>
        <w:t>Application of Technical Standard</w:t>
      </w:r>
    </w:p>
    <w:p w:rsidR="00E953E8" w:rsidRPr="00076E4B" w:rsidRDefault="002F22F4" w:rsidP="00E953E8">
      <w:pPr>
        <w:autoSpaceDE w:val="0"/>
        <w:autoSpaceDN w:val="0"/>
        <w:adjustRightInd w:val="0"/>
        <w:spacing w:line="240" w:lineRule="atLeast"/>
        <w:rPr>
          <w:rFonts w:ascii="Arial" w:hAnsi="Arial" w:cs="Arial"/>
        </w:rPr>
      </w:pPr>
      <w:r w:rsidRPr="00076E4B">
        <w:rPr>
          <w:rFonts w:ascii="Arial" w:hAnsi="Arial" w:cs="Arial"/>
          <w:lang w:eastAsia="en-AU"/>
        </w:rPr>
        <w:t>This section iden</w:t>
      </w:r>
      <w:r w:rsidR="00F84184" w:rsidRPr="00076E4B">
        <w:rPr>
          <w:rFonts w:ascii="Arial" w:hAnsi="Arial" w:cs="Arial"/>
          <w:lang w:eastAsia="en-AU"/>
        </w:rPr>
        <w:t xml:space="preserve">tifies the scope of application </w:t>
      </w:r>
      <w:r w:rsidRPr="00076E4B">
        <w:rPr>
          <w:rFonts w:ascii="Arial" w:hAnsi="Arial" w:cs="Arial"/>
          <w:lang w:eastAsia="en-AU"/>
        </w:rPr>
        <w:t xml:space="preserve">of the </w:t>
      </w:r>
      <w:r w:rsidR="00E151E1" w:rsidRPr="00076E4B">
        <w:rPr>
          <w:rFonts w:ascii="Arial" w:hAnsi="Arial" w:cs="Arial"/>
          <w:lang w:eastAsia="en-AU"/>
        </w:rPr>
        <w:t>ACMA 2011 S</w:t>
      </w:r>
      <w:r w:rsidRPr="00076E4B">
        <w:rPr>
          <w:rFonts w:ascii="Arial" w:hAnsi="Arial" w:cs="Arial"/>
          <w:lang w:eastAsia="en-AU"/>
        </w:rPr>
        <w:t>tandard</w:t>
      </w:r>
      <w:r w:rsidR="00F93C8D" w:rsidRPr="00076E4B">
        <w:rPr>
          <w:rFonts w:ascii="Arial" w:hAnsi="Arial" w:cs="Arial"/>
        </w:rPr>
        <w:t xml:space="preserve">. </w:t>
      </w:r>
      <w:r w:rsidR="00E953E8" w:rsidRPr="00076E4B">
        <w:rPr>
          <w:rFonts w:ascii="Arial" w:hAnsi="Arial" w:cs="Arial"/>
        </w:rPr>
        <w:t>It applies to IMT-2000 customer equipment that is:</w:t>
      </w:r>
    </w:p>
    <w:p w:rsidR="00E953E8" w:rsidRPr="00076E4B" w:rsidRDefault="00E953E8" w:rsidP="00E953E8">
      <w:pPr>
        <w:autoSpaceDE w:val="0"/>
        <w:autoSpaceDN w:val="0"/>
        <w:adjustRightInd w:val="0"/>
        <w:spacing w:before="120" w:after="120" w:line="240" w:lineRule="atLeast"/>
        <w:ind w:firstLine="720"/>
        <w:rPr>
          <w:rFonts w:ascii="Arial" w:hAnsi="Arial" w:cs="Arial"/>
        </w:rPr>
      </w:pPr>
      <w:r w:rsidRPr="00076E4B">
        <w:rPr>
          <w:rFonts w:ascii="Arial" w:hAnsi="Arial" w:cs="Arial"/>
        </w:rPr>
        <w:t>(a)</w:t>
      </w:r>
      <w:r w:rsidRPr="00076E4B">
        <w:rPr>
          <w:rFonts w:ascii="Arial" w:hAnsi="Arial" w:cs="Arial"/>
        </w:rPr>
        <w:tab/>
        <w:t>designed, or intended, for use in connection with an IMT-2000 PMTS; and</w:t>
      </w:r>
    </w:p>
    <w:p w:rsidR="00E953E8" w:rsidRPr="00076E4B" w:rsidRDefault="00E953E8" w:rsidP="00E953E8">
      <w:pPr>
        <w:autoSpaceDE w:val="0"/>
        <w:autoSpaceDN w:val="0"/>
        <w:adjustRightInd w:val="0"/>
        <w:spacing w:before="120" w:after="120" w:line="240" w:lineRule="atLeast"/>
        <w:ind w:firstLine="720"/>
        <w:rPr>
          <w:rFonts w:ascii="Arial" w:hAnsi="Arial" w:cs="Arial"/>
        </w:rPr>
      </w:pPr>
      <w:r w:rsidRPr="00076E4B">
        <w:rPr>
          <w:rFonts w:ascii="Arial" w:hAnsi="Arial" w:cs="Arial"/>
        </w:rPr>
        <w:t>(b)</w:t>
      </w:r>
      <w:r w:rsidRPr="00076E4B">
        <w:rPr>
          <w:rFonts w:ascii="Arial" w:hAnsi="Arial" w:cs="Arial"/>
        </w:rPr>
        <w:tab/>
        <w:t>an addressable device; and</w:t>
      </w:r>
    </w:p>
    <w:p w:rsidR="00E953E8" w:rsidRPr="00076E4B" w:rsidRDefault="00E953E8" w:rsidP="00E953E8">
      <w:pPr>
        <w:autoSpaceDE w:val="0"/>
        <w:autoSpaceDN w:val="0"/>
        <w:adjustRightInd w:val="0"/>
        <w:spacing w:before="120" w:after="120" w:line="240" w:lineRule="atLeast"/>
        <w:ind w:firstLine="720"/>
        <w:rPr>
          <w:rFonts w:ascii="Arial" w:hAnsi="Arial" w:cs="Arial"/>
        </w:rPr>
      </w:pPr>
      <w:r w:rsidRPr="00076E4B">
        <w:rPr>
          <w:rFonts w:ascii="Arial" w:hAnsi="Arial" w:cs="Arial"/>
        </w:rPr>
        <w:t>(c)</w:t>
      </w:r>
      <w:r w:rsidRPr="00076E4B">
        <w:rPr>
          <w:rFonts w:ascii="Arial" w:hAnsi="Arial" w:cs="Arial"/>
        </w:rPr>
        <w:tab/>
        <w:t>based upon any of the following IMT-2000 technologies:</w:t>
      </w:r>
    </w:p>
    <w:p w:rsidR="00E953E8" w:rsidRPr="00076E4B" w:rsidRDefault="00E953E8" w:rsidP="00E953E8">
      <w:pPr>
        <w:autoSpaceDE w:val="0"/>
        <w:autoSpaceDN w:val="0"/>
        <w:adjustRightInd w:val="0"/>
        <w:spacing w:before="120" w:after="120" w:line="240" w:lineRule="atLeast"/>
        <w:rPr>
          <w:rFonts w:ascii="Arial" w:hAnsi="Arial" w:cs="Arial"/>
        </w:rPr>
      </w:pPr>
      <w:r w:rsidRPr="00076E4B">
        <w:rPr>
          <w:rFonts w:ascii="Arial" w:hAnsi="Arial" w:cs="Arial"/>
        </w:rPr>
        <w:tab/>
      </w:r>
      <w:r w:rsidRPr="00076E4B">
        <w:rPr>
          <w:rFonts w:ascii="Arial" w:hAnsi="Arial" w:cs="Arial"/>
        </w:rPr>
        <w:tab/>
        <w:t>(i)</w:t>
      </w:r>
      <w:r w:rsidRPr="00076E4B">
        <w:rPr>
          <w:rFonts w:ascii="Arial" w:hAnsi="Arial" w:cs="Arial"/>
        </w:rPr>
        <w:tab/>
        <w:t>UTRA FDD;</w:t>
      </w:r>
    </w:p>
    <w:p w:rsidR="00E953E8" w:rsidRPr="00076E4B" w:rsidRDefault="00E953E8" w:rsidP="00E953E8">
      <w:pPr>
        <w:autoSpaceDE w:val="0"/>
        <w:autoSpaceDN w:val="0"/>
        <w:adjustRightInd w:val="0"/>
        <w:spacing w:before="120" w:after="120" w:line="240" w:lineRule="atLeast"/>
        <w:rPr>
          <w:rFonts w:ascii="Arial" w:hAnsi="Arial" w:cs="Arial"/>
        </w:rPr>
      </w:pPr>
      <w:r w:rsidRPr="00076E4B">
        <w:rPr>
          <w:rFonts w:ascii="Arial" w:hAnsi="Arial" w:cs="Arial"/>
        </w:rPr>
        <w:tab/>
      </w:r>
      <w:r w:rsidRPr="00076E4B">
        <w:rPr>
          <w:rFonts w:ascii="Arial" w:hAnsi="Arial" w:cs="Arial"/>
        </w:rPr>
        <w:tab/>
        <w:t>(ii)</w:t>
      </w:r>
      <w:r w:rsidRPr="00076E4B">
        <w:rPr>
          <w:rFonts w:ascii="Arial" w:hAnsi="Arial" w:cs="Arial"/>
        </w:rPr>
        <w:tab/>
        <w:t>E-UTRA FDD; or</w:t>
      </w:r>
    </w:p>
    <w:p w:rsidR="00E953E8" w:rsidRPr="00076E4B" w:rsidRDefault="00E953E8" w:rsidP="00E953E8">
      <w:pPr>
        <w:autoSpaceDE w:val="0"/>
        <w:autoSpaceDN w:val="0"/>
        <w:adjustRightInd w:val="0"/>
        <w:spacing w:before="120" w:line="240" w:lineRule="atLeast"/>
        <w:rPr>
          <w:rFonts w:ascii="Arial" w:hAnsi="Arial" w:cs="Arial"/>
        </w:rPr>
      </w:pPr>
      <w:r w:rsidRPr="00076E4B">
        <w:rPr>
          <w:rFonts w:ascii="Arial" w:hAnsi="Arial" w:cs="Arial"/>
        </w:rPr>
        <w:tab/>
      </w:r>
      <w:r w:rsidRPr="00076E4B">
        <w:rPr>
          <w:rFonts w:ascii="Arial" w:hAnsi="Arial" w:cs="Arial"/>
        </w:rPr>
        <w:tab/>
        <w:t>(iii)</w:t>
      </w:r>
      <w:r w:rsidRPr="00076E4B">
        <w:rPr>
          <w:rFonts w:ascii="Arial" w:hAnsi="Arial" w:cs="Arial"/>
        </w:rPr>
        <w:tab/>
        <w:t>OFDMA TDD WMAN.</w:t>
      </w:r>
    </w:p>
    <w:p w:rsidR="002F22F4" w:rsidRPr="00076E4B" w:rsidRDefault="002F22F4" w:rsidP="00E953E8">
      <w:pPr>
        <w:autoSpaceDE w:val="0"/>
        <w:autoSpaceDN w:val="0"/>
        <w:adjustRightInd w:val="0"/>
        <w:spacing w:before="240" w:after="120" w:line="240" w:lineRule="atLeast"/>
        <w:rPr>
          <w:rFonts w:ascii="Arial" w:hAnsi="Arial" w:cs="Arial"/>
          <w:b/>
          <w:sz w:val="24"/>
          <w:szCs w:val="28"/>
          <w:lang w:eastAsia="en-AU"/>
        </w:rPr>
      </w:pPr>
      <w:r w:rsidRPr="00076E4B">
        <w:rPr>
          <w:rFonts w:ascii="Arial" w:hAnsi="Arial" w:cs="Arial"/>
          <w:b/>
          <w:sz w:val="24"/>
          <w:szCs w:val="28"/>
          <w:lang w:eastAsia="en-AU"/>
        </w:rPr>
        <w:t>Section 6</w:t>
      </w:r>
      <w:r w:rsidRPr="00076E4B">
        <w:rPr>
          <w:rFonts w:ascii="Arial" w:hAnsi="Arial" w:cs="Arial"/>
          <w:b/>
          <w:sz w:val="24"/>
          <w:szCs w:val="28"/>
          <w:lang w:eastAsia="en-AU"/>
        </w:rPr>
        <w:tab/>
        <w:t xml:space="preserve">  Requirements</w:t>
      </w:r>
    </w:p>
    <w:p w:rsidR="007D1AB1" w:rsidRPr="00076E4B" w:rsidRDefault="009C26F8" w:rsidP="00E953E8">
      <w:pPr>
        <w:spacing w:line="240" w:lineRule="atLeast"/>
        <w:rPr>
          <w:rFonts w:ascii="Arial" w:hAnsi="Arial" w:cs="Arial"/>
          <w:color w:val="000000"/>
        </w:rPr>
      </w:pPr>
      <w:r w:rsidRPr="00076E4B">
        <w:rPr>
          <w:rFonts w:ascii="Arial" w:hAnsi="Arial" w:cs="Arial"/>
          <w:color w:val="000000"/>
        </w:rPr>
        <w:t xml:space="preserve">This section </w:t>
      </w:r>
      <w:r w:rsidR="00B1683F" w:rsidRPr="00076E4B">
        <w:rPr>
          <w:rFonts w:ascii="Arial" w:hAnsi="Arial" w:cs="Arial"/>
          <w:color w:val="000000"/>
        </w:rPr>
        <w:t>provides that</w:t>
      </w:r>
      <w:r w:rsidRPr="00076E4B">
        <w:rPr>
          <w:rFonts w:ascii="Arial" w:hAnsi="Arial" w:cs="Arial"/>
          <w:color w:val="000000"/>
        </w:rPr>
        <w:t xml:space="preserve"> </w:t>
      </w:r>
      <w:r w:rsidR="00F93C8D" w:rsidRPr="00076E4B">
        <w:rPr>
          <w:rFonts w:ascii="Arial" w:hAnsi="Arial" w:cs="Arial"/>
        </w:rPr>
        <w:t>CE referred to in section 5</w:t>
      </w:r>
      <w:r w:rsidR="00E953E8" w:rsidRPr="00076E4B">
        <w:rPr>
          <w:rFonts w:ascii="Arial" w:hAnsi="Arial" w:cs="Arial"/>
        </w:rPr>
        <w:t xml:space="preserve"> of the ACMA 2011 Standard</w:t>
      </w:r>
      <w:r w:rsidR="00F93C8D" w:rsidRPr="00076E4B">
        <w:rPr>
          <w:rFonts w:ascii="Arial" w:hAnsi="Arial" w:cs="Arial"/>
        </w:rPr>
        <w:t xml:space="preserve"> must </w:t>
      </w:r>
      <w:r w:rsidR="007B459B" w:rsidRPr="00076E4B">
        <w:rPr>
          <w:rFonts w:ascii="Arial" w:hAnsi="Arial" w:cs="Arial"/>
          <w:color w:val="000000"/>
        </w:rPr>
        <w:t xml:space="preserve">comply with the </w:t>
      </w:r>
      <w:r w:rsidR="00F82E1E" w:rsidRPr="00076E4B">
        <w:rPr>
          <w:rFonts w:ascii="Arial" w:hAnsi="Arial" w:cs="Arial"/>
          <w:color w:val="000000"/>
        </w:rPr>
        <w:t xml:space="preserve">mandatory requirements </w:t>
      </w:r>
      <w:r w:rsidR="00876BAD" w:rsidRPr="00076E4B">
        <w:rPr>
          <w:rFonts w:ascii="Arial" w:hAnsi="Arial" w:cs="Arial"/>
          <w:color w:val="000000"/>
        </w:rPr>
        <w:t xml:space="preserve">of the CA </w:t>
      </w:r>
      <w:r w:rsidR="000B1F37" w:rsidRPr="00076E4B">
        <w:rPr>
          <w:rFonts w:ascii="Arial" w:hAnsi="Arial" w:cs="Arial"/>
          <w:color w:val="000000"/>
        </w:rPr>
        <w:t>S</w:t>
      </w:r>
      <w:r w:rsidR="007B459B" w:rsidRPr="00076E4B">
        <w:rPr>
          <w:rFonts w:ascii="Arial" w:hAnsi="Arial" w:cs="Arial"/>
          <w:color w:val="000000"/>
        </w:rPr>
        <w:t>tandard as publishe</w:t>
      </w:r>
      <w:r w:rsidR="00755633" w:rsidRPr="00076E4B">
        <w:rPr>
          <w:rFonts w:ascii="Arial" w:hAnsi="Arial" w:cs="Arial"/>
          <w:color w:val="000000"/>
        </w:rPr>
        <w:t>d by Communications Alliance in</w:t>
      </w:r>
      <w:r w:rsidRPr="00076E4B">
        <w:rPr>
          <w:rFonts w:ascii="Arial" w:hAnsi="Arial" w:cs="Arial"/>
          <w:color w:val="000000"/>
        </w:rPr>
        <w:t xml:space="preserve"> </w:t>
      </w:r>
      <w:r w:rsidR="00E151E1" w:rsidRPr="00076E4B">
        <w:rPr>
          <w:rFonts w:ascii="Arial" w:hAnsi="Arial" w:cs="Arial"/>
          <w:color w:val="000000"/>
        </w:rPr>
        <w:t>October</w:t>
      </w:r>
      <w:r w:rsidR="006F289B" w:rsidRPr="00076E4B">
        <w:rPr>
          <w:rFonts w:ascii="Arial" w:hAnsi="Arial" w:cs="Arial"/>
          <w:color w:val="000000"/>
        </w:rPr>
        <w:t xml:space="preserve"> </w:t>
      </w:r>
      <w:r w:rsidR="00664616" w:rsidRPr="00076E4B">
        <w:rPr>
          <w:rFonts w:ascii="Arial" w:hAnsi="Arial" w:cs="Arial"/>
          <w:color w:val="000000"/>
        </w:rPr>
        <w:t>20</w:t>
      </w:r>
      <w:r w:rsidR="00964BB8" w:rsidRPr="00076E4B">
        <w:rPr>
          <w:rFonts w:ascii="Arial" w:hAnsi="Arial" w:cs="Arial"/>
          <w:color w:val="000000"/>
        </w:rPr>
        <w:t>1</w:t>
      </w:r>
      <w:r w:rsidR="00E151E1" w:rsidRPr="00076E4B">
        <w:rPr>
          <w:rFonts w:ascii="Arial" w:hAnsi="Arial" w:cs="Arial"/>
          <w:color w:val="000000"/>
        </w:rPr>
        <w:t>0</w:t>
      </w:r>
      <w:r w:rsidR="007B459B" w:rsidRPr="00076E4B">
        <w:rPr>
          <w:rFonts w:ascii="Arial" w:hAnsi="Arial" w:cs="Arial"/>
          <w:color w:val="000000"/>
        </w:rPr>
        <w:t>.</w:t>
      </w:r>
    </w:p>
    <w:p w:rsidR="0076369D" w:rsidRPr="007D1AB1" w:rsidRDefault="00DE04DA" w:rsidP="00E953E8">
      <w:pPr>
        <w:spacing w:line="240" w:lineRule="atLeast"/>
        <w:rPr>
          <w:rFonts w:ascii="Arial" w:hAnsi="Arial" w:cs="Arial"/>
          <w:color w:val="000000"/>
        </w:rPr>
      </w:pPr>
      <w:r w:rsidRPr="00076E4B">
        <w:rPr>
          <w:rFonts w:ascii="Arial" w:hAnsi="Arial" w:cs="Arial"/>
          <w:color w:val="000000"/>
        </w:rPr>
        <w:t xml:space="preserve">The CA Standard, as adopted by the ACMA 2011 Standard, does not include any amendments made after the commencement of the ACMA 2011 Standard. If amendments are made, the terms of the ACMA </w:t>
      </w:r>
      <w:r w:rsidR="00EE1CC1" w:rsidRPr="00076E4B">
        <w:rPr>
          <w:rFonts w:ascii="Arial" w:hAnsi="Arial" w:cs="Arial"/>
          <w:color w:val="000000"/>
        </w:rPr>
        <w:t xml:space="preserve">2011 </w:t>
      </w:r>
      <w:r w:rsidRPr="00076E4B">
        <w:rPr>
          <w:rFonts w:ascii="Arial" w:hAnsi="Arial" w:cs="Arial"/>
          <w:color w:val="000000"/>
        </w:rPr>
        <w:t>Standard will differ from those of the CA Standard unless the amendments are adopted by the ACMA.</w:t>
      </w:r>
    </w:p>
    <w:sectPr w:rsidR="0076369D" w:rsidRPr="007D1AB1" w:rsidSect="00C1392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37D" w:rsidRDefault="0091337D" w:rsidP="00377860">
      <w:pPr>
        <w:spacing w:after="0" w:line="240" w:lineRule="auto"/>
      </w:pPr>
      <w:r>
        <w:separator/>
      </w:r>
    </w:p>
  </w:endnote>
  <w:endnote w:type="continuationSeparator" w:id="0">
    <w:p w:rsidR="0091337D" w:rsidRDefault="0091337D" w:rsidP="00377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F" w:rsidRDefault="00F73183">
    <w:pPr>
      <w:pStyle w:val="Footer"/>
      <w:jc w:val="right"/>
    </w:pPr>
    <w:fldSimple w:instr=" PAGE   \* MERGEFORMAT ">
      <w:r w:rsidR="00BB70E7">
        <w:rPr>
          <w:noProof/>
        </w:rPr>
        <w:t>1</w:t>
      </w:r>
    </w:fldSimple>
  </w:p>
  <w:p w:rsidR="0016485F" w:rsidRDefault="00164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37D" w:rsidRDefault="0091337D" w:rsidP="00377860">
      <w:pPr>
        <w:spacing w:after="0" w:line="240" w:lineRule="auto"/>
      </w:pPr>
      <w:r>
        <w:separator/>
      </w:r>
    </w:p>
  </w:footnote>
  <w:footnote w:type="continuationSeparator" w:id="0">
    <w:p w:rsidR="0091337D" w:rsidRDefault="0091337D" w:rsidP="00377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334C"/>
    <w:multiLevelType w:val="hybridMultilevel"/>
    <w:tmpl w:val="4E3E16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D6A542A"/>
    <w:multiLevelType w:val="hybridMultilevel"/>
    <w:tmpl w:val="0A24740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nsid w:val="39D673BD"/>
    <w:multiLevelType w:val="hybridMultilevel"/>
    <w:tmpl w:val="E3527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D321A1"/>
    <w:multiLevelType w:val="hybridMultilevel"/>
    <w:tmpl w:val="8A8A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B510206"/>
    <w:multiLevelType w:val="hybridMultilevel"/>
    <w:tmpl w:val="B3D220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2FC187F"/>
    <w:multiLevelType w:val="hybridMultilevel"/>
    <w:tmpl w:val="D4AA1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52C7D2E"/>
    <w:multiLevelType w:val="hybridMultilevel"/>
    <w:tmpl w:val="57EC94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95B778C"/>
    <w:multiLevelType w:val="hybridMultilevel"/>
    <w:tmpl w:val="F6DE4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3"/>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Moves/>
  <w:defaultTabStop w:val="720"/>
  <w:characterSpacingControl w:val="doNotCompress"/>
  <w:hdrShapeDefaults>
    <o:shapedefaults v:ext="edit" spidmax="6451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7DBC"/>
    <w:rsid w:val="00003A45"/>
    <w:rsid w:val="00015DFC"/>
    <w:rsid w:val="0002068D"/>
    <w:rsid w:val="0002216F"/>
    <w:rsid w:val="00027585"/>
    <w:rsid w:val="00042072"/>
    <w:rsid w:val="0004283E"/>
    <w:rsid w:val="0004730E"/>
    <w:rsid w:val="00057D6F"/>
    <w:rsid w:val="00060008"/>
    <w:rsid w:val="00062BD0"/>
    <w:rsid w:val="000632DC"/>
    <w:rsid w:val="00065A14"/>
    <w:rsid w:val="000669D9"/>
    <w:rsid w:val="0006798D"/>
    <w:rsid w:val="0007166D"/>
    <w:rsid w:val="00076E4B"/>
    <w:rsid w:val="0008064F"/>
    <w:rsid w:val="000826F2"/>
    <w:rsid w:val="00082924"/>
    <w:rsid w:val="00085508"/>
    <w:rsid w:val="00090635"/>
    <w:rsid w:val="00091A33"/>
    <w:rsid w:val="000949A5"/>
    <w:rsid w:val="00097B06"/>
    <w:rsid w:val="000B1F37"/>
    <w:rsid w:val="000D2D0D"/>
    <w:rsid w:val="000D7B0F"/>
    <w:rsid w:val="000E1FB9"/>
    <w:rsid w:val="000E51D7"/>
    <w:rsid w:val="000F090E"/>
    <w:rsid w:val="000F3FA6"/>
    <w:rsid w:val="000F4E98"/>
    <w:rsid w:val="001110DE"/>
    <w:rsid w:val="00130BA6"/>
    <w:rsid w:val="00133E18"/>
    <w:rsid w:val="001354A8"/>
    <w:rsid w:val="001359E3"/>
    <w:rsid w:val="00140CE7"/>
    <w:rsid w:val="00143093"/>
    <w:rsid w:val="0014662C"/>
    <w:rsid w:val="001602FF"/>
    <w:rsid w:val="0016485F"/>
    <w:rsid w:val="00164ECB"/>
    <w:rsid w:val="001669AF"/>
    <w:rsid w:val="001873E5"/>
    <w:rsid w:val="00192D94"/>
    <w:rsid w:val="001A1CC5"/>
    <w:rsid w:val="001B2B18"/>
    <w:rsid w:val="001B35B1"/>
    <w:rsid w:val="001B3ABF"/>
    <w:rsid w:val="001B415E"/>
    <w:rsid w:val="001C191E"/>
    <w:rsid w:val="001C2953"/>
    <w:rsid w:val="001C6BDB"/>
    <w:rsid w:val="001C7318"/>
    <w:rsid w:val="001D3D08"/>
    <w:rsid w:val="001D45B5"/>
    <w:rsid w:val="001E5E3E"/>
    <w:rsid w:val="001E6F17"/>
    <w:rsid w:val="001F31ED"/>
    <w:rsid w:val="00205E15"/>
    <w:rsid w:val="00227FD0"/>
    <w:rsid w:val="0023064E"/>
    <w:rsid w:val="002352E4"/>
    <w:rsid w:val="0023637C"/>
    <w:rsid w:val="002410E4"/>
    <w:rsid w:val="002421ED"/>
    <w:rsid w:val="002558C2"/>
    <w:rsid w:val="00256692"/>
    <w:rsid w:val="00260514"/>
    <w:rsid w:val="00265F67"/>
    <w:rsid w:val="002732D8"/>
    <w:rsid w:val="00283606"/>
    <w:rsid w:val="002846F6"/>
    <w:rsid w:val="002849D4"/>
    <w:rsid w:val="00287154"/>
    <w:rsid w:val="002978F1"/>
    <w:rsid w:val="002B0576"/>
    <w:rsid w:val="002B3AF8"/>
    <w:rsid w:val="002D13C7"/>
    <w:rsid w:val="002D22AC"/>
    <w:rsid w:val="002D74DF"/>
    <w:rsid w:val="002E61A4"/>
    <w:rsid w:val="002F22F4"/>
    <w:rsid w:val="002F3382"/>
    <w:rsid w:val="00304B6C"/>
    <w:rsid w:val="0030626E"/>
    <w:rsid w:val="003073F7"/>
    <w:rsid w:val="00344FF8"/>
    <w:rsid w:val="0035017B"/>
    <w:rsid w:val="0036023C"/>
    <w:rsid w:val="0036438A"/>
    <w:rsid w:val="00377860"/>
    <w:rsid w:val="00377DBC"/>
    <w:rsid w:val="00382AB8"/>
    <w:rsid w:val="003939B4"/>
    <w:rsid w:val="003A654E"/>
    <w:rsid w:val="003B2720"/>
    <w:rsid w:val="003B7B6B"/>
    <w:rsid w:val="003C27CC"/>
    <w:rsid w:val="003C77AA"/>
    <w:rsid w:val="003D429C"/>
    <w:rsid w:val="003D5821"/>
    <w:rsid w:val="003D6EC1"/>
    <w:rsid w:val="003D7C51"/>
    <w:rsid w:val="003F56F9"/>
    <w:rsid w:val="0040691F"/>
    <w:rsid w:val="00412FDF"/>
    <w:rsid w:val="004152A4"/>
    <w:rsid w:val="004159BA"/>
    <w:rsid w:val="0042330E"/>
    <w:rsid w:val="00423F28"/>
    <w:rsid w:val="0042624B"/>
    <w:rsid w:val="00430F28"/>
    <w:rsid w:val="00446BA8"/>
    <w:rsid w:val="00463BC2"/>
    <w:rsid w:val="00466614"/>
    <w:rsid w:val="00480C0B"/>
    <w:rsid w:val="004879BE"/>
    <w:rsid w:val="004931E6"/>
    <w:rsid w:val="004954BD"/>
    <w:rsid w:val="004B192C"/>
    <w:rsid w:val="004B68D6"/>
    <w:rsid w:val="004B7F4D"/>
    <w:rsid w:val="004C2D36"/>
    <w:rsid w:val="004C690D"/>
    <w:rsid w:val="004C7222"/>
    <w:rsid w:val="004D0C31"/>
    <w:rsid w:val="004F1D50"/>
    <w:rsid w:val="004F31AB"/>
    <w:rsid w:val="0050685C"/>
    <w:rsid w:val="00507BC5"/>
    <w:rsid w:val="00511BDA"/>
    <w:rsid w:val="00514D03"/>
    <w:rsid w:val="0051620F"/>
    <w:rsid w:val="005210AE"/>
    <w:rsid w:val="005309AB"/>
    <w:rsid w:val="00531849"/>
    <w:rsid w:val="0055302F"/>
    <w:rsid w:val="00560A7D"/>
    <w:rsid w:val="005615E2"/>
    <w:rsid w:val="0056278D"/>
    <w:rsid w:val="005645F4"/>
    <w:rsid w:val="00570C4A"/>
    <w:rsid w:val="00576509"/>
    <w:rsid w:val="005807E0"/>
    <w:rsid w:val="0058219A"/>
    <w:rsid w:val="0059053E"/>
    <w:rsid w:val="00592496"/>
    <w:rsid w:val="005973BD"/>
    <w:rsid w:val="005B2C3D"/>
    <w:rsid w:val="005D0BAF"/>
    <w:rsid w:val="005E3854"/>
    <w:rsid w:val="005F507A"/>
    <w:rsid w:val="00600F49"/>
    <w:rsid w:val="00605934"/>
    <w:rsid w:val="0061221E"/>
    <w:rsid w:val="0061495E"/>
    <w:rsid w:val="00626485"/>
    <w:rsid w:val="006350D3"/>
    <w:rsid w:val="0064466C"/>
    <w:rsid w:val="00652C82"/>
    <w:rsid w:val="00653E07"/>
    <w:rsid w:val="00657F17"/>
    <w:rsid w:val="006639EF"/>
    <w:rsid w:val="00664616"/>
    <w:rsid w:val="00665C0A"/>
    <w:rsid w:val="006763FF"/>
    <w:rsid w:val="00684046"/>
    <w:rsid w:val="00686FEB"/>
    <w:rsid w:val="00690BC5"/>
    <w:rsid w:val="00693869"/>
    <w:rsid w:val="006B393C"/>
    <w:rsid w:val="006B523E"/>
    <w:rsid w:val="006C0395"/>
    <w:rsid w:val="006C1BAD"/>
    <w:rsid w:val="006C318D"/>
    <w:rsid w:val="006E05EA"/>
    <w:rsid w:val="006E0A54"/>
    <w:rsid w:val="006E45E9"/>
    <w:rsid w:val="006E4D6E"/>
    <w:rsid w:val="006F23B7"/>
    <w:rsid w:val="006F289B"/>
    <w:rsid w:val="007014D8"/>
    <w:rsid w:val="0070155E"/>
    <w:rsid w:val="0070765D"/>
    <w:rsid w:val="00712E45"/>
    <w:rsid w:val="007161E1"/>
    <w:rsid w:val="00724BC6"/>
    <w:rsid w:val="00732471"/>
    <w:rsid w:val="00755633"/>
    <w:rsid w:val="007562C8"/>
    <w:rsid w:val="0076369D"/>
    <w:rsid w:val="007663F9"/>
    <w:rsid w:val="00782412"/>
    <w:rsid w:val="00783AF7"/>
    <w:rsid w:val="00787A2E"/>
    <w:rsid w:val="00794D6D"/>
    <w:rsid w:val="007A1977"/>
    <w:rsid w:val="007A72C1"/>
    <w:rsid w:val="007B0644"/>
    <w:rsid w:val="007B1245"/>
    <w:rsid w:val="007B401B"/>
    <w:rsid w:val="007B459B"/>
    <w:rsid w:val="007B5A3A"/>
    <w:rsid w:val="007C119D"/>
    <w:rsid w:val="007C4CB6"/>
    <w:rsid w:val="007D041A"/>
    <w:rsid w:val="007D1AB1"/>
    <w:rsid w:val="007D2F86"/>
    <w:rsid w:val="007D4050"/>
    <w:rsid w:val="007D7174"/>
    <w:rsid w:val="008011C0"/>
    <w:rsid w:val="00802B5D"/>
    <w:rsid w:val="008115C0"/>
    <w:rsid w:val="00811F3B"/>
    <w:rsid w:val="00812075"/>
    <w:rsid w:val="008168CB"/>
    <w:rsid w:val="008179C2"/>
    <w:rsid w:val="00823380"/>
    <w:rsid w:val="00825491"/>
    <w:rsid w:val="008262E7"/>
    <w:rsid w:val="0082781E"/>
    <w:rsid w:val="0083036F"/>
    <w:rsid w:val="00834AA6"/>
    <w:rsid w:val="0084363A"/>
    <w:rsid w:val="008438BE"/>
    <w:rsid w:val="00850CEF"/>
    <w:rsid w:val="00852275"/>
    <w:rsid w:val="00876BAD"/>
    <w:rsid w:val="008825DA"/>
    <w:rsid w:val="00885691"/>
    <w:rsid w:val="00890849"/>
    <w:rsid w:val="008A4CCC"/>
    <w:rsid w:val="008A5054"/>
    <w:rsid w:val="008B07F9"/>
    <w:rsid w:val="008B14EE"/>
    <w:rsid w:val="008C7556"/>
    <w:rsid w:val="008D0934"/>
    <w:rsid w:val="008D4F08"/>
    <w:rsid w:val="008D6613"/>
    <w:rsid w:val="008F24C4"/>
    <w:rsid w:val="008F71E4"/>
    <w:rsid w:val="009004E0"/>
    <w:rsid w:val="009007CB"/>
    <w:rsid w:val="00901795"/>
    <w:rsid w:val="00906A8E"/>
    <w:rsid w:val="00912182"/>
    <w:rsid w:val="009127BD"/>
    <w:rsid w:val="0091337D"/>
    <w:rsid w:val="009244EC"/>
    <w:rsid w:val="009305CE"/>
    <w:rsid w:val="00933314"/>
    <w:rsid w:val="00934887"/>
    <w:rsid w:val="00940B62"/>
    <w:rsid w:val="009520F2"/>
    <w:rsid w:val="009528DB"/>
    <w:rsid w:val="00960048"/>
    <w:rsid w:val="009611CA"/>
    <w:rsid w:val="009619A5"/>
    <w:rsid w:val="00964BB8"/>
    <w:rsid w:val="00967C44"/>
    <w:rsid w:val="009739BA"/>
    <w:rsid w:val="009770BB"/>
    <w:rsid w:val="009865A0"/>
    <w:rsid w:val="009910A4"/>
    <w:rsid w:val="009932A2"/>
    <w:rsid w:val="00997036"/>
    <w:rsid w:val="009A0B17"/>
    <w:rsid w:val="009A2434"/>
    <w:rsid w:val="009A3FEB"/>
    <w:rsid w:val="009A5392"/>
    <w:rsid w:val="009B68AC"/>
    <w:rsid w:val="009B7D73"/>
    <w:rsid w:val="009C26F8"/>
    <w:rsid w:val="009C5787"/>
    <w:rsid w:val="009C674C"/>
    <w:rsid w:val="009C7795"/>
    <w:rsid w:val="009D7577"/>
    <w:rsid w:val="009E0171"/>
    <w:rsid w:val="009F14CA"/>
    <w:rsid w:val="00A03419"/>
    <w:rsid w:val="00A12C87"/>
    <w:rsid w:val="00A23EFE"/>
    <w:rsid w:val="00A45E6A"/>
    <w:rsid w:val="00A555A2"/>
    <w:rsid w:val="00A55EE5"/>
    <w:rsid w:val="00A57666"/>
    <w:rsid w:val="00A66C57"/>
    <w:rsid w:val="00A71BD5"/>
    <w:rsid w:val="00A7352C"/>
    <w:rsid w:val="00A87E9E"/>
    <w:rsid w:val="00A93533"/>
    <w:rsid w:val="00AC0996"/>
    <w:rsid w:val="00AC275A"/>
    <w:rsid w:val="00AD01ED"/>
    <w:rsid w:val="00AD38A1"/>
    <w:rsid w:val="00AD4D48"/>
    <w:rsid w:val="00AE41D9"/>
    <w:rsid w:val="00B02C5C"/>
    <w:rsid w:val="00B12315"/>
    <w:rsid w:val="00B151C7"/>
    <w:rsid w:val="00B1683F"/>
    <w:rsid w:val="00B2267C"/>
    <w:rsid w:val="00B24A40"/>
    <w:rsid w:val="00B4103E"/>
    <w:rsid w:val="00B55FBC"/>
    <w:rsid w:val="00B62C2F"/>
    <w:rsid w:val="00B70ED9"/>
    <w:rsid w:val="00B71903"/>
    <w:rsid w:val="00B72FE4"/>
    <w:rsid w:val="00B86051"/>
    <w:rsid w:val="00B91CAB"/>
    <w:rsid w:val="00B922E4"/>
    <w:rsid w:val="00B96617"/>
    <w:rsid w:val="00B97C88"/>
    <w:rsid w:val="00BA779C"/>
    <w:rsid w:val="00BB0D8C"/>
    <w:rsid w:val="00BB1F80"/>
    <w:rsid w:val="00BB4F01"/>
    <w:rsid w:val="00BB70E7"/>
    <w:rsid w:val="00BB77DE"/>
    <w:rsid w:val="00BC155E"/>
    <w:rsid w:val="00BC62F8"/>
    <w:rsid w:val="00BF0499"/>
    <w:rsid w:val="00C048A0"/>
    <w:rsid w:val="00C07F99"/>
    <w:rsid w:val="00C13924"/>
    <w:rsid w:val="00C13DB5"/>
    <w:rsid w:val="00C15E24"/>
    <w:rsid w:val="00C15FA0"/>
    <w:rsid w:val="00C274D0"/>
    <w:rsid w:val="00C471AE"/>
    <w:rsid w:val="00C52FC8"/>
    <w:rsid w:val="00C561AD"/>
    <w:rsid w:val="00C707BD"/>
    <w:rsid w:val="00C71085"/>
    <w:rsid w:val="00C72462"/>
    <w:rsid w:val="00C75842"/>
    <w:rsid w:val="00C76D95"/>
    <w:rsid w:val="00C97A52"/>
    <w:rsid w:val="00CA1DE5"/>
    <w:rsid w:val="00CA6FFF"/>
    <w:rsid w:val="00CB0336"/>
    <w:rsid w:val="00CD1D54"/>
    <w:rsid w:val="00CF4585"/>
    <w:rsid w:val="00CF6BB9"/>
    <w:rsid w:val="00D0277A"/>
    <w:rsid w:val="00D03115"/>
    <w:rsid w:val="00D14193"/>
    <w:rsid w:val="00D20A2F"/>
    <w:rsid w:val="00D216DF"/>
    <w:rsid w:val="00D25B7A"/>
    <w:rsid w:val="00D421EE"/>
    <w:rsid w:val="00D42E53"/>
    <w:rsid w:val="00D43175"/>
    <w:rsid w:val="00D46674"/>
    <w:rsid w:val="00D47214"/>
    <w:rsid w:val="00D502B6"/>
    <w:rsid w:val="00D50CC1"/>
    <w:rsid w:val="00D539DD"/>
    <w:rsid w:val="00D744BA"/>
    <w:rsid w:val="00D9071E"/>
    <w:rsid w:val="00D966E7"/>
    <w:rsid w:val="00D9740B"/>
    <w:rsid w:val="00DA1C6C"/>
    <w:rsid w:val="00DA2102"/>
    <w:rsid w:val="00DB0024"/>
    <w:rsid w:val="00DB4130"/>
    <w:rsid w:val="00DB60D2"/>
    <w:rsid w:val="00DC3215"/>
    <w:rsid w:val="00DE04DA"/>
    <w:rsid w:val="00DE165C"/>
    <w:rsid w:val="00DF6C76"/>
    <w:rsid w:val="00E151E1"/>
    <w:rsid w:val="00E15588"/>
    <w:rsid w:val="00E16876"/>
    <w:rsid w:val="00E173BF"/>
    <w:rsid w:val="00E258A9"/>
    <w:rsid w:val="00E33C1E"/>
    <w:rsid w:val="00E34336"/>
    <w:rsid w:val="00E54EE6"/>
    <w:rsid w:val="00E5634F"/>
    <w:rsid w:val="00E61437"/>
    <w:rsid w:val="00E647FF"/>
    <w:rsid w:val="00E76AB2"/>
    <w:rsid w:val="00E85274"/>
    <w:rsid w:val="00E86BC1"/>
    <w:rsid w:val="00E953E8"/>
    <w:rsid w:val="00EA0918"/>
    <w:rsid w:val="00EA26A8"/>
    <w:rsid w:val="00EA3558"/>
    <w:rsid w:val="00EA4CD3"/>
    <w:rsid w:val="00EB1407"/>
    <w:rsid w:val="00EB1881"/>
    <w:rsid w:val="00EB18F9"/>
    <w:rsid w:val="00EB245A"/>
    <w:rsid w:val="00EC1BAF"/>
    <w:rsid w:val="00EC2E45"/>
    <w:rsid w:val="00EC361A"/>
    <w:rsid w:val="00ED6088"/>
    <w:rsid w:val="00EE0076"/>
    <w:rsid w:val="00EE1CC1"/>
    <w:rsid w:val="00EE611E"/>
    <w:rsid w:val="00EE7A71"/>
    <w:rsid w:val="00EF346D"/>
    <w:rsid w:val="00EF418F"/>
    <w:rsid w:val="00EF54B4"/>
    <w:rsid w:val="00EF6F01"/>
    <w:rsid w:val="00F0701D"/>
    <w:rsid w:val="00F16F25"/>
    <w:rsid w:val="00F17A1D"/>
    <w:rsid w:val="00F17C4E"/>
    <w:rsid w:val="00F22A5B"/>
    <w:rsid w:val="00F403B1"/>
    <w:rsid w:val="00F41AA7"/>
    <w:rsid w:val="00F448C4"/>
    <w:rsid w:val="00F474C7"/>
    <w:rsid w:val="00F51EBF"/>
    <w:rsid w:val="00F53688"/>
    <w:rsid w:val="00F62A19"/>
    <w:rsid w:val="00F70E28"/>
    <w:rsid w:val="00F72FEC"/>
    <w:rsid w:val="00F73183"/>
    <w:rsid w:val="00F76ECD"/>
    <w:rsid w:val="00F80AB2"/>
    <w:rsid w:val="00F82E1E"/>
    <w:rsid w:val="00F84184"/>
    <w:rsid w:val="00F93C8D"/>
    <w:rsid w:val="00F93D80"/>
    <w:rsid w:val="00FA53B1"/>
    <w:rsid w:val="00FB4FD3"/>
    <w:rsid w:val="00FC1D3A"/>
    <w:rsid w:val="00FD3D4B"/>
    <w:rsid w:val="00FD3F1B"/>
    <w:rsid w:val="00FE797B"/>
    <w:rsid w:val="00FF0411"/>
    <w:rsid w:val="00FF4E6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45"/>
    <w:pPr>
      <w:spacing w:after="200" w:line="276" w:lineRule="auto"/>
    </w:pPr>
    <w:rPr>
      <w:sz w:val="22"/>
      <w:szCs w:val="22"/>
      <w:lang w:eastAsia="en-US"/>
    </w:rPr>
  </w:style>
  <w:style w:type="paragraph" w:styleId="Heading3">
    <w:name w:val="heading 3"/>
    <w:basedOn w:val="Normal"/>
    <w:next w:val="Normal"/>
    <w:link w:val="Heading3Char"/>
    <w:qFormat/>
    <w:rsid w:val="007B459B"/>
    <w:pPr>
      <w:keepNext/>
      <w:spacing w:before="240" w:after="60" w:line="240" w:lineRule="auto"/>
      <w:outlineLvl w:val="2"/>
    </w:pPr>
    <w:rPr>
      <w:rFonts w:ascii="Times New Roman" w:eastAsia="Times New Roman" w:hAnsi="Times New Roman"/>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795"/>
    <w:pPr>
      <w:ind w:left="720"/>
      <w:contextualSpacing/>
    </w:pPr>
  </w:style>
  <w:style w:type="paragraph" w:styleId="FootnoteText">
    <w:name w:val="footnote text"/>
    <w:basedOn w:val="Normal"/>
    <w:link w:val="FootnoteTextChar"/>
    <w:uiPriority w:val="99"/>
    <w:semiHidden/>
    <w:unhideWhenUsed/>
    <w:rsid w:val="00377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860"/>
    <w:rPr>
      <w:sz w:val="20"/>
      <w:szCs w:val="20"/>
    </w:rPr>
  </w:style>
  <w:style w:type="character" w:styleId="FootnoteReference">
    <w:name w:val="footnote reference"/>
    <w:basedOn w:val="DefaultParagraphFont"/>
    <w:uiPriority w:val="99"/>
    <w:semiHidden/>
    <w:unhideWhenUsed/>
    <w:rsid w:val="00377860"/>
    <w:rPr>
      <w:vertAlign w:val="superscript"/>
    </w:rPr>
  </w:style>
  <w:style w:type="character" w:styleId="Hyperlink">
    <w:name w:val="Hyperlink"/>
    <w:basedOn w:val="DefaultParagraphFont"/>
    <w:uiPriority w:val="99"/>
    <w:unhideWhenUsed/>
    <w:rsid w:val="00A87E9E"/>
    <w:rPr>
      <w:color w:val="0000FF"/>
      <w:u w:val="single"/>
    </w:rPr>
  </w:style>
  <w:style w:type="character" w:customStyle="1" w:styleId="Heading3Char">
    <w:name w:val="Heading 3 Char"/>
    <w:basedOn w:val="DefaultParagraphFont"/>
    <w:link w:val="Heading3"/>
    <w:rsid w:val="007B459B"/>
    <w:rPr>
      <w:rFonts w:ascii="Times New Roman" w:eastAsia="Times New Roman" w:hAnsi="Times New Roman" w:cs="Times New Roman"/>
      <w:b/>
      <w:sz w:val="24"/>
      <w:szCs w:val="20"/>
      <w:lang w:eastAsia="en-AU"/>
    </w:rPr>
  </w:style>
  <w:style w:type="paragraph" w:styleId="Header">
    <w:name w:val="header"/>
    <w:basedOn w:val="Normal"/>
    <w:link w:val="HeaderChar"/>
    <w:uiPriority w:val="99"/>
    <w:semiHidden/>
    <w:unhideWhenUsed/>
    <w:rsid w:val="00600F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0F49"/>
  </w:style>
  <w:style w:type="paragraph" w:styleId="Footer">
    <w:name w:val="footer"/>
    <w:basedOn w:val="Normal"/>
    <w:link w:val="FooterChar"/>
    <w:uiPriority w:val="99"/>
    <w:unhideWhenUsed/>
    <w:rsid w:val="00600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F49"/>
  </w:style>
  <w:style w:type="character" w:styleId="CommentReference">
    <w:name w:val="annotation reference"/>
    <w:basedOn w:val="DefaultParagraphFont"/>
    <w:uiPriority w:val="99"/>
    <w:semiHidden/>
    <w:unhideWhenUsed/>
    <w:rsid w:val="00997036"/>
    <w:rPr>
      <w:sz w:val="16"/>
      <w:szCs w:val="16"/>
    </w:rPr>
  </w:style>
  <w:style w:type="paragraph" w:styleId="CommentText">
    <w:name w:val="annotation text"/>
    <w:basedOn w:val="Normal"/>
    <w:link w:val="CommentTextChar"/>
    <w:uiPriority w:val="99"/>
    <w:semiHidden/>
    <w:unhideWhenUsed/>
    <w:rsid w:val="00997036"/>
    <w:pPr>
      <w:spacing w:line="240" w:lineRule="auto"/>
    </w:pPr>
    <w:rPr>
      <w:sz w:val="20"/>
      <w:szCs w:val="20"/>
    </w:rPr>
  </w:style>
  <w:style w:type="character" w:customStyle="1" w:styleId="CommentTextChar">
    <w:name w:val="Comment Text Char"/>
    <w:basedOn w:val="DefaultParagraphFont"/>
    <w:link w:val="CommentText"/>
    <w:uiPriority w:val="99"/>
    <w:semiHidden/>
    <w:rsid w:val="00997036"/>
    <w:rPr>
      <w:sz w:val="20"/>
      <w:szCs w:val="20"/>
    </w:rPr>
  </w:style>
  <w:style w:type="paragraph" w:styleId="CommentSubject">
    <w:name w:val="annotation subject"/>
    <w:basedOn w:val="CommentText"/>
    <w:next w:val="CommentText"/>
    <w:link w:val="CommentSubjectChar"/>
    <w:uiPriority w:val="99"/>
    <w:semiHidden/>
    <w:unhideWhenUsed/>
    <w:rsid w:val="00997036"/>
    <w:rPr>
      <w:b/>
      <w:bCs/>
    </w:rPr>
  </w:style>
  <w:style w:type="character" w:customStyle="1" w:styleId="CommentSubjectChar">
    <w:name w:val="Comment Subject Char"/>
    <w:basedOn w:val="CommentTextChar"/>
    <w:link w:val="CommentSubject"/>
    <w:uiPriority w:val="99"/>
    <w:semiHidden/>
    <w:rsid w:val="00997036"/>
    <w:rPr>
      <w:b/>
      <w:bCs/>
    </w:rPr>
  </w:style>
  <w:style w:type="paragraph" w:styleId="BalloonText">
    <w:name w:val="Balloon Text"/>
    <w:basedOn w:val="Normal"/>
    <w:link w:val="BalloonTextChar"/>
    <w:uiPriority w:val="99"/>
    <w:semiHidden/>
    <w:unhideWhenUsed/>
    <w:rsid w:val="0099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36"/>
    <w:rPr>
      <w:rFonts w:ascii="Tahoma" w:hAnsi="Tahoma" w:cs="Tahoma"/>
      <w:sz w:val="16"/>
      <w:szCs w:val="16"/>
    </w:rPr>
  </w:style>
  <w:style w:type="paragraph" w:customStyle="1" w:styleId="Note">
    <w:name w:val="Note"/>
    <w:basedOn w:val="Normal"/>
    <w:rsid w:val="003D429C"/>
    <w:pPr>
      <w:keepLines/>
      <w:spacing w:before="120" w:after="0" w:line="220" w:lineRule="exact"/>
      <w:ind w:left="964"/>
      <w:jc w:val="both"/>
    </w:pPr>
    <w:rPr>
      <w:rFonts w:ascii="Times New Roman" w:eastAsia="Times New Roman" w:hAnsi="Times New Roman"/>
      <w:sz w:val="20"/>
      <w:szCs w:val="24"/>
      <w:lang w:eastAsia="en-AU"/>
    </w:rPr>
  </w:style>
  <w:style w:type="paragraph" w:customStyle="1" w:styleId="Default">
    <w:name w:val="Default"/>
    <w:rsid w:val="00F17C4E"/>
    <w:pPr>
      <w:autoSpaceDE w:val="0"/>
      <w:autoSpaceDN w:val="0"/>
      <w:adjustRightInd w:val="0"/>
    </w:pPr>
    <w:rPr>
      <w:rFonts w:ascii="Times New Roman" w:hAnsi="Times New Roman"/>
      <w:color w:val="000000"/>
      <w:sz w:val="24"/>
      <w:szCs w:val="24"/>
      <w:lang w:eastAsia="en-US"/>
    </w:rPr>
  </w:style>
  <w:style w:type="paragraph" w:customStyle="1" w:styleId="ACMANumberedList">
    <w:name w:val="ACMA Numbered List"/>
    <w:rsid w:val="00EC1BAF"/>
    <w:pPr>
      <w:autoSpaceDE w:val="0"/>
      <w:autoSpaceDN w:val="0"/>
      <w:adjustRightInd w:val="0"/>
    </w:pPr>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salliance.com.au/Documents/Technical-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FF90C-208B-412D-9F2A-5361504C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10581</CharactersWithSpaces>
  <SharedDoc>false</SharedDoc>
  <HLinks>
    <vt:vector size="6" baseType="variant">
      <vt:variant>
        <vt:i4>7405605</vt:i4>
      </vt:variant>
      <vt:variant>
        <vt:i4>0</vt:i4>
      </vt:variant>
      <vt:variant>
        <vt:i4>0</vt:i4>
      </vt:variant>
      <vt:variant>
        <vt:i4>5</vt:i4>
      </vt:variant>
      <vt:variant>
        <vt:lpwstr>http://www.commsalliance.com.au/Documents/Technical-CE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AS/CA S003.1:2010</dc:subject>
  <dc:creator/>
  <cp:lastModifiedBy/>
  <cp:revision>1</cp:revision>
  <cp:lastPrinted>2010-08-26T03:56:00Z</cp:lastPrinted>
  <dcterms:created xsi:type="dcterms:W3CDTF">2011-04-11T04:26:00Z</dcterms:created>
  <dcterms:modified xsi:type="dcterms:W3CDTF">2011-04-12T05:28:00Z</dcterms:modified>
</cp:coreProperties>
</file>