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0B" w:rsidRPr="00EF6223" w:rsidRDefault="00DE580B" w:rsidP="007D63BF">
      <w:pPr>
        <w:pStyle w:val="Title"/>
      </w:pPr>
      <w:bookmarkStart w:id="0" w:name="IsForm"/>
      <w:bookmarkStart w:id="1" w:name="x"/>
      <w:bookmarkEnd w:id="0"/>
      <w:bookmarkEnd w:id="1"/>
    </w:p>
    <w:p w:rsidR="006601EE" w:rsidRPr="00EF6223" w:rsidRDefault="006601EE" w:rsidP="006601EE">
      <w:pPr>
        <w:pStyle w:val="Title"/>
      </w:pPr>
      <w:r w:rsidRPr="00EF6223">
        <w:t>EXPLANATORY STATEMENT</w:t>
      </w:r>
    </w:p>
    <w:p w:rsidR="006601EE" w:rsidRPr="00EF6223" w:rsidRDefault="006601EE" w:rsidP="007D63BF">
      <w:pPr>
        <w:pStyle w:val="Title"/>
      </w:pPr>
    </w:p>
    <w:p w:rsidR="00771A6D" w:rsidRPr="00EF6223" w:rsidRDefault="003114E6" w:rsidP="00771A6D">
      <w:pPr>
        <w:jc w:val="center"/>
        <w:rPr>
          <w:b/>
        </w:rPr>
      </w:pPr>
      <w:r w:rsidRPr="00EF6223">
        <w:rPr>
          <w:b/>
        </w:rPr>
        <w:t>Issued by the Authority of the Private Health Insurance Administration Council</w:t>
      </w:r>
    </w:p>
    <w:p w:rsidR="00771A6D" w:rsidRPr="00EF6223" w:rsidRDefault="00771A6D" w:rsidP="00771A6D">
      <w:pPr>
        <w:jc w:val="center"/>
        <w:rPr>
          <w:b/>
        </w:rPr>
      </w:pPr>
    </w:p>
    <w:p w:rsidR="006601EE" w:rsidRPr="00EF6223" w:rsidRDefault="006601EE" w:rsidP="00771A6D">
      <w:pPr>
        <w:jc w:val="center"/>
        <w:rPr>
          <w:b/>
          <w:i/>
        </w:rPr>
      </w:pPr>
      <w:r w:rsidRPr="00EF6223">
        <w:rPr>
          <w:b/>
          <w:i/>
        </w:rPr>
        <w:t>Private Health Insurance Act 2007</w:t>
      </w:r>
    </w:p>
    <w:p w:rsidR="003E23BC" w:rsidRPr="00EF6223" w:rsidRDefault="003E23BC" w:rsidP="00771A6D">
      <w:pPr>
        <w:jc w:val="center"/>
        <w:rPr>
          <w:b/>
        </w:rPr>
      </w:pPr>
    </w:p>
    <w:p w:rsidR="006601EE" w:rsidRPr="00EF6223" w:rsidRDefault="006601EE" w:rsidP="00771A6D">
      <w:pPr>
        <w:jc w:val="center"/>
        <w:rPr>
          <w:b/>
          <w:u w:val="single"/>
        </w:rPr>
      </w:pPr>
    </w:p>
    <w:p w:rsidR="00771A6D" w:rsidRPr="00EF6223" w:rsidRDefault="00771A6D" w:rsidP="00771A6D">
      <w:pPr>
        <w:jc w:val="center"/>
        <w:rPr>
          <w:b/>
          <w:u w:val="single"/>
        </w:rPr>
      </w:pPr>
      <w:r w:rsidRPr="00EF6223">
        <w:rPr>
          <w:b/>
          <w:u w:val="single"/>
        </w:rPr>
        <w:t>Private Health Insurance (</w:t>
      </w:r>
      <w:r w:rsidR="003F31A7" w:rsidRPr="00EF6223">
        <w:rPr>
          <w:b/>
          <w:u w:val="single"/>
        </w:rPr>
        <w:t>Risk Equalisation Administration</w:t>
      </w:r>
      <w:r w:rsidRPr="00EF6223">
        <w:rPr>
          <w:b/>
          <w:u w:val="single"/>
        </w:rPr>
        <w:t xml:space="preserve">) </w:t>
      </w:r>
      <w:r w:rsidR="0041400D">
        <w:rPr>
          <w:b/>
          <w:u w:val="single"/>
        </w:rPr>
        <w:t xml:space="preserve">Amendment </w:t>
      </w:r>
      <w:r w:rsidRPr="00EF6223">
        <w:rPr>
          <w:b/>
          <w:u w:val="single"/>
        </w:rPr>
        <w:t>Rules 20</w:t>
      </w:r>
      <w:r w:rsidR="002265E6">
        <w:rPr>
          <w:b/>
          <w:u w:val="single"/>
        </w:rPr>
        <w:t>1</w:t>
      </w:r>
      <w:r w:rsidR="00B34ADB">
        <w:rPr>
          <w:b/>
          <w:u w:val="single"/>
        </w:rPr>
        <w:t>1</w:t>
      </w:r>
      <w:r w:rsidR="0041400D">
        <w:rPr>
          <w:b/>
          <w:u w:val="single"/>
        </w:rPr>
        <w:t xml:space="preserve"> (No. 1)</w:t>
      </w:r>
    </w:p>
    <w:p w:rsidR="00771A6D" w:rsidRPr="00EF6223" w:rsidRDefault="00771A6D" w:rsidP="007D63BF">
      <w:pPr>
        <w:pStyle w:val="Title"/>
      </w:pPr>
    </w:p>
    <w:p w:rsidR="002D1757" w:rsidRPr="00EF6223" w:rsidRDefault="002D1757" w:rsidP="006817B0">
      <w:pPr>
        <w:pStyle w:val="Subtitle"/>
        <w:rPr>
          <w:b/>
          <w:u w:val="none"/>
        </w:rPr>
      </w:pPr>
    </w:p>
    <w:p w:rsidR="00F43403" w:rsidRPr="00EF6223" w:rsidRDefault="002D1757" w:rsidP="006817B0">
      <w:pPr>
        <w:pStyle w:val="Subtitle"/>
        <w:rPr>
          <w:b/>
          <w:u w:val="none"/>
        </w:rPr>
      </w:pPr>
      <w:r w:rsidRPr="00EF6223">
        <w:rPr>
          <w:b/>
          <w:u w:val="none"/>
        </w:rPr>
        <w:t>Authority for</w:t>
      </w:r>
      <w:r w:rsidR="00A8773D" w:rsidRPr="00EF6223">
        <w:rPr>
          <w:b/>
          <w:u w:val="none"/>
        </w:rPr>
        <w:t xml:space="preserve"> </w:t>
      </w:r>
      <w:r w:rsidR="005E3781" w:rsidRPr="00EF6223">
        <w:rPr>
          <w:b/>
          <w:u w:val="none"/>
        </w:rPr>
        <w:t xml:space="preserve">the </w:t>
      </w:r>
      <w:r w:rsidR="00A8773D" w:rsidRPr="00EF6223">
        <w:rPr>
          <w:b/>
          <w:u w:val="none"/>
        </w:rPr>
        <w:t>Rules</w:t>
      </w:r>
    </w:p>
    <w:p w:rsidR="00F43403" w:rsidRPr="00EF6223" w:rsidRDefault="00F43403" w:rsidP="006817B0">
      <w:pPr>
        <w:pStyle w:val="Subtitle"/>
        <w:rPr>
          <w:u w:val="none"/>
        </w:rPr>
      </w:pPr>
    </w:p>
    <w:p w:rsidR="002D1757" w:rsidRPr="00EF6223" w:rsidRDefault="002D1757" w:rsidP="002D1757">
      <w:pPr>
        <w:pStyle w:val="Subtitle"/>
        <w:rPr>
          <w:u w:val="none"/>
        </w:rPr>
      </w:pPr>
      <w:r w:rsidRPr="00EF6223">
        <w:rPr>
          <w:u w:val="none"/>
        </w:rPr>
        <w:t xml:space="preserve">The </w:t>
      </w:r>
      <w:r w:rsidRPr="00EF6223">
        <w:rPr>
          <w:i/>
          <w:u w:val="none"/>
        </w:rPr>
        <w:t>Private Health Insurance (</w:t>
      </w:r>
      <w:r w:rsidR="003F31A7" w:rsidRPr="00EF6223">
        <w:rPr>
          <w:i/>
          <w:u w:val="none"/>
        </w:rPr>
        <w:t>Risk Equalisation Administration</w:t>
      </w:r>
      <w:r w:rsidRPr="00EF6223">
        <w:rPr>
          <w:i/>
          <w:u w:val="none"/>
        </w:rPr>
        <w:t xml:space="preserve">) </w:t>
      </w:r>
      <w:r w:rsidR="0041400D">
        <w:rPr>
          <w:i/>
          <w:u w:val="none"/>
        </w:rPr>
        <w:t xml:space="preserve">Amendment </w:t>
      </w:r>
      <w:r w:rsidRPr="00EF6223">
        <w:rPr>
          <w:i/>
          <w:u w:val="none"/>
        </w:rPr>
        <w:t>Rules 200</w:t>
      </w:r>
      <w:r w:rsidR="00CE33A6">
        <w:rPr>
          <w:i/>
          <w:u w:val="none"/>
        </w:rPr>
        <w:t>7</w:t>
      </w:r>
      <w:r w:rsidRPr="00EF6223">
        <w:rPr>
          <w:u w:val="none"/>
        </w:rPr>
        <w:t xml:space="preserve"> (the </w:t>
      </w:r>
      <w:r w:rsidRPr="00EF6223">
        <w:rPr>
          <w:b/>
          <w:u w:val="none"/>
        </w:rPr>
        <w:t>Rules</w:t>
      </w:r>
      <w:r w:rsidRPr="00EF6223">
        <w:rPr>
          <w:u w:val="none"/>
        </w:rPr>
        <w:t>) are made</w:t>
      </w:r>
      <w:r w:rsidR="009D031B" w:rsidRPr="00EF6223">
        <w:rPr>
          <w:u w:val="none"/>
        </w:rPr>
        <w:t xml:space="preserve"> </w:t>
      </w:r>
      <w:r w:rsidR="001763DB" w:rsidRPr="00EF6223">
        <w:rPr>
          <w:u w:val="none"/>
        </w:rPr>
        <w:t xml:space="preserve">by the Private Health Insurance Administration Council (the </w:t>
      </w:r>
      <w:r w:rsidR="001763DB" w:rsidRPr="00EF6223">
        <w:rPr>
          <w:b/>
          <w:u w:val="none"/>
        </w:rPr>
        <w:t>Council</w:t>
      </w:r>
      <w:r w:rsidR="001763DB" w:rsidRPr="00EF6223">
        <w:rPr>
          <w:u w:val="none"/>
        </w:rPr>
        <w:t xml:space="preserve">) </w:t>
      </w:r>
      <w:r w:rsidRPr="00EF6223">
        <w:rPr>
          <w:u w:val="none"/>
        </w:rPr>
        <w:t xml:space="preserve">under item </w:t>
      </w:r>
      <w:r w:rsidR="006E0A50" w:rsidRPr="00EF6223">
        <w:rPr>
          <w:u w:val="none"/>
        </w:rPr>
        <w:t>3</w:t>
      </w:r>
      <w:r w:rsidRPr="00EF6223">
        <w:rPr>
          <w:u w:val="none"/>
        </w:rPr>
        <w:t xml:space="preserve"> of the table in section 333-25</w:t>
      </w:r>
      <w:r w:rsidR="007817E9" w:rsidRPr="00EF6223">
        <w:rPr>
          <w:u w:val="none"/>
        </w:rPr>
        <w:t>,</w:t>
      </w:r>
      <w:r w:rsidRPr="00EF6223">
        <w:rPr>
          <w:u w:val="none"/>
        </w:rPr>
        <w:t xml:space="preserve"> for the purposes</w:t>
      </w:r>
      <w:r w:rsidR="007817E9" w:rsidRPr="00EF6223">
        <w:rPr>
          <w:u w:val="none"/>
        </w:rPr>
        <w:t xml:space="preserve"> of Part </w:t>
      </w:r>
      <w:r w:rsidR="006E0A50" w:rsidRPr="00EF6223">
        <w:rPr>
          <w:u w:val="none"/>
        </w:rPr>
        <w:t>6</w:t>
      </w:r>
      <w:r w:rsidR="007817E9" w:rsidRPr="00EF6223">
        <w:rPr>
          <w:u w:val="none"/>
        </w:rPr>
        <w:t>-</w:t>
      </w:r>
      <w:r w:rsidR="006E0A50" w:rsidRPr="00EF6223">
        <w:rPr>
          <w:u w:val="none"/>
        </w:rPr>
        <w:t>7</w:t>
      </w:r>
      <w:r w:rsidR="007817E9" w:rsidRPr="00EF6223">
        <w:rPr>
          <w:u w:val="none"/>
        </w:rPr>
        <w:t xml:space="preserve"> of the </w:t>
      </w:r>
      <w:r w:rsidR="007817E9" w:rsidRPr="00EF6223">
        <w:rPr>
          <w:i/>
          <w:iCs/>
          <w:u w:val="none"/>
        </w:rPr>
        <w:t xml:space="preserve">Private Health Insurance </w:t>
      </w:r>
      <w:r w:rsidR="002E4509" w:rsidRPr="00EF6223">
        <w:rPr>
          <w:i/>
          <w:iCs/>
          <w:u w:val="none"/>
        </w:rPr>
        <w:t xml:space="preserve">Act 2007 </w:t>
      </w:r>
      <w:r w:rsidR="007817E9" w:rsidRPr="00EF6223">
        <w:rPr>
          <w:u w:val="none"/>
        </w:rPr>
        <w:t xml:space="preserve">(the </w:t>
      </w:r>
      <w:r w:rsidR="007817E9" w:rsidRPr="00EF6223">
        <w:rPr>
          <w:b/>
          <w:u w:val="none"/>
        </w:rPr>
        <w:t>Act</w:t>
      </w:r>
      <w:r w:rsidR="007817E9" w:rsidRPr="00EF6223">
        <w:rPr>
          <w:u w:val="none"/>
        </w:rPr>
        <w:t>)</w:t>
      </w:r>
      <w:r w:rsidRPr="00EF6223">
        <w:rPr>
          <w:u w:val="none"/>
        </w:rPr>
        <w:t>.</w:t>
      </w:r>
    </w:p>
    <w:p w:rsidR="002D1757" w:rsidRPr="00EF6223" w:rsidRDefault="002D1757" w:rsidP="006817B0">
      <w:pPr>
        <w:pStyle w:val="Subtitle"/>
        <w:rPr>
          <w:u w:val="none"/>
        </w:rPr>
      </w:pPr>
    </w:p>
    <w:p w:rsidR="001763DB" w:rsidRPr="00EF6223" w:rsidRDefault="006817B0" w:rsidP="006817B0">
      <w:pPr>
        <w:pStyle w:val="Subtitle"/>
        <w:rPr>
          <w:u w:val="none"/>
        </w:rPr>
      </w:pPr>
      <w:r w:rsidRPr="00EF6223">
        <w:rPr>
          <w:u w:val="none"/>
        </w:rPr>
        <w:t xml:space="preserve">Section </w:t>
      </w:r>
      <w:r w:rsidR="00575A24" w:rsidRPr="00EF6223">
        <w:rPr>
          <w:u w:val="none"/>
        </w:rPr>
        <w:t>333-25</w:t>
      </w:r>
      <w:r w:rsidRPr="00EF6223">
        <w:rPr>
          <w:u w:val="none"/>
        </w:rPr>
        <w:t xml:space="preserve"> of the </w:t>
      </w:r>
      <w:r w:rsidR="007817E9" w:rsidRPr="00EF6223">
        <w:rPr>
          <w:u w:val="none"/>
        </w:rPr>
        <w:t>Act</w:t>
      </w:r>
      <w:r w:rsidRPr="00EF6223">
        <w:rPr>
          <w:u w:val="none"/>
        </w:rPr>
        <w:t xml:space="preserve"> provides that the </w:t>
      </w:r>
      <w:r w:rsidR="00E76277" w:rsidRPr="00EF6223">
        <w:rPr>
          <w:u w:val="none"/>
        </w:rPr>
        <w:t>Council</w:t>
      </w:r>
      <w:r w:rsidRPr="00EF6223">
        <w:rPr>
          <w:u w:val="none"/>
        </w:rPr>
        <w:t xml:space="preserve"> may make r</w:t>
      </w:r>
      <w:r w:rsidR="00575A24" w:rsidRPr="00EF6223">
        <w:rPr>
          <w:u w:val="none"/>
        </w:rPr>
        <w:t>ules</w:t>
      </w:r>
      <w:r w:rsidRPr="00EF6223">
        <w:rPr>
          <w:u w:val="none"/>
        </w:rPr>
        <w:t xml:space="preserve"> pr</w:t>
      </w:r>
      <w:r w:rsidR="00575A24" w:rsidRPr="00EF6223">
        <w:rPr>
          <w:u w:val="none"/>
        </w:rPr>
        <w:t>oviding for</w:t>
      </w:r>
      <w:r w:rsidR="00F43403" w:rsidRPr="00EF6223">
        <w:rPr>
          <w:u w:val="none"/>
        </w:rPr>
        <w:t>:</w:t>
      </w:r>
      <w:r w:rsidRPr="00EF6223">
        <w:rPr>
          <w:u w:val="none"/>
        </w:rPr>
        <w:t xml:space="preserve"> </w:t>
      </w:r>
    </w:p>
    <w:p w:rsidR="001763DB" w:rsidRPr="00EF6223" w:rsidRDefault="006817B0" w:rsidP="00D95B2D">
      <w:pPr>
        <w:pStyle w:val="Subtitle"/>
        <w:numPr>
          <w:ilvl w:val="0"/>
          <w:numId w:val="25"/>
        </w:numPr>
        <w:spacing w:before="120"/>
        <w:ind w:left="357" w:hanging="357"/>
        <w:rPr>
          <w:u w:val="none"/>
        </w:rPr>
      </w:pPr>
      <w:proofErr w:type="gramStart"/>
      <w:r w:rsidRPr="00EF6223">
        <w:rPr>
          <w:u w:val="none"/>
        </w:rPr>
        <w:t>matters</w:t>
      </w:r>
      <w:proofErr w:type="gramEnd"/>
      <w:r w:rsidRPr="00EF6223">
        <w:rPr>
          <w:u w:val="none"/>
        </w:rPr>
        <w:t xml:space="preserve"> required or permitted by the </w:t>
      </w:r>
      <w:r w:rsidR="00575A24" w:rsidRPr="00EF6223">
        <w:rPr>
          <w:u w:val="none"/>
        </w:rPr>
        <w:t>corresponding Chapter, Part or section of the Act to be provide</w:t>
      </w:r>
      <w:r w:rsidRPr="00EF6223">
        <w:rPr>
          <w:u w:val="none"/>
        </w:rPr>
        <w:t>d</w:t>
      </w:r>
      <w:r w:rsidR="00575A24" w:rsidRPr="00EF6223">
        <w:rPr>
          <w:u w:val="none"/>
        </w:rPr>
        <w:t xml:space="preserve">; </w:t>
      </w:r>
      <w:r w:rsidR="00D95B2D" w:rsidRPr="00EF6223">
        <w:rPr>
          <w:u w:val="none"/>
        </w:rPr>
        <w:t>or</w:t>
      </w:r>
    </w:p>
    <w:p w:rsidR="00F43403" w:rsidRPr="00EF6223" w:rsidRDefault="00575A24" w:rsidP="00D95B2D">
      <w:pPr>
        <w:pStyle w:val="Subtitle"/>
        <w:numPr>
          <w:ilvl w:val="0"/>
          <w:numId w:val="25"/>
        </w:numPr>
        <w:spacing w:before="120"/>
        <w:ind w:left="357" w:hanging="357"/>
        <w:rPr>
          <w:u w:val="none"/>
        </w:rPr>
      </w:pPr>
      <w:proofErr w:type="gramStart"/>
      <w:r w:rsidRPr="00EF6223">
        <w:rPr>
          <w:u w:val="none"/>
        </w:rPr>
        <w:t>necessary</w:t>
      </w:r>
      <w:proofErr w:type="gramEnd"/>
      <w:r w:rsidRPr="00EF6223">
        <w:rPr>
          <w:u w:val="none"/>
        </w:rPr>
        <w:t xml:space="preserve"> or convenient to be provided in order to carry out or give effect to that Chapter, Part or section</w:t>
      </w:r>
      <w:r w:rsidR="006817B0" w:rsidRPr="00EF6223">
        <w:rPr>
          <w:u w:val="none"/>
        </w:rPr>
        <w:t>.</w:t>
      </w:r>
      <w:r w:rsidR="004A6796" w:rsidRPr="00EF6223">
        <w:rPr>
          <w:u w:val="none"/>
        </w:rPr>
        <w:t xml:space="preserve"> </w:t>
      </w:r>
    </w:p>
    <w:p w:rsidR="00F43403" w:rsidRPr="00EF6223" w:rsidRDefault="00F43403" w:rsidP="006817B0">
      <w:pPr>
        <w:pStyle w:val="Subtitle"/>
        <w:rPr>
          <w:u w:val="none"/>
        </w:rPr>
      </w:pPr>
    </w:p>
    <w:p w:rsidR="0017332C" w:rsidRPr="00EF6223" w:rsidRDefault="0017332C" w:rsidP="0017332C">
      <w:r w:rsidRPr="00EF6223">
        <w:t xml:space="preserve">The Rules are a legislative instrument for the purposes of the </w:t>
      </w:r>
      <w:r w:rsidRPr="00EF6223">
        <w:rPr>
          <w:i/>
          <w:iCs/>
        </w:rPr>
        <w:t>Legislative Instruments Act 2003</w:t>
      </w:r>
      <w:r w:rsidRPr="00EF6223">
        <w:t xml:space="preserve">.  </w:t>
      </w:r>
    </w:p>
    <w:p w:rsidR="0017332C" w:rsidRPr="00EF6223" w:rsidRDefault="0017332C" w:rsidP="006817B0">
      <w:pPr>
        <w:pStyle w:val="Subtitle"/>
        <w:rPr>
          <w:u w:val="none"/>
        </w:rPr>
      </w:pPr>
    </w:p>
    <w:p w:rsidR="002942D5" w:rsidRPr="00EF6223" w:rsidRDefault="002942D5" w:rsidP="006817B0">
      <w:pPr>
        <w:pStyle w:val="Subtitle"/>
        <w:rPr>
          <w:u w:val="none"/>
        </w:rPr>
      </w:pPr>
      <w:r w:rsidRPr="00EF6223">
        <w:rPr>
          <w:u w:val="none"/>
        </w:rPr>
        <w:t>All legal and other requirements for making the Rules have been met.</w:t>
      </w:r>
    </w:p>
    <w:p w:rsidR="00F43403" w:rsidRPr="00EF6223" w:rsidRDefault="00F43403" w:rsidP="006817B0"/>
    <w:p w:rsidR="002D1757" w:rsidRPr="00EF6223" w:rsidRDefault="002D1757" w:rsidP="006817B0">
      <w:pPr>
        <w:rPr>
          <w:b/>
        </w:rPr>
      </w:pPr>
      <w:r w:rsidRPr="00EF6223">
        <w:rPr>
          <w:b/>
        </w:rPr>
        <w:t xml:space="preserve">Purpose of </w:t>
      </w:r>
      <w:r w:rsidR="005E3781" w:rsidRPr="00EF6223">
        <w:rPr>
          <w:b/>
        </w:rPr>
        <w:t xml:space="preserve">the </w:t>
      </w:r>
      <w:r w:rsidR="0041400D">
        <w:rPr>
          <w:b/>
        </w:rPr>
        <w:t>Amendment</w:t>
      </w:r>
    </w:p>
    <w:p w:rsidR="002D1757" w:rsidRPr="00EF6223" w:rsidRDefault="002D1757" w:rsidP="002D1757">
      <w:pPr>
        <w:rPr>
          <w:szCs w:val="24"/>
        </w:rPr>
      </w:pPr>
    </w:p>
    <w:p w:rsidR="00901F70" w:rsidRDefault="0041400D" w:rsidP="00590BA8">
      <w:r>
        <w:t>The purpose of this amendment is</w:t>
      </w:r>
      <w:r w:rsidR="00901F70">
        <w:t>:</w:t>
      </w:r>
    </w:p>
    <w:p w:rsidR="00901F70" w:rsidRDefault="00901F70" w:rsidP="000B2383">
      <w:pPr>
        <w:numPr>
          <w:ilvl w:val="0"/>
          <w:numId w:val="27"/>
        </w:numPr>
        <w:tabs>
          <w:tab w:val="left" w:pos="709"/>
        </w:tabs>
        <w:rPr>
          <w:iCs/>
        </w:rPr>
      </w:pPr>
      <w:proofErr w:type="gramStart"/>
      <w:r>
        <w:t>to</w:t>
      </w:r>
      <w:proofErr w:type="gramEnd"/>
      <w:r>
        <w:t xml:space="preserve"> remove from the </w:t>
      </w:r>
      <w:r>
        <w:rPr>
          <w:i/>
        </w:rPr>
        <w:t xml:space="preserve">Private Health Insurance (Risk Equalisation Administration) Rules 2007 </w:t>
      </w:r>
      <w:r>
        <w:rPr>
          <w:iCs/>
        </w:rPr>
        <w:t xml:space="preserve">the </w:t>
      </w:r>
      <w:r w:rsidR="000F6AAA">
        <w:rPr>
          <w:iCs/>
        </w:rPr>
        <w:t>Schedule – Quarterly Return</w:t>
      </w:r>
      <w:r>
        <w:rPr>
          <w:iCs/>
        </w:rPr>
        <w:t xml:space="preserve">.  The removal of the </w:t>
      </w:r>
      <w:r w:rsidR="000F6AAA">
        <w:rPr>
          <w:iCs/>
        </w:rPr>
        <w:t>Quarterly Return</w:t>
      </w:r>
      <w:r>
        <w:rPr>
          <w:iCs/>
        </w:rPr>
        <w:t xml:space="preserve"> provides for PHIAC and the industry to be more </w:t>
      </w:r>
      <w:r w:rsidR="000B2383">
        <w:rPr>
          <w:iCs/>
        </w:rPr>
        <w:t>responsive</w:t>
      </w:r>
      <w:r>
        <w:rPr>
          <w:iCs/>
        </w:rPr>
        <w:t xml:space="preserve"> and adaptable to government </w:t>
      </w:r>
      <w:r w:rsidR="000B2383">
        <w:rPr>
          <w:iCs/>
        </w:rPr>
        <w:t xml:space="preserve">and industry </w:t>
      </w:r>
      <w:r>
        <w:rPr>
          <w:iCs/>
        </w:rPr>
        <w:t xml:space="preserve">data requirements.  </w:t>
      </w:r>
      <w:r w:rsidR="00366B1A" w:rsidRPr="00366B1A">
        <w:rPr>
          <w:iCs/>
        </w:rPr>
        <w:t>The requirement to lodge a paper copy is also removed, taking a burden off private health insurers.</w:t>
      </w:r>
      <w:r w:rsidR="00366B1A">
        <w:rPr>
          <w:iCs/>
        </w:rPr>
        <w:t xml:space="preserve"> </w:t>
      </w:r>
      <w:r>
        <w:rPr>
          <w:iCs/>
        </w:rPr>
        <w:t xml:space="preserve">PHIAC has the power to </w:t>
      </w:r>
      <w:r w:rsidR="000B2383">
        <w:rPr>
          <w:iCs/>
        </w:rPr>
        <w:t xml:space="preserve">request the information required for the purpose of Risk Equalisation under Section </w:t>
      </w:r>
      <w:proofErr w:type="spellStart"/>
      <w:r w:rsidR="000B2383" w:rsidRPr="000B2383">
        <w:rPr>
          <w:iCs/>
        </w:rPr>
        <w:t>Section</w:t>
      </w:r>
      <w:proofErr w:type="spellEnd"/>
      <w:r w:rsidR="000B2383" w:rsidRPr="000B2383">
        <w:rPr>
          <w:iCs/>
        </w:rPr>
        <w:t xml:space="preserve"> 264-10 </w:t>
      </w:r>
      <w:r w:rsidR="000B2383">
        <w:rPr>
          <w:iCs/>
        </w:rPr>
        <w:t xml:space="preserve">of the </w:t>
      </w:r>
      <w:r w:rsidR="000B2383">
        <w:rPr>
          <w:i/>
        </w:rPr>
        <w:t>Private Health Insurance Act 200</w:t>
      </w:r>
      <w:r w:rsidR="000B2383" w:rsidRPr="000B2383">
        <w:rPr>
          <w:i/>
        </w:rPr>
        <w:t>7</w:t>
      </w:r>
      <w:r w:rsidR="000B2383">
        <w:rPr>
          <w:i/>
        </w:rPr>
        <w:t xml:space="preserve"> </w:t>
      </w:r>
      <w:r w:rsidR="000B2383">
        <w:rPr>
          <w:iCs/>
        </w:rPr>
        <w:t>and data will continue to be collected under this power.</w:t>
      </w:r>
    </w:p>
    <w:p w:rsidR="005E652D" w:rsidRPr="0041400D" w:rsidRDefault="005E652D" w:rsidP="00590BA8"/>
    <w:p w:rsidR="00590BA8" w:rsidRPr="00EF6223" w:rsidRDefault="00590BA8" w:rsidP="00590BA8">
      <w:r w:rsidRPr="00EF6223">
        <w:t xml:space="preserve">An explanation of the rules is set out in the </w:t>
      </w:r>
      <w:r w:rsidRPr="00EF6223">
        <w:rPr>
          <w:b/>
          <w:u w:val="single"/>
        </w:rPr>
        <w:t>Attachment</w:t>
      </w:r>
      <w:r w:rsidRPr="00EF6223">
        <w:t>.</w:t>
      </w:r>
    </w:p>
    <w:p w:rsidR="00590BA8" w:rsidRPr="00EF6223" w:rsidRDefault="00590BA8" w:rsidP="00590BA8"/>
    <w:p w:rsidR="00D014BF" w:rsidRPr="00EF6223" w:rsidRDefault="00D014BF" w:rsidP="00D014BF">
      <w:pPr>
        <w:rPr>
          <w:b/>
        </w:rPr>
      </w:pPr>
      <w:r w:rsidRPr="00EF6223">
        <w:rPr>
          <w:b/>
        </w:rPr>
        <w:t>Consultation</w:t>
      </w:r>
    </w:p>
    <w:p w:rsidR="00D014BF" w:rsidRPr="00EF6223" w:rsidRDefault="00D014BF" w:rsidP="00D014BF"/>
    <w:p w:rsidR="00334073" w:rsidRPr="00EF6223" w:rsidRDefault="00AF0742" w:rsidP="00334073">
      <w:r>
        <w:t>C</w:t>
      </w:r>
      <w:r w:rsidR="005E652D">
        <w:t xml:space="preserve">onsultation was undertaken in relation to the Amending Rules </w:t>
      </w:r>
      <w:r>
        <w:t xml:space="preserve">with private health insurers. Insurers initiated the amendment </w:t>
      </w:r>
      <w:r w:rsidR="00CA63D5">
        <w:t>and the Private Health Insurance Administration Council agreed to the amendment after considering the benefits to the industry</w:t>
      </w:r>
      <w:r>
        <w:t>.</w:t>
      </w:r>
    </w:p>
    <w:p w:rsidR="006817B0" w:rsidRPr="00EF6223" w:rsidRDefault="006817B0" w:rsidP="006817B0">
      <w:pPr>
        <w:jc w:val="right"/>
        <w:rPr>
          <w:b/>
          <w:bCs/>
          <w:u w:val="single"/>
        </w:rPr>
      </w:pPr>
      <w:r w:rsidRPr="00EF6223">
        <w:br w:type="page"/>
      </w:r>
      <w:r w:rsidRPr="00EF6223">
        <w:rPr>
          <w:b/>
          <w:bCs/>
          <w:u w:val="single"/>
        </w:rPr>
        <w:lastRenderedPageBreak/>
        <w:t xml:space="preserve">ATTACHMENT </w:t>
      </w:r>
    </w:p>
    <w:p w:rsidR="006817B0" w:rsidRPr="00EF6223" w:rsidRDefault="006817B0" w:rsidP="006817B0">
      <w:pPr>
        <w:pStyle w:val="Header"/>
        <w:tabs>
          <w:tab w:val="clear" w:pos="4153"/>
          <w:tab w:val="clear" w:pos="8306"/>
        </w:tabs>
      </w:pPr>
    </w:p>
    <w:p w:rsidR="006817B0" w:rsidRPr="00EF6223" w:rsidRDefault="006817B0" w:rsidP="006817B0">
      <w:pPr>
        <w:pStyle w:val="Heading6"/>
        <w:tabs>
          <w:tab w:val="left" w:pos="1418"/>
        </w:tabs>
        <w:jc w:val="left"/>
        <w:rPr>
          <w:caps/>
          <w:sz w:val="28"/>
        </w:rPr>
      </w:pPr>
      <w:r w:rsidRPr="00EF6223">
        <w:rPr>
          <w:i w:val="0"/>
          <w:iCs/>
          <w:sz w:val="28"/>
        </w:rPr>
        <w:t xml:space="preserve">DETAILS OF THE </w:t>
      </w:r>
      <w:r w:rsidRPr="00EF6223">
        <w:rPr>
          <w:sz w:val="28"/>
        </w:rPr>
        <w:t xml:space="preserve">PRIVATE HEALTH INSURANCE </w:t>
      </w:r>
      <w:r w:rsidR="00AC4047" w:rsidRPr="00EF6223">
        <w:rPr>
          <w:sz w:val="28"/>
        </w:rPr>
        <w:t>(RISK EQUALISATION ADMI</w:t>
      </w:r>
      <w:r w:rsidR="008B2E0C" w:rsidRPr="00EF6223">
        <w:rPr>
          <w:sz w:val="28"/>
        </w:rPr>
        <w:t>N</w:t>
      </w:r>
      <w:r w:rsidR="00AC4047" w:rsidRPr="00EF6223">
        <w:rPr>
          <w:sz w:val="28"/>
        </w:rPr>
        <w:t xml:space="preserve">ISTRATION) </w:t>
      </w:r>
      <w:r w:rsidR="000765C0">
        <w:rPr>
          <w:sz w:val="28"/>
        </w:rPr>
        <w:t xml:space="preserve">AMENDMENT </w:t>
      </w:r>
      <w:r w:rsidR="00AC4047" w:rsidRPr="00EF6223">
        <w:rPr>
          <w:sz w:val="28"/>
        </w:rPr>
        <w:t>RULES</w:t>
      </w:r>
      <w:r w:rsidR="006574E0" w:rsidRPr="00EF6223">
        <w:rPr>
          <w:sz w:val="28"/>
        </w:rPr>
        <w:t xml:space="preserve"> </w:t>
      </w:r>
      <w:r w:rsidR="00171489" w:rsidRPr="00EF6223">
        <w:rPr>
          <w:sz w:val="28"/>
        </w:rPr>
        <w:t>20</w:t>
      </w:r>
      <w:r w:rsidR="002265E6">
        <w:rPr>
          <w:sz w:val="28"/>
        </w:rPr>
        <w:t>1</w:t>
      </w:r>
      <w:r w:rsidR="00B34ADB">
        <w:rPr>
          <w:sz w:val="28"/>
        </w:rPr>
        <w:t>1</w:t>
      </w:r>
      <w:r w:rsidR="000765C0">
        <w:rPr>
          <w:sz w:val="28"/>
        </w:rPr>
        <w:t xml:space="preserve"> (No. 1)</w:t>
      </w:r>
    </w:p>
    <w:p w:rsidR="00DE5E68" w:rsidRPr="00EF6223" w:rsidRDefault="00DE5E68" w:rsidP="006817B0">
      <w:pPr>
        <w:pStyle w:val="Header"/>
        <w:tabs>
          <w:tab w:val="clear" w:pos="4153"/>
          <w:tab w:val="clear" w:pos="8306"/>
        </w:tabs>
      </w:pPr>
    </w:p>
    <w:p w:rsidR="006817B0" w:rsidRPr="00EF6223" w:rsidRDefault="00575A24" w:rsidP="00F14DA8">
      <w:pPr>
        <w:pStyle w:val="Header"/>
        <w:numPr>
          <w:ilvl w:val="0"/>
          <w:numId w:val="10"/>
        </w:numPr>
        <w:tabs>
          <w:tab w:val="clear" w:pos="4153"/>
          <w:tab w:val="clear" w:pos="8306"/>
        </w:tabs>
        <w:rPr>
          <w:b/>
          <w:bCs/>
        </w:rPr>
      </w:pPr>
      <w:r w:rsidRPr="00EF6223">
        <w:rPr>
          <w:b/>
          <w:bCs/>
        </w:rPr>
        <w:t>Name of Rules</w:t>
      </w:r>
    </w:p>
    <w:p w:rsidR="006817B0" w:rsidRPr="00EF6223" w:rsidRDefault="006817B0" w:rsidP="006817B0">
      <w:pPr>
        <w:pStyle w:val="Header"/>
        <w:tabs>
          <w:tab w:val="clear" w:pos="4153"/>
          <w:tab w:val="clear" w:pos="8306"/>
        </w:tabs>
      </w:pPr>
    </w:p>
    <w:p w:rsidR="006817B0" w:rsidRPr="00EF6223" w:rsidRDefault="000D22A5" w:rsidP="006817B0">
      <w:pPr>
        <w:pStyle w:val="Header"/>
        <w:tabs>
          <w:tab w:val="clear" w:pos="4153"/>
          <w:tab w:val="clear" w:pos="8306"/>
        </w:tabs>
      </w:pPr>
      <w:r w:rsidRPr="00EF6223">
        <w:t xml:space="preserve">Rule 1 provides that the title of the Rules is the </w:t>
      </w:r>
      <w:r w:rsidR="00590BA8" w:rsidRPr="00EF6223">
        <w:rPr>
          <w:i/>
          <w:iCs/>
        </w:rPr>
        <w:t xml:space="preserve">Private Health Insurance (Risk Equalisation Administration) </w:t>
      </w:r>
      <w:r w:rsidR="00953EC5">
        <w:rPr>
          <w:i/>
          <w:iCs/>
        </w:rPr>
        <w:t xml:space="preserve">Amendment </w:t>
      </w:r>
      <w:r w:rsidR="00590BA8" w:rsidRPr="00EF6223">
        <w:rPr>
          <w:i/>
          <w:iCs/>
        </w:rPr>
        <w:t>Rules 20</w:t>
      </w:r>
      <w:r w:rsidR="000B2383">
        <w:rPr>
          <w:i/>
          <w:iCs/>
        </w:rPr>
        <w:t>1</w:t>
      </w:r>
      <w:r w:rsidR="00B34ADB">
        <w:rPr>
          <w:i/>
          <w:iCs/>
        </w:rPr>
        <w:t>1</w:t>
      </w:r>
      <w:r w:rsidR="000765C0">
        <w:rPr>
          <w:i/>
          <w:iCs/>
        </w:rPr>
        <w:t xml:space="preserve"> (No. 1)</w:t>
      </w:r>
      <w:r w:rsidRPr="00EF6223">
        <w:rPr>
          <w:i/>
          <w:iCs/>
        </w:rPr>
        <w:t>.</w:t>
      </w:r>
    </w:p>
    <w:p w:rsidR="006817B0" w:rsidRPr="00EF6223" w:rsidRDefault="006817B0" w:rsidP="006817B0">
      <w:pPr>
        <w:pStyle w:val="Header"/>
        <w:tabs>
          <w:tab w:val="clear" w:pos="4153"/>
          <w:tab w:val="clear" w:pos="8306"/>
        </w:tabs>
      </w:pPr>
    </w:p>
    <w:p w:rsidR="006817B0" w:rsidRPr="00EF6223" w:rsidRDefault="006817B0" w:rsidP="00F14DA8">
      <w:pPr>
        <w:pStyle w:val="Header"/>
        <w:numPr>
          <w:ilvl w:val="0"/>
          <w:numId w:val="10"/>
        </w:numPr>
        <w:tabs>
          <w:tab w:val="clear" w:pos="4153"/>
          <w:tab w:val="clear" w:pos="8306"/>
        </w:tabs>
        <w:rPr>
          <w:b/>
          <w:bCs/>
        </w:rPr>
      </w:pPr>
      <w:r w:rsidRPr="00EF6223">
        <w:rPr>
          <w:b/>
          <w:bCs/>
        </w:rPr>
        <w:t>Commencement</w:t>
      </w:r>
    </w:p>
    <w:p w:rsidR="006817B0" w:rsidRPr="00EF6223" w:rsidRDefault="006817B0" w:rsidP="006817B0">
      <w:pPr>
        <w:pStyle w:val="Header"/>
        <w:tabs>
          <w:tab w:val="clear" w:pos="4153"/>
          <w:tab w:val="clear" w:pos="8306"/>
        </w:tabs>
      </w:pPr>
    </w:p>
    <w:p w:rsidR="001F3B60" w:rsidRPr="00EF6223" w:rsidRDefault="00953EC5" w:rsidP="001F3B60">
      <w:r>
        <w:t>Rule 2 provides that the Amending Rules are to commence the day after they are registered</w:t>
      </w:r>
      <w:r w:rsidR="000765C0">
        <w:t>.</w:t>
      </w:r>
    </w:p>
    <w:p w:rsidR="006817B0" w:rsidRPr="00EF6223" w:rsidRDefault="006817B0" w:rsidP="006817B0">
      <w:pPr>
        <w:pStyle w:val="Header"/>
        <w:tabs>
          <w:tab w:val="clear" w:pos="4153"/>
          <w:tab w:val="clear" w:pos="8306"/>
        </w:tabs>
      </w:pPr>
    </w:p>
    <w:p w:rsidR="006817B0" w:rsidRPr="00EF6223" w:rsidRDefault="00953EC5" w:rsidP="00F14DA8">
      <w:pPr>
        <w:pStyle w:val="Header"/>
        <w:numPr>
          <w:ilvl w:val="0"/>
          <w:numId w:val="10"/>
        </w:numPr>
        <w:tabs>
          <w:tab w:val="clear" w:pos="4153"/>
          <w:tab w:val="clear" w:pos="8306"/>
        </w:tabs>
        <w:rPr>
          <w:b/>
          <w:bCs/>
        </w:rPr>
      </w:pPr>
      <w:r>
        <w:rPr>
          <w:b/>
          <w:bCs/>
        </w:rPr>
        <w:t xml:space="preserve">Amendment of the Private Health Insurance (Risk </w:t>
      </w:r>
      <w:proofErr w:type="spellStart"/>
      <w:r>
        <w:rPr>
          <w:b/>
          <w:bCs/>
        </w:rPr>
        <w:t>Equalisation</w:t>
      </w:r>
      <w:proofErr w:type="spellEnd"/>
      <w:r>
        <w:rPr>
          <w:b/>
          <w:bCs/>
        </w:rPr>
        <w:t xml:space="preserve"> Administration) Rules 20</w:t>
      </w:r>
      <w:r w:rsidR="00B34ADB">
        <w:rPr>
          <w:b/>
          <w:bCs/>
        </w:rPr>
        <w:t>07</w:t>
      </w:r>
    </w:p>
    <w:p w:rsidR="006817B0" w:rsidRPr="00EF6223" w:rsidRDefault="006817B0" w:rsidP="006817B0"/>
    <w:p w:rsidR="00625103" w:rsidRPr="00953EC5" w:rsidRDefault="00953EC5" w:rsidP="006817B0">
      <w:r>
        <w:t xml:space="preserve">Rule </w:t>
      </w:r>
      <w:r w:rsidR="00625103" w:rsidRPr="00EF6223">
        <w:t xml:space="preserve">3 </w:t>
      </w:r>
      <w:r w:rsidR="000765C0">
        <w:t>p</w:t>
      </w:r>
      <w:r>
        <w:t xml:space="preserve">rovides that the Schedule of the Amending Rules amends the </w:t>
      </w:r>
      <w:r w:rsidRPr="00953EC5">
        <w:rPr>
          <w:i/>
        </w:rPr>
        <w:t>Private Health Insurance (Risk Equalisation Administration) Rules 2007</w:t>
      </w:r>
      <w:r>
        <w:rPr>
          <w:i/>
        </w:rPr>
        <w:t>.</w:t>
      </w:r>
    </w:p>
    <w:p w:rsidR="00625103" w:rsidRPr="00EF6223" w:rsidRDefault="00625103" w:rsidP="00625103">
      <w:pPr>
        <w:pStyle w:val="Header"/>
        <w:tabs>
          <w:tab w:val="clear" w:pos="4153"/>
          <w:tab w:val="clear" w:pos="8306"/>
        </w:tabs>
        <w:rPr>
          <w:b/>
          <w:bCs/>
        </w:rPr>
      </w:pPr>
    </w:p>
    <w:p w:rsidR="00634FF5" w:rsidRPr="00EF6223" w:rsidRDefault="00634FF5" w:rsidP="005A0511">
      <w:pPr>
        <w:pStyle w:val="Header"/>
        <w:tabs>
          <w:tab w:val="clear" w:pos="4153"/>
          <w:tab w:val="clear" w:pos="8306"/>
        </w:tabs>
        <w:rPr>
          <w:bCs/>
        </w:rPr>
      </w:pPr>
    </w:p>
    <w:p w:rsidR="00384E90" w:rsidRPr="00384E90" w:rsidRDefault="00384E90" w:rsidP="00384E90">
      <w:pPr>
        <w:autoSpaceDE w:val="0"/>
        <w:autoSpaceDN w:val="0"/>
        <w:adjustRightInd w:val="0"/>
        <w:rPr>
          <w:rFonts w:ascii="Arial" w:hAnsi="Arial" w:cs="Arial"/>
          <w:color w:val="000000"/>
          <w:sz w:val="32"/>
          <w:szCs w:val="32"/>
          <w:lang w:bidi="hi-IN"/>
        </w:rPr>
      </w:pPr>
      <w:r w:rsidRPr="00384E90">
        <w:rPr>
          <w:rFonts w:ascii="Arial" w:hAnsi="Arial" w:cs="Arial"/>
          <w:b/>
          <w:bCs/>
          <w:color w:val="000000"/>
          <w:sz w:val="32"/>
          <w:szCs w:val="32"/>
          <w:lang w:bidi="hi-IN"/>
        </w:rPr>
        <w:t xml:space="preserve">Schedule 1 Amendments </w:t>
      </w:r>
    </w:p>
    <w:p w:rsidR="00384E90" w:rsidRPr="00384E90" w:rsidRDefault="009E04FC" w:rsidP="00384E90">
      <w:pPr>
        <w:autoSpaceDE w:val="0"/>
        <w:autoSpaceDN w:val="0"/>
        <w:adjustRightInd w:val="0"/>
        <w:spacing w:before="120"/>
      </w:pPr>
      <w:r>
        <w:t>P</w:t>
      </w:r>
      <w:r w:rsidR="00384E90" w:rsidRPr="00384E90">
        <w:t>aragraphs [1] to [</w:t>
      </w:r>
      <w:r>
        <w:t>6</w:t>
      </w:r>
      <w:r w:rsidR="00384E90" w:rsidRPr="00384E90">
        <w:t xml:space="preserve">] provide clarification of the rules. </w:t>
      </w:r>
      <w:r>
        <w:t>Paragraphs [7] to [12] provide details of the removal from the Rules of the Quarterly Return and the requirements of private health insurers to complete the electronic Quarterly Return in the form provided on PHIAC’s web site.</w:t>
      </w:r>
    </w:p>
    <w:p w:rsidR="00384E90" w:rsidRPr="00384E90" w:rsidRDefault="00384E90" w:rsidP="00384E90">
      <w:pPr>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t xml:space="preserve">[1] </w:t>
      </w:r>
      <w:proofErr w:type="spellStart"/>
      <w:r w:rsidRPr="00384E90">
        <w:rPr>
          <w:rFonts w:ascii="Arial" w:hAnsi="Arial" w:cs="Arial"/>
          <w:b/>
          <w:bCs/>
          <w:color w:val="000000"/>
          <w:sz w:val="23"/>
          <w:szCs w:val="23"/>
          <w:lang w:bidi="hi-IN"/>
        </w:rPr>
        <w:t>Subrule</w:t>
      </w:r>
      <w:proofErr w:type="spellEnd"/>
      <w:r w:rsidRPr="00384E90">
        <w:rPr>
          <w:rFonts w:ascii="Arial" w:hAnsi="Arial" w:cs="Arial"/>
          <w:b/>
          <w:bCs/>
          <w:color w:val="000000"/>
          <w:sz w:val="23"/>
          <w:szCs w:val="23"/>
          <w:lang w:bidi="hi-IN"/>
        </w:rPr>
        <w:t xml:space="preserve"> 3 (3)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omit</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t xml:space="preserve">[2] Paragraph 4 (b)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substitute</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(b) </w:t>
      </w:r>
      <w:proofErr w:type="gramStart"/>
      <w:r w:rsidRPr="00384E90">
        <w:rPr>
          <w:color w:val="000000"/>
          <w:sz w:val="23"/>
          <w:szCs w:val="23"/>
          <w:lang w:bidi="hi-IN"/>
        </w:rPr>
        <w:t>which</w:t>
      </w:r>
      <w:proofErr w:type="gramEnd"/>
      <w:r w:rsidRPr="00384E90">
        <w:rPr>
          <w:color w:val="000000"/>
          <w:sz w:val="23"/>
          <w:szCs w:val="23"/>
          <w:lang w:bidi="hi-IN"/>
        </w:rPr>
        <w:t xml:space="preserve"> of the following the policy covers: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w:t>
      </w:r>
      <w:proofErr w:type="spellStart"/>
      <w:r w:rsidRPr="00384E90">
        <w:rPr>
          <w:color w:val="000000"/>
          <w:sz w:val="23"/>
          <w:szCs w:val="23"/>
          <w:lang w:bidi="hi-IN"/>
        </w:rPr>
        <w:t>i</w:t>
      </w:r>
      <w:proofErr w:type="spellEnd"/>
      <w:r w:rsidRPr="00384E90">
        <w:rPr>
          <w:color w:val="000000"/>
          <w:sz w:val="23"/>
          <w:szCs w:val="23"/>
          <w:lang w:bidi="hi-IN"/>
        </w:rPr>
        <w:t xml:space="preserve">) </w:t>
      </w:r>
      <w:proofErr w:type="gramStart"/>
      <w:r w:rsidRPr="00384E90">
        <w:rPr>
          <w:color w:val="000000"/>
          <w:sz w:val="23"/>
          <w:szCs w:val="23"/>
          <w:lang w:bidi="hi-IN"/>
        </w:rPr>
        <w:t>hospital</w:t>
      </w:r>
      <w:proofErr w:type="gramEnd"/>
      <w:r w:rsidRPr="00384E90">
        <w:rPr>
          <w:color w:val="000000"/>
          <w:sz w:val="23"/>
          <w:szCs w:val="23"/>
          <w:lang w:bidi="hi-IN"/>
        </w:rPr>
        <w:t xml:space="preserve"> treatment;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(ii) hospital-substitute treatment;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(iii) </w:t>
      </w:r>
      <w:proofErr w:type="gramStart"/>
      <w:r w:rsidRPr="00384E90">
        <w:rPr>
          <w:color w:val="000000"/>
          <w:sz w:val="23"/>
          <w:szCs w:val="23"/>
          <w:lang w:bidi="hi-IN"/>
        </w:rPr>
        <w:t>chronic</w:t>
      </w:r>
      <w:proofErr w:type="gramEnd"/>
      <w:r w:rsidRPr="00384E90">
        <w:rPr>
          <w:color w:val="000000"/>
          <w:sz w:val="23"/>
          <w:szCs w:val="23"/>
          <w:lang w:bidi="hi-IN"/>
        </w:rPr>
        <w:t xml:space="preserve"> disease management programs;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(iv) </w:t>
      </w:r>
      <w:proofErr w:type="gramStart"/>
      <w:r w:rsidRPr="00384E90">
        <w:rPr>
          <w:color w:val="000000"/>
          <w:sz w:val="23"/>
          <w:szCs w:val="23"/>
          <w:lang w:bidi="hi-IN"/>
        </w:rPr>
        <w:t>ambulance</w:t>
      </w:r>
      <w:proofErr w:type="gramEnd"/>
      <w:r w:rsidRPr="00384E90">
        <w:rPr>
          <w:color w:val="000000"/>
          <w:sz w:val="23"/>
          <w:szCs w:val="23"/>
          <w:lang w:bidi="hi-IN"/>
        </w:rPr>
        <w:t xml:space="preserve"> service;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(v) </w:t>
      </w:r>
      <w:proofErr w:type="gramStart"/>
      <w:r w:rsidRPr="00384E90">
        <w:rPr>
          <w:color w:val="000000"/>
          <w:sz w:val="23"/>
          <w:szCs w:val="23"/>
          <w:lang w:bidi="hi-IN"/>
        </w:rPr>
        <w:t>other</w:t>
      </w:r>
      <w:proofErr w:type="gramEnd"/>
      <w:r w:rsidRPr="00384E90">
        <w:rPr>
          <w:color w:val="000000"/>
          <w:sz w:val="23"/>
          <w:szCs w:val="23"/>
          <w:lang w:bidi="hi-IN"/>
        </w:rPr>
        <w:t xml:space="preserve"> general treatment; and </w:t>
      </w:r>
    </w:p>
    <w:p w:rsidR="00384E90" w:rsidRPr="00384E90" w:rsidRDefault="00384E90" w:rsidP="00384E90">
      <w:pPr>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t xml:space="preserve">[3] Subparagraph 4 (e) (iii)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substitute</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(iii) </w:t>
      </w:r>
      <w:proofErr w:type="gramStart"/>
      <w:r w:rsidRPr="00384E90">
        <w:rPr>
          <w:color w:val="000000"/>
          <w:sz w:val="23"/>
          <w:szCs w:val="23"/>
          <w:lang w:bidi="hi-IN"/>
        </w:rPr>
        <w:t>whether</w:t>
      </w:r>
      <w:proofErr w:type="gramEnd"/>
      <w:r w:rsidRPr="00384E90">
        <w:rPr>
          <w:color w:val="000000"/>
          <w:sz w:val="23"/>
          <w:szCs w:val="23"/>
          <w:lang w:bidi="hi-IN"/>
        </w:rPr>
        <w:t xml:space="preserve"> the benefit was paid for: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(A) </w:t>
      </w:r>
      <w:proofErr w:type="gramStart"/>
      <w:r w:rsidRPr="00384E90">
        <w:rPr>
          <w:color w:val="000000"/>
          <w:sz w:val="23"/>
          <w:szCs w:val="23"/>
          <w:lang w:bidi="hi-IN"/>
        </w:rPr>
        <w:t>hospital</w:t>
      </w:r>
      <w:proofErr w:type="gramEnd"/>
      <w:r w:rsidRPr="00384E90">
        <w:rPr>
          <w:color w:val="000000"/>
          <w:sz w:val="23"/>
          <w:szCs w:val="23"/>
          <w:lang w:bidi="hi-IN"/>
        </w:rPr>
        <w:t xml:space="preserve"> treatment; or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(B) hospital-substitute treatment; or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(C) </w:t>
      </w:r>
      <w:proofErr w:type="gramStart"/>
      <w:r w:rsidRPr="00384E90">
        <w:rPr>
          <w:color w:val="000000"/>
          <w:sz w:val="23"/>
          <w:szCs w:val="23"/>
          <w:lang w:bidi="hi-IN"/>
        </w:rPr>
        <w:t>chronic</w:t>
      </w:r>
      <w:proofErr w:type="gramEnd"/>
      <w:r w:rsidRPr="00384E90">
        <w:rPr>
          <w:color w:val="000000"/>
          <w:sz w:val="23"/>
          <w:szCs w:val="23"/>
          <w:lang w:bidi="hi-IN"/>
        </w:rPr>
        <w:t xml:space="preserve"> disease management program treatment; or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(D) </w:t>
      </w:r>
      <w:proofErr w:type="gramStart"/>
      <w:r w:rsidRPr="00384E90">
        <w:rPr>
          <w:color w:val="000000"/>
          <w:sz w:val="23"/>
          <w:szCs w:val="23"/>
          <w:lang w:bidi="hi-IN"/>
        </w:rPr>
        <w:t>ambulance</w:t>
      </w:r>
      <w:proofErr w:type="gramEnd"/>
      <w:r w:rsidRPr="00384E90">
        <w:rPr>
          <w:color w:val="000000"/>
          <w:sz w:val="23"/>
          <w:szCs w:val="23"/>
          <w:lang w:bidi="hi-IN"/>
        </w:rPr>
        <w:t xml:space="preserve"> services; or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(E) </w:t>
      </w:r>
      <w:proofErr w:type="gramStart"/>
      <w:r w:rsidRPr="00384E90">
        <w:rPr>
          <w:color w:val="000000"/>
          <w:sz w:val="23"/>
          <w:szCs w:val="23"/>
          <w:lang w:bidi="hi-IN"/>
        </w:rPr>
        <w:t>other</w:t>
      </w:r>
      <w:proofErr w:type="gramEnd"/>
      <w:r w:rsidRPr="00384E90">
        <w:rPr>
          <w:color w:val="000000"/>
          <w:sz w:val="23"/>
          <w:szCs w:val="23"/>
          <w:lang w:bidi="hi-IN"/>
        </w:rPr>
        <w:t xml:space="preserve"> general treatment; and </w:t>
      </w:r>
    </w:p>
    <w:p w:rsidR="00384E90" w:rsidRPr="00384E90" w:rsidRDefault="00384E90" w:rsidP="00384E90">
      <w:pPr>
        <w:pageBreakBefore/>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lastRenderedPageBreak/>
        <w:t xml:space="preserve">[4] Rule 5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omit</w:t>
      </w:r>
      <w:proofErr w:type="gramEnd"/>
      <w:r w:rsidRPr="00384E90">
        <w:rPr>
          <w:i/>
          <w:iCs/>
          <w:color w:val="000000"/>
          <w:sz w:val="23"/>
          <w:szCs w:val="23"/>
          <w:lang w:bidi="hi-IN"/>
        </w:rPr>
        <w:t xml:space="preserve"> everything before paragraph (a), insert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(1) This rule applies if the insurer includes in a quarterly return a gross benefit for the high cost </w:t>
      </w:r>
      <w:proofErr w:type="gramStart"/>
      <w:r w:rsidRPr="00384E90">
        <w:rPr>
          <w:color w:val="000000"/>
          <w:sz w:val="23"/>
          <w:szCs w:val="23"/>
          <w:lang w:bidi="hi-IN"/>
        </w:rPr>
        <w:t>claimants</w:t>
      </w:r>
      <w:proofErr w:type="gramEnd"/>
      <w:r w:rsidRPr="00384E90">
        <w:rPr>
          <w:color w:val="000000"/>
          <w:sz w:val="23"/>
          <w:szCs w:val="23"/>
          <w:lang w:bidi="hi-IN"/>
        </w:rPr>
        <w:t xml:space="preserve"> pool. </w:t>
      </w:r>
    </w:p>
    <w:p w:rsidR="00384E90" w:rsidRPr="00384E90" w:rsidRDefault="00384E90" w:rsidP="00384E90">
      <w:pPr>
        <w:autoSpaceDE w:val="0"/>
        <w:autoSpaceDN w:val="0"/>
        <w:adjustRightInd w:val="0"/>
        <w:rPr>
          <w:color w:val="000000"/>
          <w:sz w:val="20"/>
          <w:lang w:bidi="hi-IN"/>
        </w:rPr>
      </w:pPr>
      <w:r w:rsidRPr="00384E90">
        <w:rPr>
          <w:i/>
          <w:iCs/>
          <w:color w:val="000000"/>
          <w:sz w:val="20"/>
          <w:lang w:bidi="hi-IN"/>
        </w:rPr>
        <w:t xml:space="preserve">Note </w:t>
      </w:r>
      <w:r w:rsidRPr="00384E90">
        <w:rPr>
          <w:color w:val="000000"/>
          <w:sz w:val="20"/>
          <w:lang w:bidi="hi-IN"/>
        </w:rPr>
        <w:t xml:space="preserve">Part 3 sets out the requirements for providing quarterly returns.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(2) In addition to the information to be kept in accordance with rule 4, the insurer must keep a record that contains the following information in respect of the insured person to whom the gross benefit relates: </w:t>
      </w:r>
    </w:p>
    <w:p w:rsidR="00384E90" w:rsidRPr="00384E90" w:rsidRDefault="00384E90" w:rsidP="00384E90">
      <w:pPr>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t xml:space="preserve">[5] </w:t>
      </w:r>
      <w:proofErr w:type="spellStart"/>
      <w:r w:rsidRPr="00384E90">
        <w:rPr>
          <w:rFonts w:ascii="Arial" w:hAnsi="Arial" w:cs="Arial"/>
          <w:b/>
          <w:bCs/>
          <w:color w:val="000000"/>
          <w:sz w:val="23"/>
          <w:szCs w:val="23"/>
          <w:lang w:bidi="hi-IN"/>
        </w:rPr>
        <w:t>Subrule</w:t>
      </w:r>
      <w:proofErr w:type="spellEnd"/>
      <w:r w:rsidRPr="00384E90">
        <w:rPr>
          <w:rFonts w:ascii="Arial" w:hAnsi="Arial" w:cs="Arial"/>
          <w:b/>
          <w:bCs/>
          <w:color w:val="000000"/>
          <w:sz w:val="23"/>
          <w:szCs w:val="23"/>
          <w:lang w:bidi="hi-IN"/>
        </w:rPr>
        <w:t xml:space="preserve"> 6 (1)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omit</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Council for each fund that it conducts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insert</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Council, for each fund that it conducts, </w:t>
      </w:r>
    </w:p>
    <w:p w:rsidR="00384E90" w:rsidRPr="00384E90" w:rsidRDefault="00384E90" w:rsidP="00384E90">
      <w:pPr>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t xml:space="preserve">[6] After </w:t>
      </w:r>
      <w:proofErr w:type="spellStart"/>
      <w:r w:rsidRPr="00384E90">
        <w:rPr>
          <w:rFonts w:ascii="Arial" w:hAnsi="Arial" w:cs="Arial"/>
          <w:b/>
          <w:bCs/>
          <w:color w:val="000000"/>
          <w:sz w:val="23"/>
          <w:szCs w:val="23"/>
          <w:lang w:bidi="hi-IN"/>
        </w:rPr>
        <w:t>subrule</w:t>
      </w:r>
      <w:proofErr w:type="spellEnd"/>
      <w:r w:rsidRPr="00384E90">
        <w:rPr>
          <w:rFonts w:ascii="Arial" w:hAnsi="Arial" w:cs="Arial"/>
          <w:b/>
          <w:bCs/>
          <w:color w:val="000000"/>
          <w:sz w:val="23"/>
          <w:szCs w:val="23"/>
          <w:lang w:bidi="hi-IN"/>
        </w:rPr>
        <w:t xml:space="preserve"> 6 (4)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insert</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(4A) For the purpose of quarterly returns, a benefit is regarded as being paid during the quarter in which the benefit is recorded and liability for it is accepted. </w:t>
      </w:r>
    </w:p>
    <w:p w:rsidR="00384E90" w:rsidRPr="00384E90" w:rsidRDefault="00384E90" w:rsidP="00384E90">
      <w:pPr>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t xml:space="preserve">[7] </w:t>
      </w:r>
      <w:proofErr w:type="spellStart"/>
      <w:r w:rsidRPr="00384E90">
        <w:rPr>
          <w:rFonts w:ascii="Arial" w:hAnsi="Arial" w:cs="Arial"/>
          <w:b/>
          <w:bCs/>
          <w:color w:val="000000"/>
          <w:sz w:val="23"/>
          <w:szCs w:val="23"/>
          <w:lang w:bidi="hi-IN"/>
        </w:rPr>
        <w:t>Subrule</w:t>
      </w:r>
      <w:proofErr w:type="spellEnd"/>
      <w:r w:rsidRPr="00384E90">
        <w:rPr>
          <w:rFonts w:ascii="Arial" w:hAnsi="Arial" w:cs="Arial"/>
          <w:b/>
          <w:bCs/>
          <w:color w:val="000000"/>
          <w:sz w:val="23"/>
          <w:szCs w:val="23"/>
          <w:lang w:bidi="hi-IN"/>
        </w:rPr>
        <w:t xml:space="preserve"> 7 (1)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substitute</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(1) Quarterly returns must be: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(a) </w:t>
      </w:r>
      <w:proofErr w:type="gramStart"/>
      <w:r w:rsidRPr="00384E90">
        <w:rPr>
          <w:color w:val="000000"/>
          <w:sz w:val="23"/>
          <w:szCs w:val="23"/>
          <w:lang w:bidi="hi-IN"/>
        </w:rPr>
        <w:t>given</w:t>
      </w:r>
      <w:proofErr w:type="gramEnd"/>
      <w:r w:rsidRPr="00384E90">
        <w:rPr>
          <w:color w:val="000000"/>
          <w:sz w:val="23"/>
          <w:szCs w:val="23"/>
          <w:lang w:bidi="hi-IN"/>
        </w:rPr>
        <w:t xml:space="preserve"> to the Council as electronic data in the form approved by the Council; and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(b) </w:t>
      </w:r>
      <w:proofErr w:type="gramStart"/>
      <w:r w:rsidRPr="00384E90">
        <w:rPr>
          <w:color w:val="000000"/>
          <w:sz w:val="23"/>
          <w:szCs w:val="23"/>
          <w:lang w:bidi="hi-IN"/>
        </w:rPr>
        <w:t>accompanied</w:t>
      </w:r>
      <w:proofErr w:type="gramEnd"/>
      <w:r w:rsidRPr="00384E90">
        <w:rPr>
          <w:color w:val="000000"/>
          <w:sz w:val="23"/>
          <w:szCs w:val="23"/>
          <w:lang w:bidi="hi-IN"/>
        </w:rPr>
        <w:t xml:space="preserve"> by a signed copy of the certification mentioned in </w:t>
      </w:r>
      <w:proofErr w:type="spellStart"/>
      <w:r w:rsidRPr="00384E90">
        <w:rPr>
          <w:color w:val="000000"/>
          <w:sz w:val="23"/>
          <w:szCs w:val="23"/>
          <w:lang w:bidi="hi-IN"/>
        </w:rPr>
        <w:t>subrule</w:t>
      </w:r>
      <w:proofErr w:type="spellEnd"/>
      <w:r w:rsidRPr="00384E90">
        <w:rPr>
          <w:color w:val="000000"/>
          <w:sz w:val="23"/>
          <w:szCs w:val="23"/>
          <w:lang w:bidi="hi-IN"/>
        </w:rPr>
        <w:t xml:space="preserve"> (3) as a PDF file. </w:t>
      </w:r>
    </w:p>
    <w:p w:rsidR="00384E90" w:rsidRPr="00384E90" w:rsidRDefault="00384E90" w:rsidP="00384E90">
      <w:pPr>
        <w:autoSpaceDE w:val="0"/>
        <w:autoSpaceDN w:val="0"/>
        <w:adjustRightInd w:val="0"/>
        <w:rPr>
          <w:color w:val="000000"/>
          <w:sz w:val="20"/>
          <w:lang w:bidi="hi-IN"/>
        </w:rPr>
      </w:pPr>
      <w:r w:rsidRPr="00384E90">
        <w:rPr>
          <w:i/>
          <w:iCs/>
          <w:color w:val="000000"/>
          <w:sz w:val="20"/>
          <w:lang w:bidi="hi-IN"/>
        </w:rPr>
        <w:t xml:space="preserve">Note for paragraph (a) </w:t>
      </w:r>
      <w:proofErr w:type="gramStart"/>
      <w:r w:rsidRPr="00384E90">
        <w:rPr>
          <w:color w:val="000000"/>
          <w:sz w:val="20"/>
          <w:lang w:bidi="hi-IN"/>
        </w:rPr>
        <w:t>The</w:t>
      </w:r>
      <w:proofErr w:type="gramEnd"/>
      <w:r w:rsidRPr="00384E90">
        <w:rPr>
          <w:color w:val="000000"/>
          <w:sz w:val="20"/>
          <w:lang w:bidi="hi-IN"/>
        </w:rPr>
        <w:t xml:space="preserve"> approved form for paragraph (a) is available at http://www.phiac.gov.au. </w:t>
      </w:r>
    </w:p>
    <w:p w:rsidR="00384E90" w:rsidRPr="00384E90" w:rsidRDefault="00384E90" w:rsidP="00384E90">
      <w:pPr>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t xml:space="preserve">[8] </w:t>
      </w:r>
      <w:proofErr w:type="spellStart"/>
      <w:r w:rsidRPr="00384E90">
        <w:rPr>
          <w:rFonts w:ascii="Arial" w:hAnsi="Arial" w:cs="Arial"/>
          <w:b/>
          <w:bCs/>
          <w:color w:val="000000"/>
          <w:sz w:val="23"/>
          <w:szCs w:val="23"/>
          <w:lang w:bidi="hi-IN"/>
        </w:rPr>
        <w:t>Subrule</w:t>
      </w:r>
      <w:proofErr w:type="spellEnd"/>
      <w:r w:rsidRPr="00384E90">
        <w:rPr>
          <w:rFonts w:ascii="Arial" w:hAnsi="Arial" w:cs="Arial"/>
          <w:b/>
          <w:bCs/>
          <w:color w:val="000000"/>
          <w:sz w:val="23"/>
          <w:szCs w:val="23"/>
          <w:lang w:bidi="hi-IN"/>
        </w:rPr>
        <w:t xml:space="preserve"> 7 (2)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omit</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rPr>
          <w:color w:val="000000"/>
          <w:sz w:val="23"/>
          <w:szCs w:val="23"/>
          <w:lang w:bidi="hi-IN"/>
        </w:rPr>
      </w:pPr>
      <w:proofErr w:type="gramStart"/>
      <w:r w:rsidRPr="00384E90">
        <w:rPr>
          <w:color w:val="000000"/>
          <w:sz w:val="23"/>
          <w:szCs w:val="23"/>
          <w:lang w:bidi="hi-IN"/>
        </w:rPr>
        <w:t>electronic</w:t>
      </w:r>
      <w:proofErr w:type="gramEnd"/>
      <w:r w:rsidRPr="00384E90">
        <w:rPr>
          <w:color w:val="000000"/>
          <w:sz w:val="23"/>
          <w:szCs w:val="23"/>
          <w:lang w:bidi="hi-IN"/>
        </w:rPr>
        <w:t xml:space="preserve"> form of the quarterly return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insert</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rPr>
          <w:color w:val="000000"/>
          <w:sz w:val="23"/>
          <w:szCs w:val="23"/>
          <w:lang w:bidi="hi-IN"/>
        </w:rPr>
      </w:pPr>
      <w:proofErr w:type="gramStart"/>
      <w:r w:rsidRPr="00384E90">
        <w:rPr>
          <w:color w:val="000000"/>
          <w:sz w:val="23"/>
          <w:szCs w:val="23"/>
          <w:lang w:bidi="hi-IN"/>
        </w:rPr>
        <w:t>data</w:t>
      </w:r>
      <w:proofErr w:type="gramEnd"/>
      <w:r w:rsidRPr="00384E90">
        <w:rPr>
          <w:color w:val="000000"/>
          <w:sz w:val="23"/>
          <w:szCs w:val="23"/>
          <w:lang w:bidi="hi-IN"/>
        </w:rPr>
        <w:t xml:space="preserve"> mentioned in paragraph 1 (a) </w:t>
      </w:r>
      <w:r w:rsidRPr="00384E90">
        <w:rPr>
          <w:rFonts w:ascii="Arial" w:hAnsi="Arial" w:cs="Arial"/>
          <w:color w:val="000000"/>
          <w:sz w:val="18"/>
          <w:szCs w:val="18"/>
          <w:lang w:bidi="hi-IN"/>
        </w:rPr>
        <w:t xml:space="preserve">Schedule 1 Amendments </w:t>
      </w:r>
      <w:r w:rsidRPr="00384E90">
        <w:rPr>
          <w:color w:val="000000"/>
          <w:sz w:val="23"/>
          <w:szCs w:val="23"/>
          <w:lang w:bidi="hi-IN"/>
        </w:rPr>
        <w:t xml:space="preserve">4 </w:t>
      </w:r>
    </w:p>
    <w:p w:rsidR="00384E90" w:rsidRPr="00384E90" w:rsidRDefault="00384E90" w:rsidP="00384E90">
      <w:pPr>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t xml:space="preserve">[9] </w:t>
      </w:r>
      <w:proofErr w:type="spellStart"/>
      <w:r w:rsidRPr="00384E90">
        <w:rPr>
          <w:rFonts w:ascii="Arial" w:hAnsi="Arial" w:cs="Arial"/>
          <w:b/>
          <w:bCs/>
          <w:color w:val="000000"/>
          <w:sz w:val="23"/>
          <w:szCs w:val="23"/>
          <w:lang w:bidi="hi-IN"/>
        </w:rPr>
        <w:t>Subrule</w:t>
      </w:r>
      <w:proofErr w:type="spellEnd"/>
      <w:r w:rsidRPr="00384E90">
        <w:rPr>
          <w:rFonts w:ascii="Arial" w:hAnsi="Arial" w:cs="Arial"/>
          <w:b/>
          <w:bCs/>
          <w:color w:val="000000"/>
          <w:sz w:val="23"/>
          <w:szCs w:val="23"/>
          <w:lang w:bidi="hi-IN"/>
        </w:rPr>
        <w:t xml:space="preserve"> 7 (3), except the note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substitute</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(3) For paragraph 7 (1) (b), an officer of the insurer must certify that the information in the quarterly return is true and correct. </w:t>
      </w:r>
    </w:p>
    <w:p w:rsidR="00384E90" w:rsidRPr="00384E90" w:rsidRDefault="00384E90" w:rsidP="00384E90">
      <w:pPr>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t xml:space="preserve">[10] </w:t>
      </w:r>
      <w:proofErr w:type="spellStart"/>
      <w:r w:rsidRPr="00384E90">
        <w:rPr>
          <w:rFonts w:ascii="Arial" w:hAnsi="Arial" w:cs="Arial"/>
          <w:b/>
          <w:bCs/>
          <w:color w:val="000000"/>
          <w:sz w:val="23"/>
          <w:szCs w:val="23"/>
          <w:lang w:bidi="hi-IN"/>
        </w:rPr>
        <w:t>Subrule</w:t>
      </w:r>
      <w:proofErr w:type="spellEnd"/>
      <w:r w:rsidRPr="00384E90">
        <w:rPr>
          <w:rFonts w:ascii="Arial" w:hAnsi="Arial" w:cs="Arial"/>
          <w:b/>
          <w:bCs/>
          <w:color w:val="000000"/>
          <w:sz w:val="23"/>
          <w:szCs w:val="23"/>
          <w:lang w:bidi="hi-IN"/>
        </w:rPr>
        <w:t xml:space="preserve"> 7 (4)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substitute</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rPr>
          <w:color w:val="000000"/>
          <w:sz w:val="23"/>
          <w:szCs w:val="23"/>
          <w:lang w:bidi="hi-IN"/>
        </w:rPr>
      </w:pPr>
      <w:r w:rsidRPr="00384E90">
        <w:rPr>
          <w:color w:val="000000"/>
          <w:sz w:val="23"/>
          <w:szCs w:val="23"/>
          <w:lang w:bidi="hi-IN"/>
        </w:rPr>
        <w:t xml:space="preserve">(4) If an officer is unable to give the certification mentioned in </w:t>
      </w:r>
      <w:proofErr w:type="spellStart"/>
      <w:r w:rsidRPr="00384E90">
        <w:rPr>
          <w:color w:val="000000"/>
          <w:sz w:val="23"/>
          <w:szCs w:val="23"/>
          <w:lang w:bidi="hi-IN"/>
        </w:rPr>
        <w:t>subrule</w:t>
      </w:r>
      <w:proofErr w:type="spellEnd"/>
      <w:r w:rsidRPr="00384E90">
        <w:rPr>
          <w:color w:val="000000"/>
          <w:sz w:val="23"/>
          <w:szCs w:val="23"/>
          <w:lang w:bidi="hi-IN"/>
        </w:rPr>
        <w:t xml:space="preserve"> (3), the quarterly return must be accompanied by a statement by an officer of the insurer stating why the certification cannot be provided. </w:t>
      </w:r>
    </w:p>
    <w:p w:rsidR="00384E90" w:rsidRPr="00384E90" w:rsidRDefault="00384E90" w:rsidP="00384E90">
      <w:pPr>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t xml:space="preserve">[11] Rule 9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omit</w:t>
      </w:r>
      <w:proofErr w:type="gramEnd"/>
      <w:r w:rsidRPr="00384E90">
        <w:rPr>
          <w:i/>
          <w:iCs/>
          <w:color w:val="000000"/>
          <w:sz w:val="23"/>
          <w:szCs w:val="23"/>
          <w:lang w:bidi="hi-IN"/>
        </w:rPr>
        <w:t xml:space="preserve"> </w:t>
      </w:r>
    </w:p>
    <w:p w:rsidR="00384E90" w:rsidRPr="00384E90" w:rsidRDefault="00384E90" w:rsidP="00384E90">
      <w:pPr>
        <w:autoSpaceDE w:val="0"/>
        <w:autoSpaceDN w:val="0"/>
        <w:adjustRightInd w:val="0"/>
        <w:spacing w:before="120"/>
        <w:rPr>
          <w:rFonts w:ascii="Arial" w:hAnsi="Arial" w:cs="Arial"/>
          <w:color w:val="000000"/>
          <w:sz w:val="23"/>
          <w:szCs w:val="23"/>
          <w:lang w:bidi="hi-IN"/>
        </w:rPr>
      </w:pPr>
      <w:r w:rsidRPr="00384E90">
        <w:rPr>
          <w:rFonts w:ascii="Arial" w:hAnsi="Arial" w:cs="Arial"/>
          <w:b/>
          <w:bCs/>
          <w:color w:val="000000"/>
          <w:sz w:val="23"/>
          <w:szCs w:val="23"/>
          <w:lang w:bidi="hi-IN"/>
        </w:rPr>
        <w:t xml:space="preserve">[12] Schedule — Quarterly return </w:t>
      </w:r>
    </w:p>
    <w:p w:rsidR="00384E90" w:rsidRPr="00384E90" w:rsidRDefault="00384E90" w:rsidP="00384E90">
      <w:pPr>
        <w:autoSpaceDE w:val="0"/>
        <w:autoSpaceDN w:val="0"/>
        <w:adjustRightInd w:val="0"/>
        <w:rPr>
          <w:color w:val="000000"/>
          <w:sz w:val="23"/>
          <w:szCs w:val="23"/>
          <w:lang w:bidi="hi-IN"/>
        </w:rPr>
      </w:pPr>
      <w:proofErr w:type="gramStart"/>
      <w:r w:rsidRPr="00384E90">
        <w:rPr>
          <w:i/>
          <w:iCs/>
          <w:color w:val="000000"/>
          <w:sz w:val="23"/>
          <w:szCs w:val="23"/>
          <w:lang w:bidi="hi-IN"/>
        </w:rPr>
        <w:t>omit</w:t>
      </w:r>
      <w:proofErr w:type="gramEnd"/>
      <w:r w:rsidRPr="00384E90">
        <w:rPr>
          <w:i/>
          <w:iCs/>
          <w:color w:val="000000"/>
          <w:sz w:val="23"/>
          <w:szCs w:val="23"/>
          <w:lang w:bidi="hi-IN"/>
        </w:rPr>
        <w:t xml:space="preserve"> </w:t>
      </w:r>
    </w:p>
    <w:p w:rsidR="00634FF5" w:rsidRPr="00EF6223" w:rsidRDefault="00634FF5" w:rsidP="005A0511">
      <w:pPr>
        <w:pStyle w:val="Header"/>
        <w:tabs>
          <w:tab w:val="clear" w:pos="4153"/>
          <w:tab w:val="clear" w:pos="8306"/>
        </w:tabs>
        <w:rPr>
          <w:b/>
          <w:bCs/>
        </w:rPr>
      </w:pPr>
    </w:p>
    <w:p w:rsidR="00634FF5" w:rsidRPr="00EF6223" w:rsidRDefault="0035445D" w:rsidP="00634FF5">
      <w:pPr>
        <w:pStyle w:val="Header"/>
        <w:tabs>
          <w:tab w:val="clear" w:pos="4153"/>
          <w:tab w:val="clear" w:pos="8306"/>
        </w:tabs>
        <w:rPr>
          <w:bCs/>
        </w:rPr>
      </w:pPr>
      <w:r>
        <w:rPr>
          <w:bCs/>
        </w:rPr>
        <w:t>The Schedule – Quarterly return has been removed from the Rules.</w:t>
      </w:r>
    </w:p>
    <w:p w:rsidR="00634FF5" w:rsidRPr="00EF6223" w:rsidRDefault="00384E90" w:rsidP="00634FF5">
      <w:pPr>
        <w:pStyle w:val="Header"/>
        <w:tabs>
          <w:tab w:val="clear" w:pos="4153"/>
          <w:tab w:val="clear" w:pos="8306"/>
        </w:tabs>
      </w:pPr>
      <w:r>
        <w:rPr>
          <w:iCs/>
        </w:rPr>
        <w:t xml:space="preserve">The removal of the Quarterly Return provides for PHIAC and the industry to be more responsive and adaptable to government and industry data requirements.  PHIAC has the power to request the information required for the purpose of Risk </w:t>
      </w:r>
      <w:proofErr w:type="spellStart"/>
      <w:r>
        <w:rPr>
          <w:iCs/>
        </w:rPr>
        <w:t>Equalisation</w:t>
      </w:r>
      <w:proofErr w:type="spellEnd"/>
      <w:r>
        <w:rPr>
          <w:iCs/>
        </w:rPr>
        <w:t xml:space="preserve"> under Section </w:t>
      </w:r>
      <w:proofErr w:type="spellStart"/>
      <w:r w:rsidRPr="000B2383">
        <w:rPr>
          <w:iCs/>
        </w:rPr>
        <w:t>Section</w:t>
      </w:r>
      <w:proofErr w:type="spellEnd"/>
      <w:r w:rsidRPr="000B2383">
        <w:rPr>
          <w:iCs/>
        </w:rPr>
        <w:t xml:space="preserve"> 264-10 </w:t>
      </w:r>
      <w:r>
        <w:rPr>
          <w:iCs/>
        </w:rPr>
        <w:t xml:space="preserve">of the </w:t>
      </w:r>
      <w:r>
        <w:rPr>
          <w:i/>
        </w:rPr>
        <w:t>Private Health Insurance Act 200</w:t>
      </w:r>
      <w:r w:rsidRPr="000B2383">
        <w:rPr>
          <w:i/>
        </w:rPr>
        <w:t>7</w:t>
      </w:r>
      <w:r>
        <w:rPr>
          <w:i/>
        </w:rPr>
        <w:t xml:space="preserve"> </w:t>
      </w:r>
      <w:r>
        <w:rPr>
          <w:iCs/>
        </w:rPr>
        <w:t>and data will continue to be collected under this power.</w:t>
      </w:r>
    </w:p>
    <w:sectPr w:rsidR="00634FF5" w:rsidRPr="00EF6223" w:rsidSect="001021E4">
      <w:headerReference w:type="even" r:id="rId7"/>
      <w:headerReference w:type="default" r:id="rId8"/>
      <w:pgSz w:w="11906" w:h="16838"/>
      <w:pgMar w:top="1304" w:right="1440" w:bottom="1304" w:left="1440"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55" w:rsidRDefault="00500255">
      <w:r>
        <w:separator/>
      </w:r>
    </w:p>
  </w:endnote>
  <w:endnote w:type="continuationSeparator" w:id="0">
    <w:p w:rsidR="00500255" w:rsidRDefault="00500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55" w:rsidRDefault="00500255">
      <w:r>
        <w:separator/>
      </w:r>
    </w:p>
  </w:footnote>
  <w:footnote w:type="continuationSeparator" w:id="0">
    <w:p w:rsidR="00500255" w:rsidRDefault="00500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83" w:rsidRDefault="004540B7">
    <w:pPr>
      <w:pStyle w:val="Header"/>
      <w:framePr w:wrap="around" w:vAnchor="text" w:hAnchor="margin" w:xAlign="center" w:y="1"/>
      <w:rPr>
        <w:rStyle w:val="PageNumber"/>
      </w:rPr>
    </w:pPr>
    <w:r>
      <w:rPr>
        <w:rStyle w:val="PageNumber"/>
      </w:rPr>
      <w:fldChar w:fldCharType="begin"/>
    </w:r>
    <w:r w:rsidR="000B2383">
      <w:rPr>
        <w:rStyle w:val="PageNumber"/>
      </w:rPr>
      <w:instrText xml:space="preserve">PAGE  </w:instrText>
    </w:r>
    <w:r>
      <w:rPr>
        <w:rStyle w:val="PageNumber"/>
      </w:rPr>
      <w:fldChar w:fldCharType="separate"/>
    </w:r>
    <w:r w:rsidR="000B2383">
      <w:rPr>
        <w:rStyle w:val="PageNumber"/>
        <w:noProof/>
      </w:rPr>
      <w:t>1</w:t>
    </w:r>
    <w:r>
      <w:rPr>
        <w:rStyle w:val="PageNumber"/>
      </w:rPr>
      <w:fldChar w:fldCharType="end"/>
    </w:r>
  </w:p>
  <w:p w:rsidR="000B2383" w:rsidRDefault="000B23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83" w:rsidRDefault="004540B7">
    <w:pPr>
      <w:pStyle w:val="Header"/>
      <w:framePr w:wrap="around" w:vAnchor="text" w:hAnchor="margin" w:xAlign="center" w:y="1"/>
      <w:rPr>
        <w:rStyle w:val="PageNumber"/>
      </w:rPr>
    </w:pPr>
    <w:r>
      <w:rPr>
        <w:rStyle w:val="PageNumber"/>
      </w:rPr>
      <w:fldChar w:fldCharType="begin"/>
    </w:r>
    <w:r w:rsidR="000B2383">
      <w:rPr>
        <w:rStyle w:val="PageNumber"/>
      </w:rPr>
      <w:instrText xml:space="preserve">PAGE  </w:instrText>
    </w:r>
    <w:r>
      <w:rPr>
        <w:rStyle w:val="PageNumber"/>
      </w:rPr>
      <w:fldChar w:fldCharType="separate"/>
    </w:r>
    <w:r w:rsidR="00366B1A">
      <w:rPr>
        <w:rStyle w:val="PageNumber"/>
        <w:noProof/>
      </w:rPr>
      <w:t>2</w:t>
    </w:r>
    <w:r>
      <w:rPr>
        <w:rStyle w:val="PageNumber"/>
      </w:rPr>
      <w:fldChar w:fldCharType="end"/>
    </w:r>
  </w:p>
  <w:p w:rsidR="000B2383" w:rsidRDefault="000B2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6A8D"/>
    <w:multiLevelType w:val="multilevel"/>
    <w:tmpl w:val="A316FC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BE05CE"/>
    <w:multiLevelType w:val="hybridMultilevel"/>
    <w:tmpl w:val="458C9B3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355B2"/>
    <w:multiLevelType w:val="hybridMultilevel"/>
    <w:tmpl w:val="6F0EC5D8"/>
    <w:lvl w:ilvl="0" w:tplc="88884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EF2CD3"/>
    <w:multiLevelType w:val="multilevel"/>
    <w:tmpl w:val="5DFAD08A"/>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D74BAF"/>
    <w:multiLevelType w:val="hybridMultilevel"/>
    <w:tmpl w:val="57828F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FF536D6"/>
    <w:multiLevelType w:val="hybridMultilevel"/>
    <w:tmpl w:val="15607752"/>
    <w:lvl w:ilvl="0" w:tplc="ED0445AA">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F07331"/>
    <w:multiLevelType w:val="hybridMultilevel"/>
    <w:tmpl w:val="5DFAD08A"/>
    <w:lvl w:ilvl="0" w:tplc="A0F664DA">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2223D9"/>
    <w:multiLevelType w:val="hybridMultilevel"/>
    <w:tmpl w:val="C93A550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492355"/>
    <w:multiLevelType w:val="multilevel"/>
    <w:tmpl w:val="708AE4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D301534"/>
    <w:multiLevelType w:val="hybridMultilevel"/>
    <w:tmpl w:val="1C0C49B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695B0D"/>
    <w:multiLevelType w:val="multilevel"/>
    <w:tmpl w:val="F09C10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9550F7F"/>
    <w:multiLevelType w:val="hybridMultilevel"/>
    <w:tmpl w:val="6C768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C112AF"/>
    <w:multiLevelType w:val="multilevel"/>
    <w:tmpl w:val="1C0C49B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5DB068F"/>
    <w:multiLevelType w:val="multilevel"/>
    <w:tmpl w:val="6096B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10B2F3F"/>
    <w:multiLevelType w:val="hybridMultilevel"/>
    <w:tmpl w:val="62CC8846"/>
    <w:lvl w:ilvl="0" w:tplc="CE86A9B2">
      <w:start w:val="1"/>
      <w:numFmt w:val="decimal"/>
      <w:lvlText w:val="%1."/>
      <w:lvlJc w:val="left"/>
      <w:pPr>
        <w:tabs>
          <w:tab w:val="num" w:pos="720"/>
        </w:tabs>
        <w:ind w:left="720" w:hanging="360"/>
      </w:pPr>
      <w:rPr>
        <w:rFonts w:hint="default"/>
      </w:rPr>
    </w:lvl>
    <w:lvl w:ilvl="1" w:tplc="A702A04E" w:tentative="1">
      <w:start w:val="1"/>
      <w:numFmt w:val="lowerLetter"/>
      <w:lvlText w:val="%2."/>
      <w:lvlJc w:val="left"/>
      <w:pPr>
        <w:tabs>
          <w:tab w:val="num" w:pos="1440"/>
        </w:tabs>
        <w:ind w:left="1440" w:hanging="360"/>
      </w:pPr>
    </w:lvl>
    <w:lvl w:ilvl="2" w:tplc="3A82DAE2" w:tentative="1">
      <w:start w:val="1"/>
      <w:numFmt w:val="lowerRoman"/>
      <w:lvlText w:val="%3."/>
      <w:lvlJc w:val="right"/>
      <w:pPr>
        <w:tabs>
          <w:tab w:val="num" w:pos="2160"/>
        </w:tabs>
        <w:ind w:left="2160" w:hanging="180"/>
      </w:pPr>
    </w:lvl>
    <w:lvl w:ilvl="3" w:tplc="ABC8A05E" w:tentative="1">
      <w:start w:val="1"/>
      <w:numFmt w:val="decimal"/>
      <w:lvlText w:val="%4."/>
      <w:lvlJc w:val="left"/>
      <w:pPr>
        <w:tabs>
          <w:tab w:val="num" w:pos="2880"/>
        </w:tabs>
        <w:ind w:left="2880" w:hanging="360"/>
      </w:pPr>
    </w:lvl>
    <w:lvl w:ilvl="4" w:tplc="C1AEC778" w:tentative="1">
      <w:start w:val="1"/>
      <w:numFmt w:val="lowerLetter"/>
      <w:lvlText w:val="%5."/>
      <w:lvlJc w:val="left"/>
      <w:pPr>
        <w:tabs>
          <w:tab w:val="num" w:pos="3600"/>
        </w:tabs>
        <w:ind w:left="3600" w:hanging="360"/>
      </w:pPr>
    </w:lvl>
    <w:lvl w:ilvl="5" w:tplc="F31886B6" w:tentative="1">
      <w:start w:val="1"/>
      <w:numFmt w:val="lowerRoman"/>
      <w:lvlText w:val="%6."/>
      <w:lvlJc w:val="right"/>
      <w:pPr>
        <w:tabs>
          <w:tab w:val="num" w:pos="4320"/>
        </w:tabs>
        <w:ind w:left="4320" w:hanging="180"/>
      </w:pPr>
    </w:lvl>
    <w:lvl w:ilvl="6" w:tplc="894A3F68" w:tentative="1">
      <w:start w:val="1"/>
      <w:numFmt w:val="decimal"/>
      <w:lvlText w:val="%7."/>
      <w:lvlJc w:val="left"/>
      <w:pPr>
        <w:tabs>
          <w:tab w:val="num" w:pos="5040"/>
        </w:tabs>
        <w:ind w:left="5040" w:hanging="360"/>
      </w:pPr>
    </w:lvl>
    <w:lvl w:ilvl="7" w:tplc="0B40F0A6" w:tentative="1">
      <w:start w:val="1"/>
      <w:numFmt w:val="lowerLetter"/>
      <w:lvlText w:val="%8."/>
      <w:lvlJc w:val="left"/>
      <w:pPr>
        <w:tabs>
          <w:tab w:val="num" w:pos="5760"/>
        </w:tabs>
        <w:ind w:left="5760" w:hanging="360"/>
      </w:pPr>
    </w:lvl>
    <w:lvl w:ilvl="8" w:tplc="AE404A82" w:tentative="1">
      <w:start w:val="1"/>
      <w:numFmt w:val="lowerRoman"/>
      <w:lvlText w:val="%9."/>
      <w:lvlJc w:val="right"/>
      <w:pPr>
        <w:tabs>
          <w:tab w:val="num" w:pos="6480"/>
        </w:tabs>
        <w:ind w:left="6480" w:hanging="180"/>
      </w:pPr>
    </w:lvl>
  </w:abstractNum>
  <w:abstractNum w:abstractNumId="15">
    <w:nsid w:val="66767996"/>
    <w:multiLevelType w:val="hybridMultilevel"/>
    <w:tmpl w:val="409C1854"/>
    <w:lvl w:ilvl="0" w:tplc="6E5E6962">
      <w:start w:val="1"/>
      <w:numFmt w:val="decimal"/>
      <w:lvlText w:val="%1."/>
      <w:lvlJc w:val="left"/>
      <w:pPr>
        <w:tabs>
          <w:tab w:val="num" w:pos="720"/>
        </w:tabs>
        <w:ind w:left="720" w:hanging="360"/>
      </w:pPr>
    </w:lvl>
    <w:lvl w:ilvl="1" w:tplc="2CA40608">
      <w:start w:val="5"/>
      <w:numFmt w:val="decimal"/>
      <w:lvlText w:val="%2"/>
      <w:lvlJc w:val="left"/>
      <w:pPr>
        <w:tabs>
          <w:tab w:val="num" w:pos="1440"/>
        </w:tabs>
        <w:ind w:left="1440" w:hanging="360"/>
      </w:pPr>
      <w:rPr>
        <w:rFonts w:hint="default"/>
      </w:rPr>
    </w:lvl>
    <w:lvl w:ilvl="2" w:tplc="C278EDCC">
      <w:start w:val="1"/>
      <w:numFmt w:val="lowerRoman"/>
      <w:lvlText w:val="%3."/>
      <w:lvlJc w:val="right"/>
      <w:pPr>
        <w:tabs>
          <w:tab w:val="num" w:pos="2160"/>
        </w:tabs>
        <w:ind w:left="2160" w:hanging="180"/>
      </w:pPr>
    </w:lvl>
    <w:lvl w:ilvl="3" w:tplc="441675EC" w:tentative="1">
      <w:start w:val="1"/>
      <w:numFmt w:val="decimal"/>
      <w:lvlText w:val="%4."/>
      <w:lvlJc w:val="left"/>
      <w:pPr>
        <w:tabs>
          <w:tab w:val="num" w:pos="2880"/>
        </w:tabs>
        <w:ind w:left="2880" w:hanging="360"/>
      </w:pPr>
    </w:lvl>
    <w:lvl w:ilvl="4" w:tplc="733C3CB0">
      <w:start w:val="1"/>
      <w:numFmt w:val="lowerLetter"/>
      <w:lvlText w:val="%5."/>
      <w:lvlJc w:val="left"/>
      <w:pPr>
        <w:tabs>
          <w:tab w:val="num" w:pos="3600"/>
        </w:tabs>
        <w:ind w:left="3600" w:hanging="360"/>
      </w:pPr>
    </w:lvl>
    <w:lvl w:ilvl="5" w:tplc="798C70F2" w:tentative="1">
      <w:start w:val="1"/>
      <w:numFmt w:val="lowerRoman"/>
      <w:lvlText w:val="%6."/>
      <w:lvlJc w:val="right"/>
      <w:pPr>
        <w:tabs>
          <w:tab w:val="num" w:pos="4320"/>
        </w:tabs>
        <w:ind w:left="4320" w:hanging="180"/>
      </w:pPr>
    </w:lvl>
    <w:lvl w:ilvl="6" w:tplc="52C25344" w:tentative="1">
      <w:start w:val="1"/>
      <w:numFmt w:val="decimal"/>
      <w:lvlText w:val="%7."/>
      <w:lvlJc w:val="left"/>
      <w:pPr>
        <w:tabs>
          <w:tab w:val="num" w:pos="5040"/>
        </w:tabs>
        <w:ind w:left="5040" w:hanging="360"/>
      </w:pPr>
    </w:lvl>
    <w:lvl w:ilvl="7" w:tplc="D7FC9748" w:tentative="1">
      <w:start w:val="1"/>
      <w:numFmt w:val="lowerLetter"/>
      <w:lvlText w:val="%8."/>
      <w:lvlJc w:val="left"/>
      <w:pPr>
        <w:tabs>
          <w:tab w:val="num" w:pos="5760"/>
        </w:tabs>
        <w:ind w:left="5760" w:hanging="360"/>
      </w:pPr>
    </w:lvl>
    <w:lvl w:ilvl="8" w:tplc="25F44FEA" w:tentative="1">
      <w:start w:val="1"/>
      <w:numFmt w:val="lowerRoman"/>
      <w:lvlText w:val="%9."/>
      <w:lvlJc w:val="right"/>
      <w:pPr>
        <w:tabs>
          <w:tab w:val="num" w:pos="6480"/>
        </w:tabs>
        <w:ind w:left="6480" w:hanging="180"/>
      </w:pPr>
    </w:lvl>
  </w:abstractNum>
  <w:abstractNum w:abstractNumId="16">
    <w:nsid w:val="699C448E"/>
    <w:multiLevelType w:val="hybridMultilevel"/>
    <w:tmpl w:val="708AE45E"/>
    <w:lvl w:ilvl="0" w:tplc="CE9EFD6E">
      <w:start w:val="1"/>
      <w:numFmt w:val="decimal"/>
      <w:lvlText w:val="%1."/>
      <w:lvlJc w:val="left"/>
      <w:pPr>
        <w:tabs>
          <w:tab w:val="num" w:pos="720"/>
        </w:tabs>
        <w:ind w:left="720" w:hanging="360"/>
      </w:pPr>
      <w:rPr>
        <w:rFonts w:hint="default"/>
      </w:rPr>
    </w:lvl>
    <w:lvl w:ilvl="1" w:tplc="1F30CFD8" w:tentative="1">
      <w:start w:val="1"/>
      <w:numFmt w:val="lowerLetter"/>
      <w:lvlText w:val="%2."/>
      <w:lvlJc w:val="left"/>
      <w:pPr>
        <w:tabs>
          <w:tab w:val="num" w:pos="1440"/>
        </w:tabs>
        <w:ind w:left="1440" w:hanging="360"/>
      </w:pPr>
    </w:lvl>
    <w:lvl w:ilvl="2" w:tplc="26C83D74" w:tentative="1">
      <w:start w:val="1"/>
      <w:numFmt w:val="lowerRoman"/>
      <w:lvlText w:val="%3."/>
      <w:lvlJc w:val="right"/>
      <w:pPr>
        <w:tabs>
          <w:tab w:val="num" w:pos="2160"/>
        </w:tabs>
        <w:ind w:left="2160" w:hanging="180"/>
      </w:pPr>
    </w:lvl>
    <w:lvl w:ilvl="3" w:tplc="13E80A82" w:tentative="1">
      <w:start w:val="1"/>
      <w:numFmt w:val="decimal"/>
      <w:lvlText w:val="%4."/>
      <w:lvlJc w:val="left"/>
      <w:pPr>
        <w:tabs>
          <w:tab w:val="num" w:pos="2880"/>
        </w:tabs>
        <w:ind w:left="2880" w:hanging="360"/>
      </w:pPr>
    </w:lvl>
    <w:lvl w:ilvl="4" w:tplc="6AD278E2" w:tentative="1">
      <w:start w:val="1"/>
      <w:numFmt w:val="lowerLetter"/>
      <w:lvlText w:val="%5."/>
      <w:lvlJc w:val="left"/>
      <w:pPr>
        <w:tabs>
          <w:tab w:val="num" w:pos="3600"/>
        </w:tabs>
        <w:ind w:left="3600" w:hanging="360"/>
      </w:pPr>
    </w:lvl>
    <w:lvl w:ilvl="5" w:tplc="FBEAEDB6" w:tentative="1">
      <w:start w:val="1"/>
      <w:numFmt w:val="lowerRoman"/>
      <w:lvlText w:val="%6."/>
      <w:lvlJc w:val="right"/>
      <w:pPr>
        <w:tabs>
          <w:tab w:val="num" w:pos="4320"/>
        </w:tabs>
        <w:ind w:left="4320" w:hanging="180"/>
      </w:pPr>
    </w:lvl>
    <w:lvl w:ilvl="6" w:tplc="05C4A522" w:tentative="1">
      <w:start w:val="1"/>
      <w:numFmt w:val="decimal"/>
      <w:lvlText w:val="%7."/>
      <w:lvlJc w:val="left"/>
      <w:pPr>
        <w:tabs>
          <w:tab w:val="num" w:pos="5040"/>
        </w:tabs>
        <w:ind w:left="5040" w:hanging="360"/>
      </w:pPr>
    </w:lvl>
    <w:lvl w:ilvl="7" w:tplc="8D06C1B6" w:tentative="1">
      <w:start w:val="1"/>
      <w:numFmt w:val="lowerLetter"/>
      <w:lvlText w:val="%8."/>
      <w:lvlJc w:val="left"/>
      <w:pPr>
        <w:tabs>
          <w:tab w:val="num" w:pos="5760"/>
        </w:tabs>
        <w:ind w:left="5760" w:hanging="360"/>
      </w:pPr>
    </w:lvl>
    <w:lvl w:ilvl="8" w:tplc="0AD60428" w:tentative="1">
      <w:start w:val="1"/>
      <w:numFmt w:val="lowerRoman"/>
      <w:lvlText w:val="%9."/>
      <w:lvlJc w:val="right"/>
      <w:pPr>
        <w:tabs>
          <w:tab w:val="num" w:pos="6480"/>
        </w:tabs>
        <w:ind w:left="6480" w:hanging="180"/>
      </w:pPr>
    </w:lvl>
  </w:abstractNum>
  <w:abstractNum w:abstractNumId="17">
    <w:nsid w:val="69E2418D"/>
    <w:multiLevelType w:val="multilevel"/>
    <w:tmpl w:val="2DE870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E782E3A"/>
    <w:multiLevelType w:val="hybridMultilevel"/>
    <w:tmpl w:val="33165314"/>
    <w:lvl w:ilvl="0" w:tplc="88884C14">
      <w:start w:val="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3023F3"/>
    <w:multiLevelType w:val="hybridMultilevel"/>
    <w:tmpl w:val="127A1FFC"/>
    <w:lvl w:ilvl="0" w:tplc="88884C1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0540DC0"/>
    <w:multiLevelType w:val="multilevel"/>
    <w:tmpl w:val="1C0C49B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C60CC9"/>
    <w:multiLevelType w:val="hybridMultilevel"/>
    <w:tmpl w:val="3E7216C4"/>
    <w:lvl w:ilvl="0" w:tplc="DF02FF2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941991"/>
    <w:multiLevelType w:val="multilevel"/>
    <w:tmpl w:val="62CC88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6130003"/>
    <w:multiLevelType w:val="multilevel"/>
    <w:tmpl w:val="17B866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282DEE"/>
    <w:multiLevelType w:val="multilevel"/>
    <w:tmpl w:val="051439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5327F8"/>
    <w:multiLevelType w:val="hybridMultilevel"/>
    <w:tmpl w:val="BA32BFF8"/>
    <w:lvl w:ilvl="0" w:tplc="7D46899A">
      <w:start w:val="1"/>
      <w:numFmt w:val="decimal"/>
      <w:lvlText w:val="%1."/>
      <w:lvlJc w:val="left"/>
      <w:pPr>
        <w:tabs>
          <w:tab w:val="num" w:pos="930"/>
        </w:tabs>
        <w:ind w:left="930" w:hanging="570"/>
      </w:pPr>
      <w:rPr>
        <w:rFonts w:hint="default"/>
      </w:rPr>
    </w:lvl>
    <w:lvl w:ilvl="1" w:tplc="4E101468" w:tentative="1">
      <w:start w:val="1"/>
      <w:numFmt w:val="lowerLetter"/>
      <w:lvlText w:val="%2."/>
      <w:lvlJc w:val="left"/>
      <w:pPr>
        <w:tabs>
          <w:tab w:val="num" w:pos="1440"/>
        </w:tabs>
        <w:ind w:left="1440" w:hanging="360"/>
      </w:pPr>
    </w:lvl>
    <w:lvl w:ilvl="2" w:tplc="596C1F28" w:tentative="1">
      <w:start w:val="1"/>
      <w:numFmt w:val="lowerRoman"/>
      <w:lvlText w:val="%3."/>
      <w:lvlJc w:val="right"/>
      <w:pPr>
        <w:tabs>
          <w:tab w:val="num" w:pos="2160"/>
        </w:tabs>
        <w:ind w:left="2160" w:hanging="180"/>
      </w:pPr>
    </w:lvl>
    <w:lvl w:ilvl="3" w:tplc="8EB68538" w:tentative="1">
      <w:start w:val="1"/>
      <w:numFmt w:val="decimal"/>
      <w:lvlText w:val="%4."/>
      <w:lvlJc w:val="left"/>
      <w:pPr>
        <w:tabs>
          <w:tab w:val="num" w:pos="2880"/>
        </w:tabs>
        <w:ind w:left="2880" w:hanging="360"/>
      </w:pPr>
    </w:lvl>
    <w:lvl w:ilvl="4" w:tplc="333A9262" w:tentative="1">
      <w:start w:val="1"/>
      <w:numFmt w:val="lowerLetter"/>
      <w:lvlText w:val="%5."/>
      <w:lvlJc w:val="left"/>
      <w:pPr>
        <w:tabs>
          <w:tab w:val="num" w:pos="3600"/>
        </w:tabs>
        <w:ind w:left="3600" w:hanging="360"/>
      </w:pPr>
    </w:lvl>
    <w:lvl w:ilvl="5" w:tplc="1DFCA5D0" w:tentative="1">
      <w:start w:val="1"/>
      <w:numFmt w:val="lowerRoman"/>
      <w:lvlText w:val="%6."/>
      <w:lvlJc w:val="right"/>
      <w:pPr>
        <w:tabs>
          <w:tab w:val="num" w:pos="4320"/>
        </w:tabs>
        <w:ind w:left="4320" w:hanging="180"/>
      </w:pPr>
    </w:lvl>
    <w:lvl w:ilvl="6" w:tplc="A156D0E2" w:tentative="1">
      <w:start w:val="1"/>
      <w:numFmt w:val="decimal"/>
      <w:lvlText w:val="%7."/>
      <w:lvlJc w:val="left"/>
      <w:pPr>
        <w:tabs>
          <w:tab w:val="num" w:pos="5040"/>
        </w:tabs>
        <w:ind w:left="5040" w:hanging="360"/>
      </w:pPr>
    </w:lvl>
    <w:lvl w:ilvl="7" w:tplc="05DE9166" w:tentative="1">
      <w:start w:val="1"/>
      <w:numFmt w:val="lowerLetter"/>
      <w:lvlText w:val="%8."/>
      <w:lvlJc w:val="left"/>
      <w:pPr>
        <w:tabs>
          <w:tab w:val="num" w:pos="5760"/>
        </w:tabs>
        <w:ind w:left="5760" w:hanging="360"/>
      </w:pPr>
    </w:lvl>
    <w:lvl w:ilvl="8" w:tplc="6F8E1B5E" w:tentative="1">
      <w:start w:val="1"/>
      <w:numFmt w:val="lowerRoman"/>
      <w:lvlText w:val="%9."/>
      <w:lvlJc w:val="right"/>
      <w:pPr>
        <w:tabs>
          <w:tab w:val="num" w:pos="6480"/>
        </w:tabs>
        <w:ind w:left="6480" w:hanging="180"/>
      </w:pPr>
    </w:lvl>
  </w:abstractNum>
  <w:abstractNum w:abstractNumId="26">
    <w:nsid w:val="77357255"/>
    <w:multiLevelType w:val="multilevel"/>
    <w:tmpl w:val="112E503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6"/>
  </w:num>
  <w:num w:numId="2">
    <w:abstractNumId w:val="19"/>
  </w:num>
  <w:num w:numId="3">
    <w:abstractNumId w:val="5"/>
  </w:num>
  <w:num w:numId="4">
    <w:abstractNumId w:val="1"/>
  </w:num>
  <w:num w:numId="5">
    <w:abstractNumId w:val="18"/>
  </w:num>
  <w:num w:numId="6">
    <w:abstractNumId w:val="7"/>
  </w:num>
  <w:num w:numId="7">
    <w:abstractNumId w:val="9"/>
  </w:num>
  <w:num w:numId="8">
    <w:abstractNumId w:val="20"/>
  </w:num>
  <w:num w:numId="9">
    <w:abstractNumId w:val="6"/>
  </w:num>
  <w:num w:numId="10">
    <w:abstractNumId w:val="2"/>
  </w:num>
  <w:num w:numId="11">
    <w:abstractNumId w:val="25"/>
  </w:num>
  <w:num w:numId="12">
    <w:abstractNumId w:val="12"/>
  </w:num>
  <w:num w:numId="13">
    <w:abstractNumId w:val="16"/>
  </w:num>
  <w:num w:numId="14">
    <w:abstractNumId w:val="8"/>
  </w:num>
  <w:num w:numId="15">
    <w:abstractNumId w:val="13"/>
  </w:num>
  <w:num w:numId="16">
    <w:abstractNumId w:val="0"/>
  </w:num>
  <w:num w:numId="17">
    <w:abstractNumId w:val="10"/>
  </w:num>
  <w:num w:numId="18">
    <w:abstractNumId w:val="3"/>
  </w:num>
  <w:num w:numId="19">
    <w:abstractNumId w:val="14"/>
  </w:num>
  <w:num w:numId="20">
    <w:abstractNumId w:val="22"/>
  </w:num>
  <w:num w:numId="21">
    <w:abstractNumId w:val="23"/>
  </w:num>
  <w:num w:numId="22">
    <w:abstractNumId w:val="17"/>
  </w:num>
  <w:num w:numId="23">
    <w:abstractNumId w:val="24"/>
  </w:num>
  <w:num w:numId="24">
    <w:abstractNumId w:val="4"/>
  </w:num>
  <w:num w:numId="25">
    <w:abstractNumId w:val="21"/>
  </w:num>
  <w:num w:numId="26">
    <w:abstractNumId w:val="1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56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3207C"/>
    <w:rsid w:val="00003D7B"/>
    <w:rsid w:val="00013FF4"/>
    <w:rsid w:val="0001486F"/>
    <w:rsid w:val="0002263D"/>
    <w:rsid w:val="00025876"/>
    <w:rsid w:val="00044F17"/>
    <w:rsid w:val="000568B5"/>
    <w:rsid w:val="000569C0"/>
    <w:rsid w:val="000625B1"/>
    <w:rsid w:val="00072AFA"/>
    <w:rsid w:val="000765C0"/>
    <w:rsid w:val="00080162"/>
    <w:rsid w:val="00091A9F"/>
    <w:rsid w:val="000932B8"/>
    <w:rsid w:val="000A04FF"/>
    <w:rsid w:val="000B073A"/>
    <w:rsid w:val="000B1A63"/>
    <w:rsid w:val="000B2383"/>
    <w:rsid w:val="000B36D2"/>
    <w:rsid w:val="000B5581"/>
    <w:rsid w:val="000C2DC6"/>
    <w:rsid w:val="000D22A5"/>
    <w:rsid w:val="000E63DB"/>
    <w:rsid w:val="000E7AC5"/>
    <w:rsid w:val="000F21BC"/>
    <w:rsid w:val="000F6AAA"/>
    <w:rsid w:val="001021E4"/>
    <w:rsid w:val="00107AD9"/>
    <w:rsid w:val="0011395D"/>
    <w:rsid w:val="00130ACA"/>
    <w:rsid w:val="00133B1D"/>
    <w:rsid w:val="00136EF4"/>
    <w:rsid w:val="001437FD"/>
    <w:rsid w:val="00171489"/>
    <w:rsid w:val="0017332C"/>
    <w:rsid w:val="001763DB"/>
    <w:rsid w:val="00196DA8"/>
    <w:rsid w:val="001B1927"/>
    <w:rsid w:val="001B62F4"/>
    <w:rsid w:val="001C5C12"/>
    <w:rsid w:val="001D10ED"/>
    <w:rsid w:val="001F2A08"/>
    <w:rsid w:val="001F3B60"/>
    <w:rsid w:val="001F61FE"/>
    <w:rsid w:val="002167CC"/>
    <w:rsid w:val="0022061B"/>
    <w:rsid w:val="00223208"/>
    <w:rsid w:val="002265E6"/>
    <w:rsid w:val="0024225B"/>
    <w:rsid w:val="00256C3D"/>
    <w:rsid w:val="00260FF5"/>
    <w:rsid w:val="00265C3D"/>
    <w:rsid w:val="0027176E"/>
    <w:rsid w:val="002773F7"/>
    <w:rsid w:val="002920A2"/>
    <w:rsid w:val="002942D5"/>
    <w:rsid w:val="002D1757"/>
    <w:rsid w:val="002E4509"/>
    <w:rsid w:val="002F25D7"/>
    <w:rsid w:val="002F4262"/>
    <w:rsid w:val="002F4988"/>
    <w:rsid w:val="00311166"/>
    <w:rsid w:val="003114E6"/>
    <w:rsid w:val="00316915"/>
    <w:rsid w:val="00334073"/>
    <w:rsid w:val="00350756"/>
    <w:rsid w:val="0035445D"/>
    <w:rsid w:val="00354661"/>
    <w:rsid w:val="003612B5"/>
    <w:rsid w:val="003659F6"/>
    <w:rsid w:val="00365BB7"/>
    <w:rsid w:val="00366B1A"/>
    <w:rsid w:val="00380294"/>
    <w:rsid w:val="00384E90"/>
    <w:rsid w:val="00386463"/>
    <w:rsid w:val="003E23BC"/>
    <w:rsid w:val="003E7B8D"/>
    <w:rsid w:val="003F0F2D"/>
    <w:rsid w:val="003F31A7"/>
    <w:rsid w:val="00405CC4"/>
    <w:rsid w:val="004112A3"/>
    <w:rsid w:val="00412788"/>
    <w:rsid w:val="0041400D"/>
    <w:rsid w:val="00420A41"/>
    <w:rsid w:val="00425811"/>
    <w:rsid w:val="004340BA"/>
    <w:rsid w:val="004439D6"/>
    <w:rsid w:val="0044633C"/>
    <w:rsid w:val="004540B7"/>
    <w:rsid w:val="00481883"/>
    <w:rsid w:val="00493F3C"/>
    <w:rsid w:val="00496FE3"/>
    <w:rsid w:val="004A2213"/>
    <w:rsid w:val="004A6796"/>
    <w:rsid w:val="004B0B8A"/>
    <w:rsid w:val="004C37FC"/>
    <w:rsid w:val="004C5166"/>
    <w:rsid w:val="004D745C"/>
    <w:rsid w:val="00500255"/>
    <w:rsid w:val="0053024E"/>
    <w:rsid w:val="0053207C"/>
    <w:rsid w:val="00541A3D"/>
    <w:rsid w:val="00550891"/>
    <w:rsid w:val="005571AB"/>
    <w:rsid w:val="005739F7"/>
    <w:rsid w:val="00574527"/>
    <w:rsid w:val="00575A24"/>
    <w:rsid w:val="005775B1"/>
    <w:rsid w:val="00590BA8"/>
    <w:rsid w:val="005A0511"/>
    <w:rsid w:val="005A22AE"/>
    <w:rsid w:val="005C11C6"/>
    <w:rsid w:val="005C4CD9"/>
    <w:rsid w:val="005C665C"/>
    <w:rsid w:val="005D5654"/>
    <w:rsid w:val="005E3781"/>
    <w:rsid w:val="005E652D"/>
    <w:rsid w:val="005F26FA"/>
    <w:rsid w:val="006104B3"/>
    <w:rsid w:val="00621E3D"/>
    <w:rsid w:val="00625103"/>
    <w:rsid w:val="00634FF5"/>
    <w:rsid w:val="00646169"/>
    <w:rsid w:val="006574E0"/>
    <w:rsid w:val="006601EE"/>
    <w:rsid w:val="006817B0"/>
    <w:rsid w:val="006901FA"/>
    <w:rsid w:val="00694C70"/>
    <w:rsid w:val="006B20C8"/>
    <w:rsid w:val="006C1F9D"/>
    <w:rsid w:val="006D7A8C"/>
    <w:rsid w:val="006D7EFB"/>
    <w:rsid w:val="006E0A50"/>
    <w:rsid w:val="006E333D"/>
    <w:rsid w:val="00713703"/>
    <w:rsid w:val="0072447C"/>
    <w:rsid w:val="007279EE"/>
    <w:rsid w:val="00744622"/>
    <w:rsid w:val="00752A42"/>
    <w:rsid w:val="00771A6D"/>
    <w:rsid w:val="00775D3A"/>
    <w:rsid w:val="007817E9"/>
    <w:rsid w:val="007A4D4C"/>
    <w:rsid w:val="007B15ED"/>
    <w:rsid w:val="007B534D"/>
    <w:rsid w:val="007B6468"/>
    <w:rsid w:val="007C12C7"/>
    <w:rsid w:val="007D03EF"/>
    <w:rsid w:val="007D63BF"/>
    <w:rsid w:val="007E3321"/>
    <w:rsid w:val="00803105"/>
    <w:rsid w:val="0080717E"/>
    <w:rsid w:val="008228A1"/>
    <w:rsid w:val="008407B3"/>
    <w:rsid w:val="00854032"/>
    <w:rsid w:val="008713EC"/>
    <w:rsid w:val="00893E19"/>
    <w:rsid w:val="008B2E0C"/>
    <w:rsid w:val="008D0579"/>
    <w:rsid w:val="008D3816"/>
    <w:rsid w:val="008E60E0"/>
    <w:rsid w:val="008F09D1"/>
    <w:rsid w:val="008F6485"/>
    <w:rsid w:val="009008B2"/>
    <w:rsid w:val="00901F70"/>
    <w:rsid w:val="00936049"/>
    <w:rsid w:val="00937FE7"/>
    <w:rsid w:val="009456CF"/>
    <w:rsid w:val="009475C6"/>
    <w:rsid w:val="00953EC5"/>
    <w:rsid w:val="0095483D"/>
    <w:rsid w:val="00956DAE"/>
    <w:rsid w:val="00957204"/>
    <w:rsid w:val="00962F7E"/>
    <w:rsid w:val="00966559"/>
    <w:rsid w:val="009667C3"/>
    <w:rsid w:val="00970FDB"/>
    <w:rsid w:val="00981066"/>
    <w:rsid w:val="0099303F"/>
    <w:rsid w:val="009B1D15"/>
    <w:rsid w:val="009B3BD9"/>
    <w:rsid w:val="009B54F4"/>
    <w:rsid w:val="009D031B"/>
    <w:rsid w:val="009D3BCF"/>
    <w:rsid w:val="009E04FC"/>
    <w:rsid w:val="00A11B3D"/>
    <w:rsid w:val="00A11DB6"/>
    <w:rsid w:val="00A1321C"/>
    <w:rsid w:val="00A16335"/>
    <w:rsid w:val="00A27144"/>
    <w:rsid w:val="00A30AD0"/>
    <w:rsid w:val="00A4445F"/>
    <w:rsid w:val="00A458F1"/>
    <w:rsid w:val="00A573BA"/>
    <w:rsid w:val="00A8012A"/>
    <w:rsid w:val="00A8773D"/>
    <w:rsid w:val="00A928F0"/>
    <w:rsid w:val="00AA473F"/>
    <w:rsid w:val="00AA6903"/>
    <w:rsid w:val="00AB2EC7"/>
    <w:rsid w:val="00AC4047"/>
    <w:rsid w:val="00AD30AA"/>
    <w:rsid w:val="00AE031C"/>
    <w:rsid w:val="00AE1752"/>
    <w:rsid w:val="00AF0742"/>
    <w:rsid w:val="00B02F4E"/>
    <w:rsid w:val="00B156BA"/>
    <w:rsid w:val="00B1687A"/>
    <w:rsid w:val="00B2057F"/>
    <w:rsid w:val="00B24631"/>
    <w:rsid w:val="00B3195E"/>
    <w:rsid w:val="00B34ADB"/>
    <w:rsid w:val="00B41824"/>
    <w:rsid w:val="00B446AC"/>
    <w:rsid w:val="00B47AD8"/>
    <w:rsid w:val="00B54F5B"/>
    <w:rsid w:val="00B66A30"/>
    <w:rsid w:val="00B74E19"/>
    <w:rsid w:val="00B84E23"/>
    <w:rsid w:val="00B9059C"/>
    <w:rsid w:val="00B9283A"/>
    <w:rsid w:val="00BA6A62"/>
    <w:rsid w:val="00BA7243"/>
    <w:rsid w:val="00BA7D1B"/>
    <w:rsid w:val="00BB3A90"/>
    <w:rsid w:val="00BC6283"/>
    <w:rsid w:val="00BE0455"/>
    <w:rsid w:val="00BE35DF"/>
    <w:rsid w:val="00BE7A21"/>
    <w:rsid w:val="00BF02D0"/>
    <w:rsid w:val="00BF08E8"/>
    <w:rsid w:val="00C54C8E"/>
    <w:rsid w:val="00C66A3B"/>
    <w:rsid w:val="00C67C70"/>
    <w:rsid w:val="00C7711F"/>
    <w:rsid w:val="00C867A1"/>
    <w:rsid w:val="00C87978"/>
    <w:rsid w:val="00C879D2"/>
    <w:rsid w:val="00C91612"/>
    <w:rsid w:val="00C92435"/>
    <w:rsid w:val="00C97E58"/>
    <w:rsid w:val="00CA63D5"/>
    <w:rsid w:val="00CB75D8"/>
    <w:rsid w:val="00CE2D60"/>
    <w:rsid w:val="00CE33A6"/>
    <w:rsid w:val="00CF5DCA"/>
    <w:rsid w:val="00D014BF"/>
    <w:rsid w:val="00D14106"/>
    <w:rsid w:val="00D2373E"/>
    <w:rsid w:val="00D43E65"/>
    <w:rsid w:val="00D52FA2"/>
    <w:rsid w:val="00D56311"/>
    <w:rsid w:val="00D73C5A"/>
    <w:rsid w:val="00D80CBB"/>
    <w:rsid w:val="00D95B2D"/>
    <w:rsid w:val="00DB0BD6"/>
    <w:rsid w:val="00DC0FB5"/>
    <w:rsid w:val="00DC1921"/>
    <w:rsid w:val="00DC53A2"/>
    <w:rsid w:val="00DE580B"/>
    <w:rsid w:val="00DE5E68"/>
    <w:rsid w:val="00DE7BB7"/>
    <w:rsid w:val="00DF0AE0"/>
    <w:rsid w:val="00E07D77"/>
    <w:rsid w:val="00E17533"/>
    <w:rsid w:val="00E17ED6"/>
    <w:rsid w:val="00E401D3"/>
    <w:rsid w:val="00E41390"/>
    <w:rsid w:val="00E51155"/>
    <w:rsid w:val="00E60E2D"/>
    <w:rsid w:val="00E72A6B"/>
    <w:rsid w:val="00E76277"/>
    <w:rsid w:val="00E766BB"/>
    <w:rsid w:val="00E830F9"/>
    <w:rsid w:val="00E928E8"/>
    <w:rsid w:val="00EA1E62"/>
    <w:rsid w:val="00EA5B83"/>
    <w:rsid w:val="00EB20E2"/>
    <w:rsid w:val="00EB4989"/>
    <w:rsid w:val="00ED1FAE"/>
    <w:rsid w:val="00EE65DE"/>
    <w:rsid w:val="00EF6223"/>
    <w:rsid w:val="00F0272B"/>
    <w:rsid w:val="00F0508D"/>
    <w:rsid w:val="00F14DA8"/>
    <w:rsid w:val="00F228D2"/>
    <w:rsid w:val="00F36CC9"/>
    <w:rsid w:val="00F42BD3"/>
    <w:rsid w:val="00F43403"/>
    <w:rsid w:val="00F44173"/>
    <w:rsid w:val="00F53461"/>
    <w:rsid w:val="00F83649"/>
    <w:rsid w:val="00FB465C"/>
    <w:rsid w:val="00FB5F3F"/>
    <w:rsid w:val="00FD2CF2"/>
    <w:rsid w:val="00FE1967"/>
  </w:rsids>
  <m:mathPr>
    <m:mathFont m:val="Cambria Math"/>
    <m:brkBin m:val="before"/>
    <m:brkBinSub m:val="--"/>
    <m:smallFrac m:val="off"/>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31B"/>
    <w:rPr>
      <w:sz w:val="24"/>
      <w:lang w:bidi="ar-SA"/>
    </w:rPr>
  </w:style>
  <w:style w:type="paragraph" w:styleId="Heading1">
    <w:name w:val="heading 1"/>
    <w:aliases w:val="h1,c"/>
    <w:basedOn w:val="Normal"/>
    <w:next w:val="Normal"/>
    <w:qFormat/>
    <w:rsid w:val="004540B7"/>
    <w:pPr>
      <w:keepNext/>
      <w:outlineLvl w:val="0"/>
    </w:pPr>
    <w:rPr>
      <w:b/>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qFormat/>
    <w:rsid w:val="004540B7"/>
    <w:pPr>
      <w:keepNext/>
      <w:outlineLvl w:val="1"/>
    </w:pPr>
    <w:rPr>
      <w:b/>
      <w:u w:val="single"/>
    </w:rPr>
  </w:style>
  <w:style w:type="paragraph" w:styleId="Heading3">
    <w:name w:val="heading 3"/>
    <w:basedOn w:val="Normal"/>
    <w:next w:val="Normal"/>
    <w:qFormat/>
    <w:rsid w:val="004540B7"/>
    <w:pPr>
      <w:keepNext/>
      <w:outlineLvl w:val="2"/>
    </w:pPr>
    <w:rPr>
      <w:u w:val="single"/>
    </w:rPr>
  </w:style>
  <w:style w:type="paragraph" w:styleId="Heading6">
    <w:name w:val="heading 6"/>
    <w:basedOn w:val="Normal"/>
    <w:next w:val="Normal"/>
    <w:qFormat/>
    <w:rsid w:val="004540B7"/>
    <w:pPr>
      <w:keepNext/>
      <w:widowControl w:val="0"/>
      <w:jc w:val="center"/>
      <w:outlineLvl w:val="5"/>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40B7"/>
    <w:pPr>
      <w:jc w:val="center"/>
    </w:pPr>
    <w:rPr>
      <w:b/>
      <w:u w:val="single"/>
    </w:rPr>
  </w:style>
  <w:style w:type="paragraph" w:styleId="Subtitle">
    <w:name w:val="Subtitle"/>
    <w:basedOn w:val="Normal"/>
    <w:qFormat/>
    <w:rsid w:val="004540B7"/>
    <w:rPr>
      <w:u w:val="single"/>
    </w:rPr>
  </w:style>
  <w:style w:type="paragraph" w:styleId="BodyText">
    <w:name w:val="Body Text"/>
    <w:basedOn w:val="Normal"/>
    <w:rsid w:val="004540B7"/>
    <w:rPr>
      <w:b/>
    </w:rPr>
  </w:style>
  <w:style w:type="paragraph" w:styleId="BodyText2">
    <w:name w:val="Body Text 2"/>
    <w:basedOn w:val="Normal"/>
    <w:rsid w:val="004540B7"/>
    <w:rPr>
      <w:snapToGrid w:val="0"/>
      <w:color w:val="000000"/>
      <w:lang w:eastAsia="en-US"/>
    </w:rPr>
  </w:style>
  <w:style w:type="paragraph" w:styleId="Header">
    <w:name w:val="header"/>
    <w:basedOn w:val="Normal"/>
    <w:rsid w:val="004540B7"/>
    <w:pPr>
      <w:widowControl w:val="0"/>
      <w:tabs>
        <w:tab w:val="center" w:pos="4153"/>
        <w:tab w:val="right" w:pos="8306"/>
      </w:tabs>
    </w:pPr>
    <w:rPr>
      <w:snapToGrid w:val="0"/>
      <w:lang w:val="en-US" w:eastAsia="en-US"/>
    </w:rPr>
  </w:style>
  <w:style w:type="character" w:styleId="PageNumber">
    <w:name w:val="page number"/>
    <w:basedOn w:val="DefaultParagraphFont"/>
    <w:rsid w:val="004540B7"/>
  </w:style>
  <w:style w:type="paragraph" w:styleId="Footer">
    <w:name w:val="footer"/>
    <w:basedOn w:val="Normal"/>
    <w:rsid w:val="00775D3A"/>
    <w:pPr>
      <w:tabs>
        <w:tab w:val="center" w:pos="4153"/>
        <w:tab w:val="right" w:pos="8306"/>
      </w:tabs>
    </w:pPr>
  </w:style>
  <w:style w:type="paragraph" w:styleId="NormalWeb">
    <w:name w:val="Normal (Web)"/>
    <w:basedOn w:val="Normal"/>
    <w:rsid w:val="00BF08E8"/>
    <w:pPr>
      <w:spacing w:before="100" w:beforeAutospacing="1" w:after="100" w:afterAutospacing="1"/>
    </w:pPr>
    <w:rPr>
      <w:rFonts w:ascii="Verdana" w:hAnsi="Verdana"/>
      <w:szCs w:val="24"/>
    </w:rPr>
  </w:style>
  <w:style w:type="character" w:styleId="Emphasis">
    <w:name w:val="Emphasis"/>
    <w:basedOn w:val="DefaultParagraphFont"/>
    <w:qFormat/>
    <w:rsid w:val="00BF08E8"/>
    <w:rPr>
      <w:i/>
      <w:iCs/>
    </w:rPr>
  </w:style>
  <w:style w:type="paragraph" w:styleId="BalloonText">
    <w:name w:val="Balloon Text"/>
    <w:basedOn w:val="Normal"/>
    <w:semiHidden/>
    <w:rsid w:val="0001486F"/>
    <w:rPr>
      <w:rFonts w:ascii="Tahoma" w:hAnsi="Tahoma" w:cs="Tahoma"/>
      <w:sz w:val="16"/>
      <w:szCs w:val="16"/>
    </w:rPr>
  </w:style>
  <w:style w:type="character" w:styleId="CommentReference">
    <w:name w:val="annotation reference"/>
    <w:basedOn w:val="DefaultParagraphFont"/>
    <w:semiHidden/>
    <w:rsid w:val="003612B5"/>
    <w:rPr>
      <w:sz w:val="16"/>
      <w:szCs w:val="16"/>
    </w:rPr>
  </w:style>
  <w:style w:type="paragraph" w:styleId="CommentText">
    <w:name w:val="annotation text"/>
    <w:basedOn w:val="Normal"/>
    <w:semiHidden/>
    <w:rsid w:val="003612B5"/>
    <w:rPr>
      <w:sz w:val="20"/>
    </w:rPr>
  </w:style>
  <w:style w:type="paragraph" w:styleId="CommentSubject">
    <w:name w:val="annotation subject"/>
    <w:basedOn w:val="CommentText"/>
    <w:next w:val="CommentText"/>
    <w:semiHidden/>
    <w:rsid w:val="003612B5"/>
    <w:rPr>
      <w:b/>
      <w:bCs/>
    </w:rPr>
  </w:style>
  <w:style w:type="paragraph" w:customStyle="1" w:styleId="Char">
    <w:name w:val="Char"/>
    <w:basedOn w:val="Normal"/>
    <w:rsid w:val="007D63BF"/>
    <w:rPr>
      <w:rFonts w:ascii="Arial" w:hAnsi="Arial" w:cs="Arial"/>
      <w:sz w:val="22"/>
      <w:szCs w:val="22"/>
      <w:lang w:eastAsia="en-US"/>
    </w:rPr>
  </w:style>
  <w:style w:type="character" w:styleId="Hyperlink">
    <w:name w:val="Hyperlink"/>
    <w:basedOn w:val="DefaultParagraphFont"/>
    <w:rsid w:val="00DF0AE0"/>
    <w:rPr>
      <w:color w:val="0000FF"/>
      <w:u w:val="single"/>
    </w:rPr>
  </w:style>
  <w:style w:type="paragraph" w:customStyle="1" w:styleId="Default">
    <w:name w:val="Default"/>
    <w:rsid w:val="000E63DB"/>
    <w:pPr>
      <w:autoSpaceDE w:val="0"/>
      <w:autoSpaceDN w:val="0"/>
      <w:adjustRightInd w:val="0"/>
    </w:pPr>
    <w:rPr>
      <w:color w:val="000000"/>
      <w:sz w:val="24"/>
      <w:szCs w:val="24"/>
      <w:lang w:val="en-US" w:eastAsia="en-US" w:bidi="ar-SA"/>
    </w:rPr>
  </w:style>
  <w:style w:type="paragraph" w:customStyle="1" w:styleId="Healthnumlevel2">
    <w:name w:val="Health (num) level 2"/>
    <w:basedOn w:val="Normal"/>
    <w:link w:val="Healthnumlevel2Char"/>
    <w:rsid w:val="00420A41"/>
    <w:pPr>
      <w:tabs>
        <w:tab w:val="num" w:pos="1811"/>
      </w:tabs>
      <w:autoSpaceDE w:val="0"/>
      <w:autoSpaceDN w:val="0"/>
      <w:spacing w:before="60"/>
      <w:ind w:left="1811" w:hanging="851"/>
    </w:pPr>
    <w:rPr>
      <w:color w:val="000000"/>
      <w:szCs w:val="24"/>
      <w:lang w:eastAsia="en-US"/>
    </w:rPr>
  </w:style>
  <w:style w:type="paragraph" w:customStyle="1" w:styleId="HealthnumLevel3">
    <w:name w:val="Health (num) Level 3"/>
    <w:basedOn w:val="Normal"/>
    <w:link w:val="HealthnumLevel3Char"/>
    <w:rsid w:val="00420A41"/>
    <w:pPr>
      <w:tabs>
        <w:tab w:val="num" w:pos="2551"/>
      </w:tabs>
      <w:autoSpaceDE w:val="0"/>
      <w:autoSpaceDN w:val="0"/>
      <w:spacing w:before="60" w:line="260" w:lineRule="exact"/>
      <w:ind w:left="2551" w:hanging="850"/>
      <w:jc w:val="both"/>
    </w:pPr>
    <w:rPr>
      <w:color w:val="000000"/>
      <w:szCs w:val="24"/>
      <w:lang w:eastAsia="en-US"/>
    </w:rPr>
  </w:style>
  <w:style w:type="paragraph" w:customStyle="1" w:styleId="HealthnumLevel4">
    <w:name w:val="Health (num) Level 4"/>
    <w:basedOn w:val="Normal"/>
    <w:rsid w:val="00420A41"/>
    <w:pPr>
      <w:tabs>
        <w:tab w:val="num" w:pos="3402"/>
      </w:tabs>
      <w:autoSpaceDE w:val="0"/>
      <w:autoSpaceDN w:val="0"/>
      <w:spacing w:before="60" w:line="260" w:lineRule="exact"/>
      <w:ind w:left="3402" w:hanging="851"/>
    </w:pPr>
    <w:rPr>
      <w:szCs w:val="24"/>
      <w:lang w:eastAsia="en-US"/>
    </w:rPr>
  </w:style>
  <w:style w:type="paragraph" w:customStyle="1" w:styleId="HealthnumLevel5">
    <w:name w:val="Health (num) Level 5"/>
    <w:basedOn w:val="Normal"/>
    <w:rsid w:val="00420A41"/>
    <w:pPr>
      <w:tabs>
        <w:tab w:val="num" w:pos="850"/>
      </w:tabs>
      <w:autoSpaceDE w:val="0"/>
      <w:autoSpaceDN w:val="0"/>
      <w:spacing w:before="180" w:line="260" w:lineRule="exact"/>
      <w:ind w:left="850" w:hanging="510"/>
    </w:pPr>
    <w:rPr>
      <w:szCs w:val="24"/>
      <w:lang w:eastAsia="en-US"/>
    </w:rPr>
  </w:style>
  <w:style w:type="paragraph" w:customStyle="1" w:styleId="HealthnumLevel6">
    <w:name w:val="Health (num) Level 6"/>
    <w:basedOn w:val="Normal"/>
    <w:rsid w:val="00420A41"/>
    <w:pPr>
      <w:tabs>
        <w:tab w:val="num" w:pos="850"/>
      </w:tabs>
      <w:autoSpaceDE w:val="0"/>
      <w:autoSpaceDN w:val="0"/>
      <w:spacing w:before="180" w:line="260" w:lineRule="exact"/>
      <w:ind w:left="850" w:hanging="510"/>
    </w:pPr>
    <w:rPr>
      <w:szCs w:val="24"/>
      <w:lang w:eastAsia="en-US"/>
    </w:rPr>
  </w:style>
  <w:style w:type="character" w:customStyle="1" w:styleId="Healthnumlevel2Char">
    <w:name w:val="Health (num) level 2 Char"/>
    <w:basedOn w:val="DefaultParagraphFont"/>
    <w:link w:val="Healthnumlevel2"/>
    <w:rsid w:val="00D73C5A"/>
    <w:rPr>
      <w:color w:val="000000"/>
      <w:sz w:val="24"/>
      <w:szCs w:val="24"/>
      <w:lang w:val="en-AU" w:eastAsia="en-US" w:bidi="ar-SA"/>
    </w:rPr>
  </w:style>
  <w:style w:type="character" w:customStyle="1" w:styleId="HealthnumLevel3Char">
    <w:name w:val="Health (num) Level 3 Char"/>
    <w:basedOn w:val="DefaultParagraphFont"/>
    <w:link w:val="HealthnumLevel3"/>
    <w:rsid w:val="007E3321"/>
    <w:rPr>
      <w:color w:val="000000"/>
      <w:sz w:val="24"/>
      <w:szCs w:val="24"/>
      <w:lang w:val="en-A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EXPLANATORY MEMORANDUM</vt:lpstr>
    </vt:vector>
  </TitlesOfParts>
  <Manager/>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
  <dc:creator/>
  <cp:keywords/>
  <dc:description/>
  <cp:lastModifiedBy/>
  <cp:revision>1</cp:revision>
  <cp:lastPrinted>2007-03-20T05:49:00Z</cp:lastPrinted>
  <dcterms:created xsi:type="dcterms:W3CDTF">2011-03-03T02:53:00Z</dcterms:created>
  <dcterms:modified xsi:type="dcterms:W3CDTF">2011-03-22T00:14:00Z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ocument Footer">
    <vt:lpwstr>116031831 \ 0417923 \ KLR01</vt:lpwstr>
  </property>
</Properties>
</file>