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4F" w:rsidRDefault="00D633F0" w:rsidP="00D633F0">
      <w:pPr>
        <w:jc w:val="center"/>
        <w:rPr>
          <w:b/>
          <w:u w:val="single"/>
        </w:rPr>
      </w:pPr>
      <w:r w:rsidRPr="00D633F0">
        <w:rPr>
          <w:b/>
          <w:u w:val="single"/>
        </w:rPr>
        <w:t xml:space="preserve">EXPLANATORY </w:t>
      </w:r>
      <w:r w:rsidR="00A77E5B">
        <w:rPr>
          <w:b/>
          <w:u w:val="single"/>
        </w:rPr>
        <w:t>STATEMENT</w:t>
      </w:r>
    </w:p>
    <w:p w:rsidR="00D633F0" w:rsidRDefault="00D633F0"/>
    <w:p w:rsidR="00D633F0" w:rsidRPr="00505E15" w:rsidRDefault="00A77E5B" w:rsidP="00A77E5B">
      <w:pPr>
        <w:jc w:val="center"/>
        <w:rPr>
          <w:b/>
          <w:u w:val="single"/>
        </w:rPr>
      </w:pPr>
      <w:r w:rsidRPr="00505E15">
        <w:rPr>
          <w:b/>
          <w:u w:val="single"/>
        </w:rPr>
        <w:t>Se</w:t>
      </w:r>
      <w:r w:rsidR="00974A21" w:rsidRPr="00505E15">
        <w:rPr>
          <w:b/>
          <w:u w:val="single"/>
        </w:rPr>
        <w:t>lect Legislative Instrument 2011</w:t>
      </w:r>
      <w:r w:rsidRPr="00505E15">
        <w:rPr>
          <w:b/>
          <w:u w:val="single"/>
        </w:rPr>
        <w:t xml:space="preserve"> No.</w:t>
      </w:r>
      <w:r w:rsidR="00505E15">
        <w:rPr>
          <w:b/>
          <w:u w:val="single"/>
        </w:rPr>
        <w:t xml:space="preserve"> 25</w:t>
      </w:r>
    </w:p>
    <w:p w:rsidR="00D633F0" w:rsidRDefault="00D633F0"/>
    <w:p w:rsidR="00D633F0" w:rsidRDefault="00A77E5B" w:rsidP="00A77E5B">
      <w:pPr>
        <w:jc w:val="center"/>
      </w:pPr>
      <w:r>
        <w:t xml:space="preserve">Issued by the authority of the Minister for </w:t>
      </w:r>
      <w:r w:rsidR="004E27BC">
        <w:t xml:space="preserve">Tertiary Education, Skills, </w:t>
      </w:r>
      <w:r w:rsidR="002B7838" w:rsidRPr="00512BC4">
        <w:t xml:space="preserve">Jobs and </w:t>
      </w:r>
      <w:r w:rsidRPr="00512BC4">
        <w:t>Workplace Relations</w:t>
      </w:r>
    </w:p>
    <w:p w:rsidR="00D633F0" w:rsidRDefault="00D633F0"/>
    <w:p w:rsidR="00A77E5B" w:rsidRDefault="00A77E5B" w:rsidP="00A77E5B">
      <w:pPr>
        <w:ind w:left="720"/>
        <w:jc w:val="center"/>
        <w:rPr>
          <w:i/>
        </w:rPr>
      </w:pPr>
      <w:r>
        <w:rPr>
          <w:i/>
        </w:rPr>
        <w:t>Occupational Health and Safety Act 1991</w:t>
      </w:r>
    </w:p>
    <w:p w:rsidR="00A77E5B" w:rsidRDefault="00A77E5B" w:rsidP="00A77E5B">
      <w:pPr>
        <w:ind w:left="1440"/>
        <w:jc w:val="center"/>
        <w:rPr>
          <w:i/>
        </w:rPr>
      </w:pPr>
    </w:p>
    <w:p w:rsidR="00D633F0" w:rsidRDefault="00D633F0" w:rsidP="00A77E5B">
      <w:pPr>
        <w:ind w:left="720"/>
        <w:jc w:val="center"/>
        <w:rPr>
          <w:i/>
        </w:rPr>
      </w:pPr>
      <w:r w:rsidRPr="00D633F0">
        <w:rPr>
          <w:i/>
        </w:rPr>
        <w:t>Occupational Health and Safety (Safety Stand</w:t>
      </w:r>
      <w:r w:rsidR="006A0BD1">
        <w:rPr>
          <w:i/>
        </w:rPr>
        <w:t xml:space="preserve">ards) </w:t>
      </w:r>
      <w:r w:rsidR="00974A21">
        <w:rPr>
          <w:i/>
        </w:rPr>
        <w:t>Amendment Regulations 2011</w:t>
      </w:r>
      <w:r w:rsidRPr="00D633F0">
        <w:rPr>
          <w:i/>
        </w:rPr>
        <w:t xml:space="preserve"> (No.</w:t>
      </w:r>
      <w:r w:rsidR="00505E15">
        <w:rPr>
          <w:i/>
        </w:rPr>
        <w:t xml:space="preserve"> </w:t>
      </w:r>
      <w:r w:rsidR="001B5F4B">
        <w:rPr>
          <w:i/>
        </w:rPr>
        <w:t>1</w:t>
      </w:r>
      <w:r w:rsidRPr="00D633F0">
        <w:rPr>
          <w:i/>
        </w:rPr>
        <w:t>)</w:t>
      </w:r>
    </w:p>
    <w:p w:rsidR="00D633F0" w:rsidRDefault="00D633F0" w:rsidP="00D633F0">
      <w:pPr>
        <w:rPr>
          <w:i/>
        </w:rPr>
      </w:pPr>
    </w:p>
    <w:p w:rsidR="00A77E5B" w:rsidRDefault="00A77E5B" w:rsidP="00A77E5B">
      <w:r>
        <w:t xml:space="preserve">The </w:t>
      </w:r>
      <w:r w:rsidRPr="00C17236">
        <w:rPr>
          <w:i/>
        </w:rPr>
        <w:t>Occupational Health and Safety Act 1991</w:t>
      </w:r>
      <w:r>
        <w:t xml:space="preserve"> (the Act) establishes a statutory framework to secure the health and safety at work of employees of the Commonwealth, Commonwealth authorities and non-Commonwealth licensees.</w:t>
      </w:r>
    </w:p>
    <w:p w:rsidR="00A77E5B" w:rsidRDefault="00A77E5B" w:rsidP="00A77E5B"/>
    <w:p w:rsidR="00C17236" w:rsidRDefault="00C17236" w:rsidP="00D633F0">
      <w:r>
        <w:t>Section 82 of the Act provides, in part, that the Governor-General may make regulations, not inconsistent with the Act, prescribing all matters required or permitted by the Act</w:t>
      </w:r>
      <w:r w:rsidR="00E41EC0">
        <w:t xml:space="preserve"> to be prescribed</w:t>
      </w:r>
      <w:r>
        <w:t>, or necessary or convenient to be prescribed for carrying out or giving effect to the Act.</w:t>
      </w:r>
    </w:p>
    <w:p w:rsidR="00A9634C" w:rsidRDefault="00A9634C" w:rsidP="00D633F0"/>
    <w:p w:rsidR="00A9634C" w:rsidRDefault="00A9634C" w:rsidP="00D633F0">
      <w:r>
        <w:t>Sect</w:t>
      </w:r>
      <w:r w:rsidR="002E615F">
        <w:t>ion 23 of the Act provides that, subject to the Act, the regulations can provide for any matter affecting or likely to affect the occupational health and safety of employees or contractors or other persons at or near a workplace.</w:t>
      </w:r>
    </w:p>
    <w:p w:rsidR="001A0BDE" w:rsidRDefault="001A0BDE" w:rsidP="001A0BDE"/>
    <w:p w:rsidR="00C17236" w:rsidRDefault="00C17236" w:rsidP="00D633F0">
      <w:r>
        <w:t xml:space="preserve">Part 8 of the </w:t>
      </w:r>
      <w:r w:rsidRPr="00BE283A">
        <w:rPr>
          <w:i/>
        </w:rPr>
        <w:t>Occupational Health and Safety (Safety Standards) Regulations</w:t>
      </w:r>
      <w:r>
        <w:t xml:space="preserve"> </w:t>
      </w:r>
      <w:r w:rsidR="009F52FF" w:rsidRPr="009F52FF">
        <w:rPr>
          <w:i/>
        </w:rPr>
        <w:t>1994</w:t>
      </w:r>
      <w:r w:rsidR="009F52FF">
        <w:t xml:space="preserve"> </w:t>
      </w:r>
      <w:r w:rsidR="00C2302D">
        <w:t xml:space="preserve">(the Principal Regulations) establishes a regime to regulate the storage and handling of dangerous goods in order to protect </w:t>
      </w:r>
      <w:r w:rsidR="00307987">
        <w:t xml:space="preserve">the </w:t>
      </w:r>
      <w:r w:rsidR="00C2302D">
        <w:t xml:space="preserve">health and safety </w:t>
      </w:r>
      <w:r w:rsidR="00307987">
        <w:t xml:space="preserve">of persons </w:t>
      </w:r>
      <w:r w:rsidR="00C2302D">
        <w:t>at workplaces covered by the Act.</w:t>
      </w:r>
    </w:p>
    <w:p w:rsidR="00C2302D" w:rsidRDefault="00C2302D" w:rsidP="00D633F0"/>
    <w:p w:rsidR="00C2302D" w:rsidRDefault="00C131AA" w:rsidP="00D633F0">
      <w:r>
        <w:t xml:space="preserve">The Principal Regulations </w:t>
      </w:r>
      <w:r w:rsidR="00F0347B">
        <w:t xml:space="preserve">refer to the Australian Code for the Transport of </w:t>
      </w:r>
      <w:r w:rsidR="00C16FED">
        <w:t>Explosives</w:t>
      </w:r>
      <w:r w:rsidR="00F0347B">
        <w:t xml:space="preserve"> by Road and Rail (AE Code) and the </w:t>
      </w:r>
      <w:r w:rsidR="00C2302D">
        <w:t xml:space="preserve">Australian Code for the Transport of Dangerous Goods by Road and Rail (ADG </w:t>
      </w:r>
      <w:r w:rsidR="00292DC9">
        <w:t>Code</w:t>
      </w:r>
      <w:r w:rsidR="00C2302D">
        <w:t>).</w:t>
      </w:r>
      <w:r w:rsidR="00860178">
        <w:t xml:space="preserve"> </w:t>
      </w:r>
      <w:r w:rsidR="00F0347B">
        <w:t xml:space="preserve">The </w:t>
      </w:r>
      <w:r w:rsidR="00860178">
        <w:t xml:space="preserve">ADG </w:t>
      </w:r>
      <w:r w:rsidR="00292DC9">
        <w:t xml:space="preserve">Code </w:t>
      </w:r>
      <w:r w:rsidR="00860178">
        <w:t>applies to the transport of dangerous goods other than explosives by road and rail.</w:t>
      </w:r>
      <w:r w:rsidR="00F0347B">
        <w:t xml:space="preserve"> Currently, the second edition of the AE Code and the sixth edition of the ADG Code are referenced. However, new editions of both codes have been published.</w:t>
      </w:r>
    </w:p>
    <w:p w:rsidR="00FA6972" w:rsidRDefault="00FA6972" w:rsidP="00D633F0"/>
    <w:p w:rsidR="00FA6972" w:rsidRDefault="00FA6972" w:rsidP="00FA6972">
      <w:r>
        <w:t xml:space="preserve">The Regulations update references to the new editions of the AE Code and the ADG Code. Some additional housekeeping amendments </w:t>
      </w:r>
      <w:r w:rsidR="00F51D75">
        <w:t>are also</w:t>
      </w:r>
      <w:r>
        <w:t xml:space="preserve"> included in the </w:t>
      </w:r>
      <w:r w:rsidR="00F51D75">
        <w:t>R</w:t>
      </w:r>
      <w:r>
        <w:t>egulations.</w:t>
      </w:r>
    </w:p>
    <w:p w:rsidR="00FA6972" w:rsidRDefault="00FA6972" w:rsidP="00D633F0"/>
    <w:p w:rsidR="00860178" w:rsidRDefault="00860178" w:rsidP="00D633F0">
      <w:r>
        <w:t xml:space="preserve">Details of the Regulations are included in the </w:t>
      </w:r>
      <w:r w:rsidRPr="00860178">
        <w:rPr>
          <w:u w:val="single"/>
        </w:rPr>
        <w:t>Attachment</w:t>
      </w:r>
      <w:r w:rsidR="005044DA">
        <w:t>.</w:t>
      </w:r>
    </w:p>
    <w:p w:rsidR="00FA6972" w:rsidRDefault="00FA6972" w:rsidP="00D633F0"/>
    <w:p w:rsidR="00FA6972" w:rsidRDefault="00FA6972" w:rsidP="00D633F0">
      <w:r>
        <w:t>On the advice of the Office of Best Practice Regulation, a Regulation Impact Statement was not prepared.</w:t>
      </w:r>
    </w:p>
    <w:p w:rsidR="00FA6972" w:rsidRDefault="00FA6972" w:rsidP="00D633F0"/>
    <w:p w:rsidR="00FA6972" w:rsidRDefault="00453DAB" w:rsidP="00D633F0">
      <w:r w:rsidRPr="00512BC4">
        <w:t>On the matter of consultation, t</w:t>
      </w:r>
      <w:r w:rsidR="00FA6972" w:rsidRPr="00512BC4">
        <w:t xml:space="preserve">he Regulations were developed as a result of COAG agreeing to the national implementation of the seventh edition of the ADG Code and following endorsement by the Workplace Relations Ministers’ Council </w:t>
      </w:r>
      <w:r w:rsidR="004759DE" w:rsidRPr="00512BC4">
        <w:t xml:space="preserve">(WRMC) in </w:t>
      </w:r>
      <w:r w:rsidR="004759DE" w:rsidRPr="00512BC4">
        <w:lastRenderedPageBreak/>
        <w:t xml:space="preserve">April 2009 </w:t>
      </w:r>
      <w:r w:rsidR="00FA6972" w:rsidRPr="00512BC4">
        <w:t>of the third edition of the AE Code.</w:t>
      </w:r>
      <w:r>
        <w:t xml:space="preserve"> </w:t>
      </w:r>
      <w:r w:rsidR="004759DE">
        <w:t>Consultation was undertaken as part of the COAG and WRMC processes.</w:t>
      </w:r>
    </w:p>
    <w:p w:rsidR="001A0BDE" w:rsidRDefault="001A0BDE" w:rsidP="00D633F0"/>
    <w:p w:rsidR="00860178" w:rsidRDefault="00860178" w:rsidP="00D633F0">
      <w:r>
        <w:t xml:space="preserve">The Regulations </w:t>
      </w:r>
      <w:r w:rsidR="00000FA9">
        <w:t>are</w:t>
      </w:r>
      <w:r>
        <w:t xml:space="preserve"> a legislative instrument for the purposes of the </w:t>
      </w:r>
      <w:r w:rsidR="00130E4F">
        <w:br/>
      </w:r>
      <w:r w:rsidRPr="00BE283A">
        <w:rPr>
          <w:i/>
        </w:rPr>
        <w:t>Legislative Instruments Act 2003</w:t>
      </w:r>
      <w:r>
        <w:t>.</w:t>
      </w:r>
    </w:p>
    <w:p w:rsidR="00A57EA8" w:rsidRDefault="00A57EA8" w:rsidP="00A57EA8"/>
    <w:p w:rsidR="00A57EA8" w:rsidRDefault="00A57EA8" w:rsidP="00A57EA8">
      <w:r>
        <w:t>The Regulations commence on the day after they are registered</w:t>
      </w:r>
      <w:r w:rsidR="002B54A2">
        <w:t xml:space="preserve"> on the Federal Register of Legislative Instruments.</w:t>
      </w:r>
    </w:p>
    <w:p w:rsidR="00860178" w:rsidRDefault="00860178" w:rsidP="00D633F0"/>
    <w:p w:rsidR="00860178" w:rsidRDefault="00860178" w:rsidP="00D633F0"/>
    <w:p w:rsidR="0052575E" w:rsidRDefault="00860178" w:rsidP="00130E4F">
      <w:pPr>
        <w:ind w:left="3960"/>
      </w:pPr>
      <w:r w:rsidRPr="00860178">
        <w:rPr>
          <w:u w:val="single"/>
        </w:rPr>
        <w:t>Authority</w:t>
      </w:r>
      <w:r>
        <w:t xml:space="preserve">: Section 82 of the </w:t>
      </w:r>
    </w:p>
    <w:p w:rsidR="00A57EA8" w:rsidRDefault="00860178" w:rsidP="0052575E">
      <w:pPr>
        <w:ind w:left="3960"/>
        <w:rPr>
          <w:i/>
        </w:rPr>
      </w:pPr>
      <w:r w:rsidRPr="00C8021A">
        <w:rPr>
          <w:i/>
        </w:rPr>
        <w:t>Occupational Health and</w:t>
      </w:r>
      <w:r w:rsidR="00C8021A" w:rsidRPr="00C8021A">
        <w:rPr>
          <w:i/>
        </w:rPr>
        <w:t xml:space="preserve"> Safety Act 1991</w:t>
      </w:r>
    </w:p>
    <w:p w:rsidR="00A57EA8" w:rsidRDefault="00A57EA8" w:rsidP="00A57EA8">
      <w:pPr>
        <w:ind w:left="2880"/>
      </w:pPr>
    </w:p>
    <w:p w:rsidR="005545C5" w:rsidRPr="00A57EA8" w:rsidRDefault="00C8021A" w:rsidP="00A57EA8">
      <w:pPr>
        <w:ind w:left="2880"/>
        <w:rPr>
          <w:i/>
        </w:rPr>
        <w:sectPr w:rsidR="005545C5" w:rsidRPr="00A57EA8" w:rsidSect="00C8021A">
          <w:headerReference w:type="even" r:id="rId10"/>
          <w:headerReference w:type="default" r:id="rId11"/>
          <w:pgSz w:w="11906" w:h="16838"/>
          <w:pgMar w:top="1440" w:right="1800" w:bottom="1440" w:left="1800" w:header="708" w:footer="708" w:gutter="0"/>
          <w:pgNumType w:start="1"/>
          <w:cols w:space="708"/>
          <w:titlePg/>
          <w:docGrid w:linePitch="360"/>
        </w:sectPr>
      </w:pPr>
      <w:r>
        <w:t>.</w:t>
      </w:r>
    </w:p>
    <w:p w:rsidR="002E615F" w:rsidRPr="00C8021A" w:rsidRDefault="002E615F" w:rsidP="005B3269">
      <w:pPr>
        <w:ind w:left="2880"/>
        <w:jc w:val="right"/>
      </w:pPr>
      <w:r w:rsidRPr="002E615F">
        <w:rPr>
          <w:b/>
        </w:rPr>
        <w:lastRenderedPageBreak/>
        <w:t>ATTACHMENT</w:t>
      </w:r>
    </w:p>
    <w:p w:rsidR="002E615F" w:rsidRDefault="002E615F" w:rsidP="002E615F"/>
    <w:p w:rsidR="002E615F" w:rsidRPr="002E615F" w:rsidRDefault="002E615F" w:rsidP="002E615F">
      <w:pPr>
        <w:rPr>
          <w:b/>
          <w:u w:val="single"/>
        </w:rPr>
      </w:pPr>
      <w:r w:rsidRPr="002E615F">
        <w:rPr>
          <w:b/>
          <w:u w:val="single"/>
        </w:rPr>
        <w:t xml:space="preserve">Details of the </w:t>
      </w:r>
      <w:r w:rsidRPr="002E615F">
        <w:rPr>
          <w:b/>
          <w:i/>
          <w:u w:val="single"/>
        </w:rPr>
        <w:t>Occupational Health and Safety (Safety Stand</w:t>
      </w:r>
      <w:r w:rsidR="009F52FF">
        <w:rPr>
          <w:b/>
          <w:i/>
          <w:u w:val="single"/>
        </w:rPr>
        <w:t xml:space="preserve">ards) Amendment Regulations </w:t>
      </w:r>
      <w:r w:rsidR="00974A21">
        <w:rPr>
          <w:b/>
          <w:i/>
          <w:u w:val="single"/>
        </w:rPr>
        <w:t>2011</w:t>
      </w:r>
      <w:r w:rsidRPr="002E615F">
        <w:rPr>
          <w:b/>
          <w:i/>
          <w:u w:val="single"/>
        </w:rPr>
        <w:t xml:space="preserve"> (No.</w:t>
      </w:r>
      <w:r w:rsidR="009F52FF">
        <w:rPr>
          <w:b/>
          <w:i/>
          <w:u w:val="single"/>
        </w:rPr>
        <w:t xml:space="preserve"> </w:t>
      </w:r>
      <w:r w:rsidR="00505E15">
        <w:rPr>
          <w:b/>
          <w:i/>
          <w:u w:val="single"/>
        </w:rPr>
        <w:t>1</w:t>
      </w:r>
      <w:r w:rsidRPr="002E615F">
        <w:rPr>
          <w:b/>
          <w:i/>
          <w:u w:val="single"/>
        </w:rPr>
        <w:t>)</w:t>
      </w:r>
    </w:p>
    <w:p w:rsidR="002E615F" w:rsidRDefault="002E615F" w:rsidP="002E615F"/>
    <w:p w:rsidR="002E615F" w:rsidRPr="005B3269" w:rsidRDefault="00C8021A" w:rsidP="002E615F">
      <w:pPr>
        <w:rPr>
          <w:u w:val="single"/>
        </w:rPr>
      </w:pPr>
      <w:r w:rsidRPr="005B3269">
        <w:rPr>
          <w:u w:val="single"/>
        </w:rPr>
        <w:t>Regulation 1 – Name of Regulations</w:t>
      </w:r>
    </w:p>
    <w:p w:rsidR="00C8021A" w:rsidRDefault="001B277E" w:rsidP="002E615F">
      <w:r>
        <w:t>Regulation 1 names</w:t>
      </w:r>
      <w:r w:rsidR="00C8021A">
        <w:t xml:space="preserve"> the Regulations the </w:t>
      </w:r>
      <w:r w:rsidR="00C8021A" w:rsidRPr="00D24AAD">
        <w:rPr>
          <w:i/>
        </w:rPr>
        <w:t>Occupational Health and Safety</w:t>
      </w:r>
      <w:r w:rsidR="00D55298">
        <w:rPr>
          <w:i/>
        </w:rPr>
        <w:br/>
      </w:r>
      <w:r w:rsidR="00C8021A" w:rsidRPr="00D24AAD">
        <w:rPr>
          <w:i/>
        </w:rPr>
        <w:t xml:space="preserve"> (Safety Standards) Amendment Regulations </w:t>
      </w:r>
      <w:r w:rsidR="00974A21">
        <w:rPr>
          <w:i/>
        </w:rPr>
        <w:t>2011</w:t>
      </w:r>
      <w:r w:rsidR="00263432" w:rsidRPr="00263432">
        <w:rPr>
          <w:i/>
        </w:rPr>
        <w:t xml:space="preserve"> (No. </w:t>
      </w:r>
      <w:r w:rsidR="00505E15">
        <w:rPr>
          <w:i/>
        </w:rPr>
        <w:t>1</w:t>
      </w:r>
      <w:r w:rsidR="00263432" w:rsidRPr="00263432">
        <w:rPr>
          <w:i/>
        </w:rPr>
        <w:t>)</w:t>
      </w:r>
      <w:r w:rsidR="00263432" w:rsidRPr="00263432">
        <w:t>.</w:t>
      </w:r>
    </w:p>
    <w:p w:rsidR="00F05443" w:rsidRDefault="00F05443" w:rsidP="002E615F"/>
    <w:p w:rsidR="00F05443" w:rsidRPr="005B3269" w:rsidRDefault="00F05443" w:rsidP="002E615F">
      <w:pPr>
        <w:rPr>
          <w:u w:val="single"/>
        </w:rPr>
      </w:pPr>
      <w:r w:rsidRPr="005B3269">
        <w:rPr>
          <w:u w:val="single"/>
        </w:rPr>
        <w:t>Regulation 2 – Commencement</w:t>
      </w:r>
    </w:p>
    <w:p w:rsidR="00F05443" w:rsidRDefault="002B7838" w:rsidP="002E615F">
      <w:r>
        <w:t>R</w:t>
      </w:r>
      <w:r w:rsidR="009C3E11">
        <w:t>egulation 2 provide</w:t>
      </w:r>
      <w:r w:rsidR="00000FA9">
        <w:t>s</w:t>
      </w:r>
      <w:r w:rsidR="009C3E11">
        <w:t xml:space="preserve"> </w:t>
      </w:r>
      <w:r w:rsidR="00682866">
        <w:t>that the Regulations commence the day after they are registered on the Federal Register of Legislative Instruments.</w:t>
      </w:r>
    </w:p>
    <w:p w:rsidR="009C3E11" w:rsidRDefault="009C3E11" w:rsidP="002E615F"/>
    <w:p w:rsidR="009C3E11" w:rsidRPr="005B3269" w:rsidRDefault="009C3E11" w:rsidP="002E615F">
      <w:pPr>
        <w:rPr>
          <w:i/>
          <w:u w:val="single"/>
        </w:rPr>
      </w:pPr>
      <w:r w:rsidRPr="005B3269">
        <w:rPr>
          <w:u w:val="single"/>
        </w:rPr>
        <w:t xml:space="preserve">Regulation 3 – Amendment of </w:t>
      </w:r>
      <w:r w:rsidRPr="005B3269">
        <w:rPr>
          <w:i/>
          <w:u w:val="single"/>
        </w:rPr>
        <w:t>Occupational Health and Safet</w:t>
      </w:r>
      <w:r w:rsidR="00D24AAD" w:rsidRPr="005B3269">
        <w:rPr>
          <w:i/>
          <w:u w:val="single"/>
        </w:rPr>
        <w:t>y (Safety Standards) Regulations 1994</w:t>
      </w:r>
    </w:p>
    <w:p w:rsidR="009C3E11" w:rsidRDefault="00000FA9" w:rsidP="002E615F">
      <w:r>
        <w:t>R</w:t>
      </w:r>
      <w:r w:rsidR="009C3E11">
        <w:t>egulation 3 provide</w:t>
      </w:r>
      <w:r>
        <w:t>s</w:t>
      </w:r>
      <w:r w:rsidR="009C3E11">
        <w:t xml:space="preserve"> that Schedule 1 amends the </w:t>
      </w:r>
      <w:r w:rsidR="009C3E11" w:rsidRPr="00D24AAD">
        <w:rPr>
          <w:i/>
        </w:rPr>
        <w:t>Occupational Health and Safety (Safety Standards) Regulations</w:t>
      </w:r>
      <w:r w:rsidR="0038641D" w:rsidRPr="00D24AAD">
        <w:rPr>
          <w:i/>
        </w:rPr>
        <w:t xml:space="preserve"> 1994</w:t>
      </w:r>
      <w:r w:rsidR="005B3269">
        <w:t xml:space="preserve"> (the Principal Regulations)</w:t>
      </w:r>
      <w:r w:rsidR="0038641D">
        <w:t>.</w:t>
      </w:r>
    </w:p>
    <w:p w:rsidR="0038641D" w:rsidRDefault="0038641D" w:rsidP="002E615F"/>
    <w:p w:rsidR="0038641D" w:rsidRDefault="00C00204" w:rsidP="002E615F">
      <w:r w:rsidRPr="005B3269">
        <w:rPr>
          <w:u w:val="single"/>
        </w:rPr>
        <w:t>Schedule 1 – Amendments</w:t>
      </w:r>
    </w:p>
    <w:p w:rsidR="00D55298" w:rsidRPr="00D55298" w:rsidRDefault="00D55298" w:rsidP="002E615F"/>
    <w:p w:rsidR="00682866" w:rsidRDefault="005070E5" w:rsidP="002E615F">
      <w:pPr>
        <w:rPr>
          <w:b/>
        </w:rPr>
      </w:pPr>
      <w:r w:rsidRPr="00D24AAD">
        <w:rPr>
          <w:b/>
        </w:rPr>
        <w:t>Item [1]</w:t>
      </w:r>
      <w:r w:rsidRPr="00D24AAD">
        <w:rPr>
          <w:b/>
        </w:rPr>
        <w:tab/>
      </w:r>
      <w:r w:rsidR="00682866">
        <w:rPr>
          <w:b/>
        </w:rPr>
        <w:t>Regulation 4.18, note</w:t>
      </w:r>
    </w:p>
    <w:p w:rsidR="00682866" w:rsidRDefault="00682866" w:rsidP="002E615F">
      <w:r w:rsidRPr="00682866">
        <w:t xml:space="preserve">The note following regulation 4.18 currently </w:t>
      </w:r>
      <w:r w:rsidR="00880235">
        <w:t>refers to</w:t>
      </w:r>
      <w:r w:rsidRPr="00682866">
        <w:t xml:space="preserve"> </w:t>
      </w:r>
      <w:r w:rsidR="00880235">
        <w:t>a</w:t>
      </w:r>
      <w:r w:rsidRPr="00682866">
        <w:t xml:space="preserve"> definition of ‘relevant person’</w:t>
      </w:r>
      <w:r w:rsidR="00824410">
        <w:t xml:space="preserve"> in</w:t>
      </w:r>
      <w:r w:rsidRPr="00682866">
        <w:t xml:space="preserve"> regulation 4.03 of the Principal Regulations. Regulation 4.03 was repealed by the </w:t>
      </w:r>
      <w:r w:rsidRPr="0084156B">
        <w:rPr>
          <w:i/>
        </w:rPr>
        <w:t>Occupational Health and Safety (Commonwealth Employment) (National Standards) Amendment Regulations 2006 (No. 2)</w:t>
      </w:r>
      <w:r w:rsidRPr="0084156B">
        <w:t xml:space="preserve">. </w:t>
      </w:r>
      <w:r w:rsidRPr="00682866">
        <w:t xml:space="preserve">At that time it was decided that, because </w:t>
      </w:r>
      <w:r w:rsidR="00880235">
        <w:t>terms</w:t>
      </w:r>
      <w:r w:rsidRPr="00682866">
        <w:t xml:space="preserve"> like ‘relevant person’ appeared in more than one Part of the </w:t>
      </w:r>
      <w:r w:rsidR="002B54A2">
        <w:t xml:space="preserve">Principal </w:t>
      </w:r>
      <w:r w:rsidRPr="00682866">
        <w:t>Regulations, they should</w:t>
      </w:r>
      <w:r w:rsidR="006A19E5">
        <w:t xml:space="preserve"> be </w:t>
      </w:r>
      <w:r w:rsidR="00D55298">
        <w:t>moved</w:t>
      </w:r>
      <w:r w:rsidR="006A19E5">
        <w:t xml:space="preserve"> to a ‘definitions’ P</w:t>
      </w:r>
      <w:r w:rsidRPr="00682866">
        <w:t xml:space="preserve">art. </w:t>
      </w:r>
      <w:r w:rsidR="00824410">
        <w:t xml:space="preserve">The definition </w:t>
      </w:r>
      <w:r w:rsidRPr="00682866">
        <w:t xml:space="preserve">of ‘relevant person’ </w:t>
      </w:r>
      <w:r w:rsidR="00824410">
        <w:t>is currently found in</w:t>
      </w:r>
      <w:r w:rsidRPr="00682866">
        <w:t xml:space="preserve"> Part 20 of the Principal Regulations. </w:t>
      </w:r>
      <w:r w:rsidR="006A19E5">
        <w:t>The</w:t>
      </w:r>
      <w:r w:rsidRPr="00682866">
        <w:t xml:space="preserve"> note following regulation 4.18 is not correct </w:t>
      </w:r>
      <w:r w:rsidR="00880235">
        <w:t>nor is a note required</w:t>
      </w:r>
      <w:r w:rsidR="00824410">
        <w:t>. As a result, item [1] omit</w:t>
      </w:r>
      <w:r w:rsidR="00000FA9">
        <w:t>s</w:t>
      </w:r>
      <w:r w:rsidR="00824410">
        <w:t xml:space="preserve"> the note.</w:t>
      </w:r>
    </w:p>
    <w:p w:rsidR="003D074B" w:rsidRDefault="003D074B" w:rsidP="002E615F"/>
    <w:p w:rsidR="003D074B" w:rsidRPr="003D074B" w:rsidRDefault="003D074B" w:rsidP="002E615F">
      <w:pPr>
        <w:rPr>
          <w:b/>
        </w:rPr>
      </w:pPr>
      <w:r w:rsidRPr="003D074B">
        <w:rPr>
          <w:b/>
        </w:rPr>
        <w:t>Item [2]</w:t>
      </w:r>
      <w:r w:rsidRPr="003D074B">
        <w:rPr>
          <w:b/>
        </w:rPr>
        <w:tab/>
        <w:t>Subregulation 4.22A(5)</w:t>
      </w:r>
    </w:p>
    <w:p w:rsidR="008A2C83" w:rsidRDefault="008A2C83" w:rsidP="002E615F">
      <w:r>
        <w:t>R</w:t>
      </w:r>
      <w:r w:rsidR="003D074B">
        <w:t>egulation 4.22A</w:t>
      </w:r>
      <w:r w:rsidR="00824410">
        <w:t xml:space="preserve"> </w:t>
      </w:r>
      <w:r w:rsidR="00880235">
        <w:t xml:space="preserve">of the Principal Regulations </w:t>
      </w:r>
      <w:r w:rsidR="00BC4F60">
        <w:t xml:space="preserve">deals with employers’ duties in relation to protective structures and restraining devices </w:t>
      </w:r>
      <w:r w:rsidR="00750FF8">
        <w:t>fitted to powered mobile plant</w:t>
      </w:r>
      <w:r>
        <w:t>.</w:t>
      </w:r>
      <w:r w:rsidR="000505BF">
        <w:t xml:space="preserve"> </w:t>
      </w:r>
      <w:r w:rsidR="00750FF8">
        <w:t xml:space="preserve">These duties may include </w:t>
      </w:r>
      <w:r w:rsidR="006A19E5">
        <w:t>a</w:t>
      </w:r>
      <w:r w:rsidR="00750FF8">
        <w:t xml:space="preserve"> requirement that protective structures comply with </w:t>
      </w:r>
      <w:r w:rsidR="00263432">
        <w:t xml:space="preserve">specified Australian Standards - </w:t>
      </w:r>
      <w:r w:rsidR="00750FF8">
        <w:t>AS 1636 or AS 2294</w:t>
      </w:r>
      <w:r>
        <w:t>.</w:t>
      </w:r>
      <w:r w:rsidR="003D074B">
        <w:t xml:space="preserve"> </w:t>
      </w:r>
    </w:p>
    <w:p w:rsidR="008A2C83" w:rsidRDefault="008A2C83" w:rsidP="002E615F"/>
    <w:p w:rsidR="003D074B" w:rsidRPr="00682866" w:rsidRDefault="00880235" w:rsidP="002E615F">
      <w:r>
        <w:t>Subr</w:t>
      </w:r>
      <w:r w:rsidR="000505BF">
        <w:t>egulation 4.22A</w:t>
      </w:r>
      <w:r>
        <w:t>(5)</w:t>
      </w:r>
      <w:r w:rsidR="003D074B">
        <w:t xml:space="preserve"> </w:t>
      </w:r>
      <w:r w:rsidR="00750FF8">
        <w:t>currently defines AS 2294 with reference to Parts 1-4 of that Standard.</w:t>
      </w:r>
      <w:r w:rsidR="003D074B">
        <w:t xml:space="preserve"> </w:t>
      </w:r>
      <w:r w:rsidR="00056EA3">
        <w:t xml:space="preserve">However, </w:t>
      </w:r>
      <w:r w:rsidR="003D074B">
        <w:t>Parts 2-4 have been withdrawn by Standards Australia. As a result, item [2] remove</w:t>
      </w:r>
      <w:r w:rsidR="00000FA9">
        <w:t>s</w:t>
      </w:r>
      <w:r w:rsidR="003D074B">
        <w:t xml:space="preserve"> the references to Parts 2-4</w:t>
      </w:r>
      <w:r w:rsidR="00056EA3">
        <w:t xml:space="preserve"> of AS 2294</w:t>
      </w:r>
      <w:r w:rsidR="003D074B">
        <w:t>.</w:t>
      </w:r>
    </w:p>
    <w:p w:rsidR="00682866" w:rsidRPr="00682866" w:rsidRDefault="00682866" w:rsidP="002E615F"/>
    <w:p w:rsidR="005070E5" w:rsidRPr="00D24AAD" w:rsidRDefault="003D074B" w:rsidP="002E615F">
      <w:pPr>
        <w:rPr>
          <w:b/>
        </w:rPr>
      </w:pPr>
      <w:r>
        <w:rPr>
          <w:b/>
        </w:rPr>
        <w:t>Item [3]</w:t>
      </w:r>
      <w:r>
        <w:rPr>
          <w:b/>
        </w:rPr>
        <w:tab/>
      </w:r>
      <w:r w:rsidR="005070E5" w:rsidRPr="00D24AAD">
        <w:rPr>
          <w:b/>
        </w:rPr>
        <w:t>Paragraph 6.02(2)(a)</w:t>
      </w:r>
    </w:p>
    <w:p w:rsidR="00717D82" w:rsidRDefault="00C131AA" w:rsidP="002E615F">
      <w:r>
        <w:t xml:space="preserve">At present, the definition of ‘prescribed substance’ in paragraph 6.02(2)(a) </w:t>
      </w:r>
      <w:r w:rsidR="00824410">
        <w:t>refers to</w:t>
      </w:r>
      <w:r w:rsidR="00880235">
        <w:t xml:space="preserve"> that term as defined in </w:t>
      </w:r>
      <w:r>
        <w:t xml:space="preserve">the </w:t>
      </w:r>
      <w:r w:rsidR="00C00204" w:rsidRPr="00B33AE7">
        <w:rPr>
          <w:i/>
        </w:rPr>
        <w:t>Environment Protection (Nuclear Codes) Act 1978</w:t>
      </w:r>
      <w:r w:rsidR="00E84A22">
        <w:t xml:space="preserve">, which </w:t>
      </w:r>
      <w:r w:rsidR="00717D82">
        <w:t>has been repealed.</w:t>
      </w:r>
    </w:p>
    <w:p w:rsidR="00717D82" w:rsidRDefault="00717D82" w:rsidP="002E615F"/>
    <w:p w:rsidR="00C00204" w:rsidRDefault="00717D82" w:rsidP="002E615F">
      <w:r>
        <w:t>Item [3</w:t>
      </w:r>
      <w:r w:rsidR="00C131AA">
        <w:t xml:space="preserve">] </w:t>
      </w:r>
      <w:r w:rsidR="003D074B">
        <w:t>define</w:t>
      </w:r>
      <w:r w:rsidR="00000FA9">
        <w:t>s</w:t>
      </w:r>
      <w:r w:rsidR="00C131AA">
        <w:t xml:space="preserve"> ‘prescribed substance’ with reference to </w:t>
      </w:r>
      <w:r w:rsidR="00880235">
        <w:t>the definition</w:t>
      </w:r>
      <w:r w:rsidR="00C131AA">
        <w:t xml:space="preserve"> in</w:t>
      </w:r>
      <w:r w:rsidR="00EA349B">
        <w:t xml:space="preserve"> </w:t>
      </w:r>
      <w:r w:rsidR="00263432">
        <w:t xml:space="preserve">the </w:t>
      </w:r>
      <w:r w:rsidR="00D55298">
        <w:br/>
      </w:r>
      <w:r w:rsidR="00EA349B" w:rsidRPr="00B33AE7">
        <w:rPr>
          <w:i/>
        </w:rPr>
        <w:t>Atomic Energy Act 1953</w:t>
      </w:r>
      <w:r w:rsidR="00EA349B">
        <w:t>.</w:t>
      </w:r>
      <w:r w:rsidR="00C131AA">
        <w:t xml:space="preserve"> The definition </w:t>
      </w:r>
      <w:r>
        <w:t xml:space="preserve">in the Atomic Energy Act </w:t>
      </w:r>
      <w:r w:rsidR="00C131AA">
        <w:t xml:space="preserve">is the same as that </w:t>
      </w:r>
      <w:r w:rsidR="00D5669D">
        <w:t>contained in the repealed Environment Protection (Nuclear Codes) Act.</w:t>
      </w:r>
    </w:p>
    <w:p w:rsidR="005070E5" w:rsidRDefault="00DF3103" w:rsidP="002E615F">
      <w:r>
        <w:br w:type="page"/>
      </w:r>
    </w:p>
    <w:p w:rsidR="005070E5" w:rsidRDefault="003D074B" w:rsidP="000E4B15">
      <w:pPr>
        <w:ind w:left="1440" w:hanging="1440"/>
        <w:rPr>
          <w:b/>
        </w:rPr>
      </w:pPr>
      <w:r>
        <w:rPr>
          <w:b/>
        </w:rPr>
        <w:t>Item [4</w:t>
      </w:r>
      <w:r w:rsidR="005070E5" w:rsidRPr="00D24AAD">
        <w:rPr>
          <w:b/>
        </w:rPr>
        <w:t>]</w:t>
      </w:r>
      <w:r w:rsidR="005070E5" w:rsidRPr="00D24AAD">
        <w:rPr>
          <w:b/>
        </w:rPr>
        <w:tab/>
        <w:t xml:space="preserve">Regulation 6.03, definition of </w:t>
      </w:r>
      <w:r w:rsidR="005070E5" w:rsidRPr="00D24AAD">
        <w:rPr>
          <w:b/>
          <w:i/>
        </w:rPr>
        <w:t>hazardous substance</w:t>
      </w:r>
      <w:r w:rsidR="00A71BF7">
        <w:rPr>
          <w:b/>
        </w:rPr>
        <w:t xml:space="preserve">, paragraph (a) including the </w:t>
      </w:r>
      <w:r w:rsidR="005070E5" w:rsidRPr="00D24AAD">
        <w:rPr>
          <w:b/>
        </w:rPr>
        <w:t>note</w:t>
      </w:r>
    </w:p>
    <w:p w:rsidR="003D074B" w:rsidRPr="00717D82" w:rsidRDefault="00717D82" w:rsidP="002E615F">
      <w:r>
        <w:t xml:space="preserve">The </w:t>
      </w:r>
      <w:r w:rsidR="00263432">
        <w:t>Hazardous Substances Information System (</w:t>
      </w:r>
      <w:r>
        <w:t>HSIS</w:t>
      </w:r>
      <w:r w:rsidR="00263432">
        <w:t>)</w:t>
      </w:r>
      <w:r>
        <w:t xml:space="preserve"> is a searchable online resource that provides information about substances that have been classified in accordance with the </w:t>
      </w:r>
      <w:r>
        <w:rPr>
          <w:rStyle w:val="Emphasis"/>
        </w:rPr>
        <w:t>Approved Criteria for Classifying Hazardous Substances</w:t>
      </w:r>
      <w:r>
        <w:t xml:space="preserve"> [NOHSC:1008(2004] </w:t>
      </w:r>
      <w:r>
        <w:rPr>
          <w:rStyle w:val="Emphasis"/>
        </w:rPr>
        <w:t>3rd Edition</w:t>
      </w:r>
      <w:r>
        <w:t xml:space="preserve"> and/or have National Exposure Standards declared under the NOHSC </w:t>
      </w:r>
      <w:r>
        <w:rPr>
          <w:rStyle w:val="Emphasis"/>
        </w:rPr>
        <w:t>Adopted National Exposure Standards for Atmospheric Contaminants in the Occupational Environment</w:t>
      </w:r>
      <w:r>
        <w:t xml:space="preserve"> [NOHSC:1003(1995)]. In addition to its search features, </w:t>
      </w:r>
      <w:r w:rsidR="00880235">
        <w:t xml:space="preserve">the </w:t>
      </w:r>
      <w:r>
        <w:t>HSIS also provides direct access to a consolidated list of all the classified substances contained in the HSIS database.</w:t>
      </w:r>
    </w:p>
    <w:p w:rsidR="00A71BF7" w:rsidRDefault="00A71BF7" w:rsidP="002E615F">
      <w:pPr>
        <w:rPr>
          <w:b/>
        </w:rPr>
      </w:pPr>
    </w:p>
    <w:p w:rsidR="006C6358" w:rsidRDefault="00A71BF7" w:rsidP="00A71BF7">
      <w:r>
        <w:t xml:space="preserve">The current ‘as in force’ date for the HSIS is 10 March 2005, the date when </w:t>
      </w:r>
      <w:r w:rsidR="006C6358">
        <w:t>relevant</w:t>
      </w:r>
      <w:r>
        <w:t xml:space="preserve"> amendments to regulation 6.03 were made</w:t>
      </w:r>
      <w:r w:rsidR="006C6358">
        <w:t xml:space="preserve"> by the </w:t>
      </w:r>
      <w:r w:rsidR="006C6358" w:rsidRPr="0084156B">
        <w:rPr>
          <w:i/>
        </w:rPr>
        <w:t>Occupational Health and Safety (Commonwealth Employment) (National Standards) Amendment Regulations 2005 (No. 1)</w:t>
      </w:r>
      <w:r>
        <w:t>.</w:t>
      </w:r>
      <w:r w:rsidR="006C6358">
        <w:t xml:space="preserve"> A specific ‘as in force’ date is used because section 14 of the </w:t>
      </w:r>
      <w:r w:rsidR="006463BD">
        <w:br/>
      </w:r>
      <w:r w:rsidR="006C6358" w:rsidRPr="00F014C6">
        <w:rPr>
          <w:i/>
        </w:rPr>
        <w:t>Legislative Instruments Act 2003</w:t>
      </w:r>
      <w:r w:rsidR="006C6358">
        <w:t xml:space="preserve"> prevents reference</w:t>
      </w:r>
      <w:r w:rsidR="00880235">
        <w:t>s</w:t>
      </w:r>
      <w:r w:rsidR="006C6358">
        <w:t xml:space="preserve"> being made to instruments</w:t>
      </w:r>
      <w:r w:rsidR="00880235">
        <w:t>,</w:t>
      </w:r>
      <w:r w:rsidR="006C6358">
        <w:t xml:space="preserve"> like the HSIS</w:t>
      </w:r>
      <w:r w:rsidR="00880235">
        <w:t>,</w:t>
      </w:r>
      <w:r w:rsidR="006C6358">
        <w:t xml:space="preserve"> as in force </w:t>
      </w:r>
      <w:r w:rsidR="00880235">
        <w:t>‘</w:t>
      </w:r>
      <w:r w:rsidR="006C6358">
        <w:t>from time to time</w:t>
      </w:r>
      <w:r w:rsidR="00880235">
        <w:t>’</w:t>
      </w:r>
      <w:r w:rsidR="006C6358">
        <w:t>.</w:t>
      </w:r>
    </w:p>
    <w:p w:rsidR="006C6358" w:rsidRDefault="006C6358" w:rsidP="00A71BF7"/>
    <w:p w:rsidR="00000E35" w:rsidRDefault="00F014C6" w:rsidP="00A71BF7">
      <w:r>
        <w:t>The</w:t>
      </w:r>
      <w:r w:rsidR="00A71BF7">
        <w:t xml:space="preserve"> HSIS has been updated on a number of occasions</w:t>
      </w:r>
      <w:r>
        <w:t xml:space="preserve"> since 2005</w:t>
      </w:r>
      <w:r w:rsidR="00A71BF7">
        <w:t xml:space="preserve">. The amendment </w:t>
      </w:r>
      <w:r w:rsidR="00263432">
        <w:t>make</w:t>
      </w:r>
      <w:r w:rsidR="00000FA9">
        <w:t>s</w:t>
      </w:r>
      <w:r w:rsidR="00717D82" w:rsidRPr="00717D82">
        <w:t xml:space="preserve"> </w:t>
      </w:r>
      <w:r w:rsidR="00974A21">
        <w:t>23 November</w:t>
      </w:r>
      <w:r w:rsidR="00263432">
        <w:t xml:space="preserve"> </w:t>
      </w:r>
      <w:r w:rsidR="00974A21">
        <w:t>2010</w:t>
      </w:r>
      <w:r w:rsidR="00263432">
        <w:t xml:space="preserve"> </w:t>
      </w:r>
      <w:r w:rsidR="00717D82" w:rsidRPr="00717D82">
        <w:t xml:space="preserve">the ‘as in force’ date for the </w:t>
      </w:r>
      <w:r>
        <w:t>HSIS</w:t>
      </w:r>
      <w:r w:rsidR="00717D82" w:rsidRPr="00717D82">
        <w:t xml:space="preserve">. </w:t>
      </w:r>
      <w:r w:rsidR="00263432">
        <w:t>This date</w:t>
      </w:r>
      <w:r>
        <w:t xml:space="preserve"> corresponds to a</w:t>
      </w:r>
      <w:r w:rsidR="00521DE9">
        <w:t xml:space="preserve"> recent update</w:t>
      </w:r>
      <w:r w:rsidR="00263432">
        <w:t xml:space="preserve"> of the HSIS</w:t>
      </w:r>
      <w:r w:rsidR="00521DE9">
        <w:t>.</w:t>
      </w:r>
    </w:p>
    <w:p w:rsidR="00717D82" w:rsidRDefault="00717D82" w:rsidP="00A71BF7"/>
    <w:p w:rsidR="005070E5" w:rsidRDefault="003D074B" w:rsidP="002E615F">
      <w:r>
        <w:t xml:space="preserve">This </w:t>
      </w:r>
      <w:r w:rsidR="005070E5">
        <w:t xml:space="preserve">item </w:t>
      </w:r>
      <w:r>
        <w:t xml:space="preserve">also </w:t>
      </w:r>
      <w:r w:rsidR="005070E5">
        <w:t>replace</w:t>
      </w:r>
      <w:r w:rsidR="00000FA9">
        <w:t>s</w:t>
      </w:r>
      <w:r w:rsidR="005070E5">
        <w:t xml:space="preserve"> </w:t>
      </w:r>
      <w:r w:rsidR="0066069A">
        <w:t>the</w:t>
      </w:r>
      <w:r w:rsidR="005070E5">
        <w:t xml:space="preserve"> existing note</w:t>
      </w:r>
      <w:r w:rsidR="00F014C6">
        <w:t xml:space="preserve"> following paragraph (a) of the definition of ‘hazardous substance’</w:t>
      </w:r>
      <w:r w:rsidR="003A7A7B">
        <w:t xml:space="preserve">. </w:t>
      </w:r>
      <w:r w:rsidR="00F014C6">
        <w:t>The existing</w:t>
      </w:r>
      <w:r w:rsidR="003A7A7B">
        <w:t xml:space="preserve"> note </w:t>
      </w:r>
      <w:r w:rsidR="005070E5">
        <w:t xml:space="preserve">refers to </w:t>
      </w:r>
      <w:r w:rsidR="0065210F">
        <w:t xml:space="preserve">an outdated website address for the </w:t>
      </w:r>
      <w:r w:rsidR="00A71BF7">
        <w:t>HSIS</w:t>
      </w:r>
      <w:r w:rsidR="003A7A7B">
        <w:t>. The new note refer</w:t>
      </w:r>
      <w:r w:rsidR="00000FA9">
        <w:t>s</w:t>
      </w:r>
      <w:r w:rsidR="003A7A7B">
        <w:t xml:space="preserve"> to the Safe Work Australia website, which now provides the online access point for the HSIS</w:t>
      </w:r>
      <w:r w:rsidR="00312C7E">
        <w:t>.</w:t>
      </w:r>
      <w:r w:rsidR="00A71BF7">
        <w:t xml:space="preserve"> </w:t>
      </w:r>
    </w:p>
    <w:p w:rsidR="00A71BF7" w:rsidRDefault="00A71BF7" w:rsidP="002E615F"/>
    <w:p w:rsidR="005070E5" w:rsidRPr="00D24AAD" w:rsidRDefault="00A71BF7" w:rsidP="002E615F">
      <w:pPr>
        <w:rPr>
          <w:b/>
        </w:rPr>
      </w:pPr>
      <w:r>
        <w:rPr>
          <w:b/>
        </w:rPr>
        <w:t>Item [5</w:t>
      </w:r>
      <w:r w:rsidR="005070E5" w:rsidRPr="00D24AAD">
        <w:rPr>
          <w:b/>
        </w:rPr>
        <w:t>]</w:t>
      </w:r>
      <w:r w:rsidR="005070E5" w:rsidRPr="00D24AAD">
        <w:rPr>
          <w:b/>
        </w:rPr>
        <w:tab/>
        <w:t xml:space="preserve">Regulation 6.03, definition of </w:t>
      </w:r>
      <w:r w:rsidR="005070E5" w:rsidRPr="00D24AAD">
        <w:rPr>
          <w:b/>
          <w:i/>
        </w:rPr>
        <w:t>substance name</w:t>
      </w:r>
      <w:r w:rsidR="005070E5" w:rsidRPr="00D24AAD">
        <w:rPr>
          <w:b/>
        </w:rPr>
        <w:t>, paragraph (b)</w:t>
      </w:r>
    </w:p>
    <w:p w:rsidR="000D7862" w:rsidRDefault="005B1FB2" w:rsidP="00C131AA">
      <w:pPr>
        <w:autoSpaceDE w:val="0"/>
        <w:autoSpaceDN w:val="0"/>
        <w:adjustRightInd w:val="0"/>
      </w:pPr>
      <w:r>
        <w:t xml:space="preserve">The </w:t>
      </w:r>
      <w:r w:rsidR="00312C7E">
        <w:t xml:space="preserve">National Drugs and Poisons Schedule </w:t>
      </w:r>
      <w:r>
        <w:t>Committee</w:t>
      </w:r>
      <w:r w:rsidR="00F014C6">
        <w:t>, not the National Health and Medical Research Council,</w:t>
      </w:r>
      <w:r>
        <w:t xml:space="preserve"> is currently the publisher of the </w:t>
      </w:r>
      <w:r w:rsidR="00C131AA">
        <w:t>Standard for the Uniform Scheduling of Drugs and Poisons.</w:t>
      </w:r>
    </w:p>
    <w:p w:rsidR="000D7862" w:rsidRDefault="000D7862" w:rsidP="00C131AA">
      <w:pPr>
        <w:autoSpaceDE w:val="0"/>
        <w:autoSpaceDN w:val="0"/>
        <w:adjustRightInd w:val="0"/>
      </w:pPr>
    </w:p>
    <w:p w:rsidR="005070E5" w:rsidRDefault="002B7838" w:rsidP="00C131AA">
      <w:pPr>
        <w:autoSpaceDE w:val="0"/>
        <w:autoSpaceDN w:val="0"/>
        <w:adjustRightInd w:val="0"/>
      </w:pPr>
      <w:r>
        <w:t>I</w:t>
      </w:r>
      <w:r w:rsidR="00F014C6">
        <w:t>tem [5] replace</w:t>
      </w:r>
      <w:r w:rsidR="00000FA9">
        <w:t>s</w:t>
      </w:r>
      <w:r w:rsidR="00F014C6">
        <w:t xml:space="preserve"> a reference to the latter</w:t>
      </w:r>
      <w:r w:rsidR="00263432">
        <w:t xml:space="preserve"> with a reference to the former in paragraph (b) of the definition of ‘substance name’.</w:t>
      </w:r>
    </w:p>
    <w:p w:rsidR="005B1FB2" w:rsidRDefault="005B1FB2" w:rsidP="002E615F"/>
    <w:p w:rsidR="005B1FB2" w:rsidRDefault="00000E35" w:rsidP="002E615F">
      <w:pPr>
        <w:rPr>
          <w:b/>
        </w:rPr>
      </w:pPr>
      <w:r>
        <w:rPr>
          <w:b/>
        </w:rPr>
        <w:t>Item [6</w:t>
      </w:r>
      <w:r w:rsidR="00846FBD" w:rsidRPr="00D24AAD">
        <w:rPr>
          <w:b/>
        </w:rPr>
        <w:t>]</w:t>
      </w:r>
      <w:r w:rsidR="00846FBD" w:rsidRPr="00D24AAD">
        <w:rPr>
          <w:b/>
        </w:rPr>
        <w:tab/>
        <w:t xml:space="preserve">Paragraph 6.04(1)(a), </w:t>
      </w:r>
      <w:r>
        <w:rPr>
          <w:b/>
        </w:rPr>
        <w:t xml:space="preserve">including the </w:t>
      </w:r>
      <w:r w:rsidR="00846FBD" w:rsidRPr="00D24AAD">
        <w:rPr>
          <w:b/>
        </w:rPr>
        <w:t>note</w:t>
      </w:r>
    </w:p>
    <w:p w:rsidR="00000E35" w:rsidRDefault="00000E35" w:rsidP="00000E35">
      <w:r w:rsidRPr="00000E35">
        <w:t>This amendment update</w:t>
      </w:r>
      <w:r w:rsidR="00000FA9">
        <w:t>s</w:t>
      </w:r>
      <w:r w:rsidRPr="00000E35">
        <w:t xml:space="preserve"> the ‘as in force’ date for the </w:t>
      </w:r>
      <w:r w:rsidR="00521DE9">
        <w:t>HSIS</w:t>
      </w:r>
      <w:r w:rsidR="006C6358">
        <w:t xml:space="preserve"> to </w:t>
      </w:r>
      <w:r w:rsidR="00974A21">
        <w:t>23 November</w:t>
      </w:r>
      <w:r w:rsidR="006C6358">
        <w:t xml:space="preserve"> 2010.</w:t>
      </w:r>
    </w:p>
    <w:p w:rsidR="00000E35" w:rsidRDefault="00000E35" w:rsidP="00000E35"/>
    <w:p w:rsidR="00DE3071" w:rsidRDefault="002B7838" w:rsidP="002E615F">
      <w:r>
        <w:t>I</w:t>
      </w:r>
      <w:r w:rsidR="00FA7607" w:rsidRPr="00FA7607">
        <w:t>tem</w:t>
      </w:r>
      <w:r w:rsidR="00DF3103">
        <w:t xml:space="preserve"> [6]</w:t>
      </w:r>
      <w:r w:rsidR="00FA7607" w:rsidRPr="00FA7607">
        <w:t xml:space="preserve"> replace</w:t>
      </w:r>
      <w:r w:rsidR="00000FA9">
        <w:t>s</w:t>
      </w:r>
      <w:r w:rsidR="00FA7607" w:rsidRPr="00FA7607">
        <w:t xml:space="preserve"> </w:t>
      </w:r>
      <w:r w:rsidR="00FA7607">
        <w:t>the</w:t>
      </w:r>
      <w:r w:rsidR="00FA7607" w:rsidRPr="00FA7607">
        <w:t xml:space="preserve"> existing note</w:t>
      </w:r>
      <w:r w:rsidR="00FA7607">
        <w:t xml:space="preserve"> that follows paragraph 6.04(1)(a) of the Principal Regulations. That note</w:t>
      </w:r>
      <w:r w:rsidR="00FA7607" w:rsidRPr="00FA7607">
        <w:t xml:space="preserve"> refers to an outdated website address for the HSIS</w:t>
      </w:r>
      <w:r w:rsidR="00FA7607">
        <w:t xml:space="preserve">. The new note </w:t>
      </w:r>
      <w:r w:rsidR="003A7A7B">
        <w:t>refer</w:t>
      </w:r>
      <w:r w:rsidR="00000FA9">
        <w:t>s</w:t>
      </w:r>
      <w:r w:rsidR="003A7A7B">
        <w:t xml:space="preserve"> to the Safe Work Australia website, which now provides the online access point for</w:t>
      </w:r>
      <w:r w:rsidR="00FA7607" w:rsidRPr="00FA7607">
        <w:t xml:space="preserve"> the HSIS.</w:t>
      </w:r>
    </w:p>
    <w:p w:rsidR="00000E35" w:rsidRDefault="00000E35" w:rsidP="002E615F"/>
    <w:p w:rsidR="00521DE9" w:rsidRDefault="00000E35" w:rsidP="002E615F">
      <w:pPr>
        <w:rPr>
          <w:b/>
        </w:rPr>
      </w:pPr>
      <w:r w:rsidRPr="00EA088F">
        <w:rPr>
          <w:b/>
        </w:rPr>
        <w:t>Item [7]</w:t>
      </w:r>
      <w:r w:rsidR="00521DE9">
        <w:rPr>
          <w:b/>
        </w:rPr>
        <w:tab/>
        <w:t>Paragraph 6.04(1)(b)</w:t>
      </w:r>
      <w:r w:rsidRPr="00EA088F">
        <w:rPr>
          <w:b/>
        </w:rPr>
        <w:tab/>
      </w:r>
    </w:p>
    <w:p w:rsidR="00521DE9" w:rsidRPr="00521DE9" w:rsidRDefault="00521DE9" w:rsidP="002E615F">
      <w:r w:rsidRPr="00521DE9">
        <w:t xml:space="preserve">Item [7]  replaces an outdated reference to </w:t>
      </w:r>
      <w:r w:rsidR="00263432">
        <w:t>a</w:t>
      </w:r>
      <w:r w:rsidRPr="00521DE9">
        <w:t xml:space="preserve"> </w:t>
      </w:r>
      <w:r w:rsidR="00F014C6">
        <w:t>‘</w:t>
      </w:r>
      <w:r w:rsidRPr="00521DE9">
        <w:t>List</w:t>
      </w:r>
      <w:r w:rsidR="00F014C6">
        <w:t>’</w:t>
      </w:r>
      <w:r w:rsidRPr="00521DE9">
        <w:t xml:space="preserve"> with </w:t>
      </w:r>
      <w:r w:rsidR="00F014C6">
        <w:t>a reference to</w:t>
      </w:r>
      <w:r w:rsidRPr="00521DE9">
        <w:t xml:space="preserve"> the HSIS.</w:t>
      </w:r>
      <w:r w:rsidR="00263432">
        <w:t xml:space="preserve"> The ‘List’ was the List of Designated Hazardous Substances, which </w:t>
      </w:r>
      <w:r w:rsidR="008866C1">
        <w:t>has been</w:t>
      </w:r>
      <w:r w:rsidR="00263432">
        <w:t xml:space="preserve"> replaced by the HSIS as the source of information about hazardous substances for employers and employees.</w:t>
      </w:r>
    </w:p>
    <w:p w:rsidR="00521DE9" w:rsidRDefault="00521DE9" w:rsidP="002E615F">
      <w:pPr>
        <w:rPr>
          <w:b/>
        </w:rPr>
      </w:pPr>
    </w:p>
    <w:p w:rsidR="00000E35" w:rsidRPr="00EA088F" w:rsidRDefault="00521DE9" w:rsidP="002E615F">
      <w:pPr>
        <w:rPr>
          <w:b/>
        </w:rPr>
      </w:pPr>
      <w:r>
        <w:rPr>
          <w:b/>
        </w:rPr>
        <w:t>Item [8]</w:t>
      </w:r>
      <w:r>
        <w:rPr>
          <w:b/>
        </w:rPr>
        <w:tab/>
      </w:r>
      <w:r w:rsidR="00000E35" w:rsidRPr="00EA088F">
        <w:rPr>
          <w:b/>
        </w:rPr>
        <w:t>Subregulation 6.04(1A)</w:t>
      </w:r>
    </w:p>
    <w:p w:rsidR="00000E35" w:rsidRPr="00FA7607" w:rsidRDefault="00521DE9" w:rsidP="002E615F">
      <w:r>
        <w:t xml:space="preserve">Like the amendments </w:t>
      </w:r>
      <w:r w:rsidR="002B7838">
        <w:t xml:space="preserve">contained in </w:t>
      </w:r>
      <w:r>
        <w:t>items [4] and [6],</w:t>
      </w:r>
      <w:r w:rsidR="00EA088F">
        <w:t xml:space="preserve"> item [7] change</w:t>
      </w:r>
      <w:r w:rsidR="00000FA9">
        <w:t>s</w:t>
      </w:r>
      <w:r w:rsidR="00EA088F">
        <w:t xml:space="preserve"> the ‘as in force’ date for the HSIS in subregulation 6.04(1A) of the Principal Regulations from </w:t>
      </w:r>
      <w:r w:rsidR="006463BD">
        <w:br/>
      </w:r>
      <w:r w:rsidR="00EA088F">
        <w:t xml:space="preserve">10 March 2005 to </w:t>
      </w:r>
      <w:r w:rsidR="00974A21">
        <w:t>23 November</w:t>
      </w:r>
      <w:r>
        <w:t xml:space="preserve"> 2010.</w:t>
      </w:r>
    </w:p>
    <w:p w:rsidR="00FA7607" w:rsidRDefault="00FA7607" w:rsidP="002E615F">
      <w:pPr>
        <w:rPr>
          <w:b/>
        </w:rPr>
      </w:pPr>
    </w:p>
    <w:p w:rsidR="003E30F1" w:rsidRPr="00D24AAD" w:rsidRDefault="00521DE9" w:rsidP="002E615F">
      <w:pPr>
        <w:rPr>
          <w:b/>
        </w:rPr>
      </w:pPr>
      <w:r>
        <w:rPr>
          <w:b/>
        </w:rPr>
        <w:t>Item [9</w:t>
      </w:r>
      <w:r w:rsidR="003E30F1" w:rsidRPr="00D24AAD">
        <w:rPr>
          <w:b/>
        </w:rPr>
        <w:t>]</w:t>
      </w:r>
      <w:r w:rsidR="003E30F1" w:rsidRPr="00D24AAD">
        <w:rPr>
          <w:b/>
        </w:rPr>
        <w:tab/>
        <w:t>Subparagraph 8.02A(3)(d)(i)</w:t>
      </w:r>
    </w:p>
    <w:p w:rsidR="003E30F1" w:rsidRDefault="002B7838" w:rsidP="002E615F">
      <w:r>
        <w:t>I</w:t>
      </w:r>
      <w:r w:rsidR="00F014C6">
        <w:t>tem [9</w:t>
      </w:r>
      <w:r w:rsidR="003E30F1">
        <w:t>] replace</w:t>
      </w:r>
      <w:r w:rsidR="00000FA9">
        <w:t>s</w:t>
      </w:r>
      <w:r w:rsidR="003E30F1">
        <w:t xml:space="preserve"> </w:t>
      </w:r>
      <w:r w:rsidR="00FA7607">
        <w:t>a</w:t>
      </w:r>
      <w:r w:rsidR="003E30F1">
        <w:t xml:space="preserve"> reference to</w:t>
      </w:r>
      <w:r w:rsidR="003A7A7B">
        <w:t xml:space="preserve"> </w:t>
      </w:r>
      <w:r w:rsidR="00521DE9">
        <w:t xml:space="preserve">the second edition of the AE Code </w:t>
      </w:r>
      <w:r w:rsidR="003E30F1">
        <w:t>with a reference</w:t>
      </w:r>
      <w:r w:rsidR="00F014C6">
        <w:t xml:space="preserve"> to</w:t>
      </w:r>
      <w:r w:rsidR="003E30F1">
        <w:t xml:space="preserve"> </w:t>
      </w:r>
      <w:r w:rsidR="00521DE9">
        <w:t xml:space="preserve">‘the AE Code’. </w:t>
      </w:r>
      <w:r>
        <w:t xml:space="preserve">This </w:t>
      </w:r>
      <w:r w:rsidR="00521DE9">
        <w:t xml:space="preserve"> term will be defined in</w:t>
      </w:r>
      <w:r>
        <w:t xml:space="preserve"> </w:t>
      </w:r>
      <w:r w:rsidR="00521DE9">
        <w:t xml:space="preserve">Part 20 as the third edition of </w:t>
      </w:r>
      <w:r w:rsidR="00263432">
        <w:t>that</w:t>
      </w:r>
      <w:r w:rsidR="00521DE9">
        <w:t xml:space="preserve"> Code</w:t>
      </w:r>
      <w:r w:rsidR="00263432">
        <w:t xml:space="preserve"> (see item [39]).</w:t>
      </w:r>
    </w:p>
    <w:p w:rsidR="003E30F1" w:rsidRDefault="003E30F1" w:rsidP="002E615F"/>
    <w:p w:rsidR="00EA088F" w:rsidRDefault="00521DE9" w:rsidP="002E615F">
      <w:pPr>
        <w:rPr>
          <w:b/>
        </w:rPr>
      </w:pPr>
      <w:r>
        <w:rPr>
          <w:b/>
        </w:rPr>
        <w:t>Item [10</w:t>
      </w:r>
      <w:r w:rsidR="003E30F1" w:rsidRPr="00D24AAD">
        <w:rPr>
          <w:b/>
        </w:rPr>
        <w:t>]</w:t>
      </w:r>
      <w:r w:rsidR="003E30F1" w:rsidRPr="00D24AAD">
        <w:rPr>
          <w:b/>
        </w:rPr>
        <w:tab/>
      </w:r>
      <w:r w:rsidR="00EA088F">
        <w:rPr>
          <w:b/>
        </w:rPr>
        <w:t xml:space="preserve">Subregulation 8.04(1), definition of </w:t>
      </w:r>
      <w:r w:rsidR="00EA088F" w:rsidRPr="00EA088F">
        <w:rPr>
          <w:b/>
          <w:i/>
        </w:rPr>
        <w:t>Class label</w:t>
      </w:r>
    </w:p>
    <w:p w:rsidR="00EA088F" w:rsidRPr="00EA088F" w:rsidRDefault="00EA088F" w:rsidP="002E615F">
      <w:r w:rsidRPr="00EA088F">
        <w:t xml:space="preserve">This item </w:t>
      </w:r>
      <w:r w:rsidR="00D73F41">
        <w:t>replace</w:t>
      </w:r>
      <w:r w:rsidR="00000FA9">
        <w:t>s</w:t>
      </w:r>
      <w:r w:rsidR="00D73F41">
        <w:t xml:space="preserve"> a reference relating to the sixth edition of the ADG Code w</w:t>
      </w:r>
      <w:r w:rsidR="00401352">
        <w:t xml:space="preserve">ith a reference to the relevant provision in </w:t>
      </w:r>
      <w:r w:rsidR="00D73F41">
        <w:t>the seventh edition of that Code.</w:t>
      </w:r>
    </w:p>
    <w:p w:rsidR="00EA088F" w:rsidRDefault="00EA088F" w:rsidP="002E615F">
      <w:pPr>
        <w:rPr>
          <w:b/>
        </w:rPr>
      </w:pPr>
    </w:p>
    <w:p w:rsidR="00E660D2" w:rsidRDefault="00521DE9" w:rsidP="002E615F">
      <w:pPr>
        <w:rPr>
          <w:b/>
        </w:rPr>
      </w:pPr>
      <w:r>
        <w:rPr>
          <w:b/>
        </w:rPr>
        <w:t>Item [11</w:t>
      </w:r>
      <w:r w:rsidR="00EA088F">
        <w:rPr>
          <w:b/>
        </w:rPr>
        <w:t>]</w:t>
      </w:r>
      <w:r w:rsidR="00EA088F">
        <w:rPr>
          <w:b/>
        </w:rPr>
        <w:tab/>
      </w:r>
      <w:r w:rsidR="00E660D2">
        <w:rPr>
          <w:b/>
        </w:rPr>
        <w:t xml:space="preserve">Subregulation 8.04(1), definition of </w:t>
      </w:r>
      <w:r w:rsidR="00E660D2" w:rsidRPr="00E660D2">
        <w:rPr>
          <w:b/>
          <w:i/>
        </w:rPr>
        <w:t>Competent Authority</w:t>
      </w:r>
    </w:p>
    <w:p w:rsidR="00D73F41" w:rsidRDefault="00750FF8" w:rsidP="002E615F">
      <w:r>
        <w:t xml:space="preserve">Competent Authorities </w:t>
      </w:r>
      <w:r w:rsidR="001C5A6D">
        <w:t>presently operate</w:t>
      </w:r>
      <w:r>
        <w:t xml:space="preserve"> in each State, the </w:t>
      </w:r>
      <w:smartTag w:uri="urn:schemas-microsoft-com:office:smarttags" w:element="State">
        <w:smartTag w:uri="urn:schemas-microsoft-com:office:smarttags" w:element="place">
          <w:r>
            <w:t>Northern Territory</w:t>
          </w:r>
        </w:smartTag>
      </w:smartTag>
      <w:r w:rsidR="00D73F41">
        <w:t xml:space="preserve"> and the ACT. They </w:t>
      </w:r>
      <w:r>
        <w:t>enforce dangerous goods legislation</w:t>
      </w:r>
      <w:r w:rsidR="00D73F41">
        <w:t xml:space="preserve"> and, among other things, determine what is and what is not a dangerous good.</w:t>
      </w:r>
    </w:p>
    <w:p w:rsidR="00D73F41" w:rsidRDefault="00D73F41" w:rsidP="002E615F"/>
    <w:p w:rsidR="00750FF8" w:rsidRDefault="00750FF8" w:rsidP="002E615F">
      <w:r>
        <w:t>The Principal Regulations contain a number of referenc</w:t>
      </w:r>
      <w:r w:rsidR="00B43CCD">
        <w:t xml:space="preserve">es to Competent Authorities. For example, regulation 8.04(3) provides that </w:t>
      </w:r>
      <w:r w:rsidR="008866C1">
        <w:t>‘</w:t>
      </w:r>
      <w:r w:rsidR="00B43CCD">
        <w:t>dangerous goods</w:t>
      </w:r>
      <w:r w:rsidR="008866C1">
        <w:t>’</w:t>
      </w:r>
      <w:r w:rsidR="00B43CCD">
        <w:t xml:space="preserve"> include goods that are determined by a relevant Competent Authority to be dangerous goods.</w:t>
      </w:r>
      <w:r w:rsidR="00D73F41">
        <w:t xml:space="preserve"> Further, failure to placard correctly when a Competent Authority has determined that goods are too dangerous to be transported will be a breach of regulation 8.53. In these ways, determinations by Competent Authorities are given effect by the Principal Regulations.</w:t>
      </w:r>
    </w:p>
    <w:p w:rsidR="00750FF8" w:rsidRDefault="00750FF8" w:rsidP="002E615F"/>
    <w:p w:rsidR="00B43CCD" w:rsidRDefault="00B43CCD" w:rsidP="002E615F">
      <w:r>
        <w:t xml:space="preserve">The expression ‘Competent Authority’ is defined in subregulation 8.04(1) </w:t>
      </w:r>
      <w:r w:rsidR="00D73F41">
        <w:t>with</w:t>
      </w:r>
      <w:r>
        <w:t xml:space="preserve"> reference to </w:t>
      </w:r>
      <w:r w:rsidR="00D73F41">
        <w:t xml:space="preserve">the </w:t>
      </w:r>
      <w:r w:rsidR="001C5A6D">
        <w:t xml:space="preserve">Commonwealth, State and </w:t>
      </w:r>
      <w:smartTag w:uri="urn:schemas-microsoft-com:office:smarttags" w:element="State">
        <w:smartTag w:uri="urn:schemas-microsoft-com:office:smarttags" w:element="place">
          <w:r w:rsidR="001C5A6D">
            <w:t>Northern Territory</w:t>
          </w:r>
        </w:smartTag>
      </w:smartTag>
      <w:r w:rsidR="001C5A6D">
        <w:t xml:space="preserve"> </w:t>
      </w:r>
      <w:r>
        <w:t xml:space="preserve">legislation under which ‘Competent Authorities’ are constituted. </w:t>
      </w:r>
      <w:r w:rsidR="001C5A6D">
        <w:t>Some of these statutes have been repealed</w:t>
      </w:r>
      <w:r>
        <w:t>, some references to provisions need to be changed and ‘as in force’ dates need to be updated. Additionally, the ACT now has its own dangerous goods statute</w:t>
      </w:r>
      <w:r w:rsidR="00D73F41">
        <w:t>, which needs to be cited</w:t>
      </w:r>
      <w:r>
        <w:t>.</w:t>
      </w:r>
    </w:p>
    <w:p w:rsidR="00B43CCD" w:rsidRDefault="00B43CCD" w:rsidP="002E615F"/>
    <w:p w:rsidR="00E660D2" w:rsidRPr="00BA43F3" w:rsidRDefault="00E660D2" w:rsidP="002E615F">
      <w:r w:rsidRPr="00BA43F3">
        <w:t xml:space="preserve">The amendments </w:t>
      </w:r>
      <w:r w:rsidR="002B7838">
        <w:t>of</w:t>
      </w:r>
      <w:r w:rsidRPr="00BA43F3">
        <w:t xml:space="preserve"> the definition of </w:t>
      </w:r>
      <w:r w:rsidR="00BA43F3">
        <w:t>‘</w:t>
      </w:r>
      <w:r w:rsidRPr="00BA43F3">
        <w:t>Competent Authority</w:t>
      </w:r>
      <w:r w:rsidR="00BA43F3">
        <w:t>’</w:t>
      </w:r>
      <w:r w:rsidRPr="00BA43F3">
        <w:t xml:space="preserve"> </w:t>
      </w:r>
      <w:r w:rsidR="00B43CCD">
        <w:t>take account of these changes</w:t>
      </w:r>
      <w:r w:rsidR="00BA43F3">
        <w:t>.</w:t>
      </w:r>
    </w:p>
    <w:p w:rsidR="00E660D2" w:rsidRDefault="00E660D2" w:rsidP="002E615F">
      <w:pPr>
        <w:rPr>
          <w:b/>
        </w:rPr>
      </w:pPr>
    </w:p>
    <w:p w:rsidR="003E30F1" w:rsidRPr="00D24AAD" w:rsidRDefault="00676F64" w:rsidP="002E615F">
      <w:pPr>
        <w:rPr>
          <w:b/>
        </w:rPr>
      </w:pPr>
      <w:r>
        <w:rPr>
          <w:b/>
        </w:rPr>
        <w:t>Item [12]</w:t>
      </w:r>
      <w:r>
        <w:rPr>
          <w:b/>
        </w:rPr>
        <w:tab/>
      </w:r>
      <w:r w:rsidR="003E30F1" w:rsidRPr="00D24AAD">
        <w:rPr>
          <w:b/>
        </w:rPr>
        <w:t xml:space="preserve">Subregulation 8.04(1), definition of </w:t>
      </w:r>
      <w:r w:rsidR="003E30F1" w:rsidRPr="00D24AAD">
        <w:rPr>
          <w:b/>
          <w:i/>
        </w:rPr>
        <w:t>explosive</w:t>
      </w:r>
    </w:p>
    <w:p w:rsidR="003E30F1" w:rsidRDefault="002B7838" w:rsidP="002E615F">
      <w:r>
        <w:t>I</w:t>
      </w:r>
      <w:r w:rsidR="00676F64">
        <w:t>tem [12</w:t>
      </w:r>
      <w:r w:rsidR="003E30F1">
        <w:t>] amend</w:t>
      </w:r>
      <w:r w:rsidR="00000FA9">
        <w:t>s</w:t>
      </w:r>
      <w:r w:rsidR="003E30F1">
        <w:t xml:space="preserve"> the definition of ‘explosive’ in </w:t>
      </w:r>
      <w:r w:rsidR="00401352">
        <w:t>regulation 8.04(1) to align it with new editions of the AE Code and the ADG Code.</w:t>
      </w:r>
    </w:p>
    <w:p w:rsidR="000A7F86" w:rsidRDefault="000A7F86" w:rsidP="002E615F"/>
    <w:p w:rsidR="00142555" w:rsidRDefault="00676F64" w:rsidP="000E4B15">
      <w:pPr>
        <w:ind w:left="1440" w:hanging="1440"/>
        <w:rPr>
          <w:b/>
        </w:rPr>
      </w:pPr>
      <w:r>
        <w:rPr>
          <w:b/>
        </w:rPr>
        <w:t>Item [13</w:t>
      </w:r>
      <w:r w:rsidR="006E53E9" w:rsidRPr="00D24AAD">
        <w:rPr>
          <w:b/>
        </w:rPr>
        <w:t>]</w:t>
      </w:r>
      <w:r w:rsidR="006E53E9" w:rsidRPr="00D24AAD">
        <w:rPr>
          <w:b/>
        </w:rPr>
        <w:tab/>
        <w:t>Subregulation 8.04</w:t>
      </w:r>
      <w:r w:rsidR="00D7193B" w:rsidRPr="00D24AAD">
        <w:rPr>
          <w:b/>
        </w:rPr>
        <w:t xml:space="preserve">(1), definition of </w:t>
      </w:r>
      <w:r w:rsidR="00D7193B" w:rsidRPr="00292DC9">
        <w:rPr>
          <w:b/>
          <w:i/>
        </w:rPr>
        <w:t>goods</w:t>
      </w:r>
      <w:r w:rsidR="00D7193B" w:rsidRPr="00D24AAD">
        <w:rPr>
          <w:b/>
        </w:rPr>
        <w:t xml:space="preserve"> </w:t>
      </w:r>
      <w:r w:rsidR="00D7193B" w:rsidRPr="00D24AAD">
        <w:rPr>
          <w:b/>
          <w:i/>
        </w:rPr>
        <w:t>too dangerous to be transported</w:t>
      </w:r>
      <w:r w:rsidR="00D7193B" w:rsidRPr="00D24AAD">
        <w:rPr>
          <w:b/>
        </w:rPr>
        <w:t>, paragraph (a)</w:t>
      </w:r>
    </w:p>
    <w:p w:rsidR="00F014C6" w:rsidRPr="00D24AAD" w:rsidRDefault="00F014C6" w:rsidP="000E4B15">
      <w:pPr>
        <w:ind w:left="1440" w:hanging="1440"/>
        <w:rPr>
          <w:b/>
        </w:rPr>
      </w:pPr>
      <w:r>
        <w:rPr>
          <w:b/>
        </w:rPr>
        <w:t>Item [14</w:t>
      </w:r>
      <w:r w:rsidRPr="00D24AAD">
        <w:rPr>
          <w:b/>
        </w:rPr>
        <w:t>]</w:t>
      </w:r>
      <w:r w:rsidRPr="00D24AAD">
        <w:rPr>
          <w:b/>
        </w:rPr>
        <w:tab/>
        <w:t xml:space="preserve">Subregulation 8.04(1), definition of </w:t>
      </w:r>
      <w:r w:rsidRPr="00D24AAD">
        <w:rPr>
          <w:b/>
          <w:i/>
        </w:rPr>
        <w:t>Hazchem code</w:t>
      </w:r>
      <w:r w:rsidRPr="00D24AAD">
        <w:rPr>
          <w:b/>
        </w:rPr>
        <w:t xml:space="preserve"> including the note</w:t>
      </w:r>
    </w:p>
    <w:p w:rsidR="000511EE" w:rsidRDefault="002B7838" w:rsidP="002E615F">
      <w:r>
        <w:t>I</w:t>
      </w:r>
      <w:r w:rsidR="008A21B8">
        <w:t>tem</w:t>
      </w:r>
      <w:r w:rsidR="00F014C6">
        <w:t>s</w:t>
      </w:r>
      <w:r w:rsidR="008A21B8">
        <w:t xml:space="preserve"> [13</w:t>
      </w:r>
      <w:r w:rsidR="000511EE">
        <w:t>]</w:t>
      </w:r>
      <w:r w:rsidR="00F014C6">
        <w:t xml:space="preserve"> and [14]</w:t>
      </w:r>
      <w:r w:rsidR="000511EE">
        <w:t xml:space="preserve"> amend reference</w:t>
      </w:r>
      <w:r w:rsidR="00F014C6">
        <w:t>s</w:t>
      </w:r>
      <w:r w:rsidR="000511EE">
        <w:t xml:space="preserve"> </w:t>
      </w:r>
      <w:r w:rsidR="00F014C6">
        <w:t>relating</w:t>
      </w:r>
      <w:r w:rsidR="000511EE">
        <w:t xml:space="preserve"> to </w:t>
      </w:r>
      <w:r w:rsidR="00676F64">
        <w:t xml:space="preserve">the sixth edition of </w:t>
      </w:r>
      <w:r w:rsidR="000511EE">
        <w:t xml:space="preserve">ADG Code and replace </w:t>
      </w:r>
      <w:r w:rsidR="00F014C6">
        <w:t>them</w:t>
      </w:r>
      <w:r w:rsidR="000511EE">
        <w:t xml:space="preserve"> with reference</w:t>
      </w:r>
      <w:r w:rsidR="00F014C6">
        <w:t>s</w:t>
      </w:r>
      <w:r w:rsidR="000511EE">
        <w:t xml:space="preserve"> </w:t>
      </w:r>
      <w:r w:rsidR="00401352">
        <w:t xml:space="preserve">to relevant provisions in </w:t>
      </w:r>
      <w:r w:rsidR="00676F64">
        <w:t xml:space="preserve">the seventh edition of </w:t>
      </w:r>
      <w:r w:rsidR="00F014C6">
        <w:t>that C</w:t>
      </w:r>
      <w:r w:rsidR="00676F64">
        <w:t>ode</w:t>
      </w:r>
      <w:r w:rsidR="000511EE">
        <w:t xml:space="preserve">. </w:t>
      </w:r>
    </w:p>
    <w:p w:rsidR="00B0022F" w:rsidRDefault="00B0022F" w:rsidP="002E615F"/>
    <w:p w:rsidR="001101CC" w:rsidRDefault="008A21B8" w:rsidP="000E4B15">
      <w:pPr>
        <w:ind w:left="1440" w:hanging="1440"/>
        <w:rPr>
          <w:b/>
        </w:rPr>
      </w:pPr>
      <w:r>
        <w:rPr>
          <w:b/>
        </w:rPr>
        <w:t>Item [15</w:t>
      </w:r>
      <w:r w:rsidR="001101CC" w:rsidRPr="00D24AAD">
        <w:rPr>
          <w:b/>
        </w:rPr>
        <w:t>]</w:t>
      </w:r>
      <w:r w:rsidR="001101CC" w:rsidRPr="00D24AAD">
        <w:rPr>
          <w:b/>
        </w:rPr>
        <w:tab/>
        <w:t>Subregulation 8.04(1), definition</w:t>
      </w:r>
      <w:r w:rsidR="00B0022F">
        <w:rPr>
          <w:b/>
        </w:rPr>
        <w:t>s</w:t>
      </w:r>
      <w:r w:rsidR="001101CC" w:rsidRPr="00D24AAD">
        <w:rPr>
          <w:b/>
        </w:rPr>
        <w:t xml:space="preserve"> of </w:t>
      </w:r>
      <w:r w:rsidR="00B0022F" w:rsidRPr="00B0022F">
        <w:rPr>
          <w:b/>
          <w:i/>
        </w:rPr>
        <w:t>product name</w:t>
      </w:r>
      <w:r w:rsidR="00B0022F">
        <w:rPr>
          <w:b/>
        </w:rPr>
        <w:t xml:space="preserve"> and </w:t>
      </w:r>
      <w:r w:rsidR="001101CC" w:rsidRPr="00D24AAD">
        <w:rPr>
          <w:b/>
          <w:i/>
        </w:rPr>
        <w:t>proper shipping name</w:t>
      </w:r>
      <w:r w:rsidR="00773865" w:rsidRPr="00D24AAD">
        <w:rPr>
          <w:b/>
        </w:rPr>
        <w:t xml:space="preserve"> including the note</w:t>
      </w:r>
    </w:p>
    <w:p w:rsidR="00B0022F" w:rsidRPr="005A0FF5" w:rsidRDefault="002B7838" w:rsidP="002E615F">
      <w:r>
        <w:t>I</w:t>
      </w:r>
      <w:r w:rsidR="008A21B8">
        <w:t>tem [15</w:t>
      </w:r>
      <w:r w:rsidR="00B0022F" w:rsidRPr="005A0FF5">
        <w:t>] change</w:t>
      </w:r>
      <w:r w:rsidR="00000FA9">
        <w:t>s</w:t>
      </w:r>
      <w:r w:rsidR="00B0022F" w:rsidRPr="005A0FF5">
        <w:t xml:space="preserve"> the </w:t>
      </w:r>
      <w:r w:rsidR="005A0FF5" w:rsidRPr="005A0FF5">
        <w:t xml:space="preserve">definition of ‘product name’ so that it </w:t>
      </w:r>
      <w:r w:rsidR="00D73F41">
        <w:t>aligns with</w:t>
      </w:r>
      <w:r w:rsidR="005A0FF5" w:rsidRPr="005A0FF5">
        <w:t xml:space="preserve"> the definition of ‘product name’ found in regulation 6.03 of the Principal Regulations.</w:t>
      </w:r>
    </w:p>
    <w:p w:rsidR="005A0FF5" w:rsidRPr="00D24AAD" w:rsidRDefault="005A0FF5" w:rsidP="002E615F">
      <w:pPr>
        <w:rPr>
          <w:b/>
        </w:rPr>
      </w:pPr>
    </w:p>
    <w:p w:rsidR="000511EE" w:rsidRDefault="002B7838" w:rsidP="002E615F">
      <w:r>
        <w:t>I</w:t>
      </w:r>
      <w:r w:rsidR="008A21B8">
        <w:t>tem [15</w:t>
      </w:r>
      <w:r w:rsidR="000511EE">
        <w:t xml:space="preserve">] </w:t>
      </w:r>
      <w:r w:rsidR="00B0022F">
        <w:t xml:space="preserve">also </w:t>
      </w:r>
      <w:r w:rsidR="00000FA9">
        <w:t>simplifies</w:t>
      </w:r>
      <w:r w:rsidR="000511EE">
        <w:t xml:space="preserve"> the current </w:t>
      </w:r>
      <w:r w:rsidR="00F565B3">
        <w:t>provisions that define</w:t>
      </w:r>
      <w:r w:rsidR="000511EE">
        <w:t xml:space="preserve"> ‘proper shipping name’ and update </w:t>
      </w:r>
      <w:r w:rsidR="00F565B3">
        <w:t>the definition</w:t>
      </w:r>
      <w:r w:rsidR="000511EE">
        <w:t xml:space="preserve"> </w:t>
      </w:r>
      <w:r w:rsidR="003C1A5F">
        <w:t xml:space="preserve">by </w:t>
      </w:r>
      <w:r w:rsidR="008A21B8">
        <w:t>substituting</w:t>
      </w:r>
      <w:r w:rsidR="003C1A5F">
        <w:t xml:space="preserve"> </w:t>
      </w:r>
      <w:r w:rsidR="008866C1">
        <w:t xml:space="preserve">a reference to </w:t>
      </w:r>
      <w:r w:rsidR="00401352">
        <w:t xml:space="preserve">the </w:t>
      </w:r>
      <w:r w:rsidR="003C1A5F">
        <w:t xml:space="preserve">relevant </w:t>
      </w:r>
      <w:r w:rsidR="00401352">
        <w:t>provision in</w:t>
      </w:r>
      <w:r w:rsidR="003C1A5F">
        <w:t xml:space="preserve"> </w:t>
      </w:r>
      <w:r w:rsidR="008A21B8">
        <w:t>the seventh edition of the ADG Code</w:t>
      </w:r>
      <w:r w:rsidR="003C1A5F">
        <w:t>.</w:t>
      </w:r>
      <w:r w:rsidR="000511EE">
        <w:t xml:space="preserve"> </w:t>
      </w:r>
    </w:p>
    <w:p w:rsidR="005A0FF5" w:rsidRDefault="005A0FF5" w:rsidP="002E615F"/>
    <w:p w:rsidR="008A21B8" w:rsidRDefault="008A21B8" w:rsidP="002E615F">
      <w:pPr>
        <w:rPr>
          <w:b/>
        </w:rPr>
      </w:pPr>
      <w:r>
        <w:rPr>
          <w:b/>
        </w:rPr>
        <w:t>Item [16</w:t>
      </w:r>
      <w:r w:rsidR="007324DA" w:rsidRPr="00D24AAD">
        <w:rPr>
          <w:b/>
        </w:rPr>
        <w:t>]</w:t>
      </w:r>
      <w:r w:rsidR="007324DA" w:rsidRPr="00D24AAD">
        <w:rPr>
          <w:b/>
        </w:rPr>
        <w:tab/>
      </w:r>
      <w:r>
        <w:rPr>
          <w:b/>
        </w:rPr>
        <w:t xml:space="preserve">Subregulation 8.04(1), definition of </w:t>
      </w:r>
      <w:r w:rsidRPr="008A21B8">
        <w:rPr>
          <w:b/>
          <w:i/>
        </w:rPr>
        <w:t>relevant</w:t>
      </w:r>
      <w:r>
        <w:rPr>
          <w:b/>
        </w:rPr>
        <w:t xml:space="preserve"> </w:t>
      </w:r>
      <w:r w:rsidRPr="008A21B8">
        <w:rPr>
          <w:b/>
          <w:i/>
        </w:rPr>
        <w:t>Competent Authority</w:t>
      </w:r>
    </w:p>
    <w:p w:rsidR="008A21B8" w:rsidRPr="003E107A" w:rsidRDefault="002B7838" w:rsidP="002E615F">
      <w:r>
        <w:t>I</w:t>
      </w:r>
      <w:r w:rsidR="008A21B8" w:rsidRPr="003E107A">
        <w:t>tem [16] amend</w:t>
      </w:r>
      <w:r w:rsidR="00000FA9">
        <w:t>s</w:t>
      </w:r>
      <w:r w:rsidR="008A21B8" w:rsidRPr="003E107A">
        <w:t xml:space="preserve"> the definition of </w:t>
      </w:r>
      <w:r w:rsidR="00D73F41">
        <w:t>‘</w:t>
      </w:r>
      <w:r w:rsidR="008A21B8" w:rsidRPr="00D73F41">
        <w:t>relevant Competent Authority</w:t>
      </w:r>
      <w:r w:rsidR="00D73F41">
        <w:t>’</w:t>
      </w:r>
      <w:r w:rsidR="008A21B8" w:rsidRPr="003E107A">
        <w:t xml:space="preserve"> by removing the reference to </w:t>
      </w:r>
      <w:r w:rsidR="003E107A" w:rsidRPr="003E107A">
        <w:t xml:space="preserve">a Competent Authority within the meaning of the </w:t>
      </w:r>
      <w:r w:rsidR="003E107A" w:rsidRPr="003E107A">
        <w:rPr>
          <w:i/>
        </w:rPr>
        <w:t>Road Transport Reform (Dangerous Goods) Act 1995</w:t>
      </w:r>
      <w:r w:rsidR="003E107A" w:rsidRPr="003E107A">
        <w:t xml:space="preserve">. This Commonwealth </w:t>
      </w:r>
      <w:r w:rsidR="001C5A6D">
        <w:t xml:space="preserve">Act, which </w:t>
      </w:r>
      <w:r w:rsidR="00D73F41">
        <w:t xml:space="preserve">was enacted on behalf of the </w:t>
      </w:r>
      <w:smartTag w:uri="urn:schemas-microsoft-com:office:smarttags" w:element="State">
        <w:smartTag w:uri="urn:schemas-microsoft-com:office:smarttags" w:element="place">
          <w:r w:rsidR="00D73F41">
            <w:t>Australian Capital Territory</w:t>
          </w:r>
        </w:smartTag>
      </w:smartTag>
      <w:r w:rsidR="001C5A6D">
        <w:t>, has been repealed</w:t>
      </w:r>
      <w:r w:rsidR="003E107A" w:rsidRPr="003E107A">
        <w:t>.</w:t>
      </w:r>
    </w:p>
    <w:p w:rsidR="008A21B8" w:rsidRDefault="008A21B8" w:rsidP="002E615F">
      <w:pPr>
        <w:rPr>
          <w:b/>
        </w:rPr>
      </w:pPr>
    </w:p>
    <w:p w:rsidR="00846FBD" w:rsidRDefault="003E107A" w:rsidP="002E615F">
      <w:pPr>
        <w:rPr>
          <w:b/>
          <w:i/>
        </w:rPr>
      </w:pPr>
      <w:r>
        <w:rPr>
          <w:b/>
        </w:rPr>
        <w:t>Item [17]</w:t>
      </w:r>
      <w:r>
        <w:rPr>
          <w:b/>
        </w:rPr>
        <w:tab/>
      </w:r>
      <w:r w:rsidR="007324DA" w:rsidRPr="00D24AAD">
        <w:rPr>
          <w:b/>
        </w:rPr>
        <w:t xml:space="preserve">Subregulation 8.04(1), definition of </w:t>
      </w:r>
      <w:r w:rsidR="007324DA" w:rsidRPr="00D24AAD">
        <w:rPr>
          <w:b/>
          <w:i/>
        </w:rPr>
        <w:t>Subsidiary Risk label</w:t>
      </w:r>
    </w:p>
    <w:p w:rsidR="00F565B3" w:rsidRDefault="00F565B3" w:rsidP="00F565B3">
      <w:pPr>
        <w:rPr>
          <w:b/>
          <w:i/>
        </w:rPr>
      </w:pPr>
      <w:r w:rsidRPr="00D24AAD">
        <w:rPr>
          <w:b/>
        </w:rPr>
        <w:t>Item [1</w:t>
      </w:r>
      <w:r>
        <w:rPr>
          <w:b/>
        </w:rPr>
        <w:t>8</w:t>
      </w:r>
      <w:r w:rsidRPr="00D24AAD">
        <w:rPr>
          <w:b/>
        </w:rPr>
        <w:t>]</w:t>
      </w:r>
      <w:r w:rsidRPr="00D24AAD">
        <w:rPr>
          <w:b/>
        </w:rPr>
        <w:tab/>
        <w:t xml:space="preserve">Subregulation 8.04(1), definition of </w:t>
      </w:r>
      <w:r w:rsidRPr="00D24AAD">
        <w:rPr>
          <w:b/>
          <w:i/>
        </w:rPr>
        <w:t>UN number</w:t>
      </w:r>
    </w:p>
    <w:p w:rsidR="00F565B3" w:rsidRDefault="00F565B3" w:rsidP="00F565B3">
      <w:pPr>
        <w:rPr>
          <w:b/>
        </w:rPr>
      </w:pPr>
      <w:r>
        <w:rPr>
          <w:b/>
        </w:rPr>
        <w:t>Item [19</w:t>
      </w:r>
      <w:r w:rsidRPr="00D24AAD">
        <w:rPr>
          <w:b/>
        </w:rPr>
        <w:t>]</w:t>
      </w:r>
      <w:r w:rsidRPr="00D24AAD">
        <w:rPr>
          <w:b/>
        </w:rPr>
        <w:tab/>
        <w:t>Paragraph 8.04(3)(a)</w:t>
      </w:r>
    </w:p>
    <w:p w:rsidR="00F565B3" w:rsidRPr="00D24AAD" w:rsidRDefault="00F565B3" w:rsidP="00F565B3">
      <w:pPr>
        <w:rPr>
          <w:b/>
        </w:rPr>
      </w:pPr>
      <w:r>
        <w:rPr>
          <w:b/>
        </w:rPr>
        <w:t>Item [20</w:t>
      </w:r>
      <w:r w:rsidRPr="00D24AAD">
        <w:rPr>
          <w:b/>
        </w:rPr>
        <w:t>]</w:t>
      </w:r>
      <w:r w:rsidRPr="00D24AAD">
        <w:rPr>
          <w:b/>
        </w:rPr>
        <w:tab/>
        <w:t>Paragraph 8.04(3)(b)</w:t>
      </w:r>
    </w:p>
    <w:p w:rsidR="007324DA" w:rsidRDefault="00F565B3" w:rsidP="002E615F">
      <w:r>
        <w:t>These</w:t>
      </w:r>
      <w:r w:rsidR="007324DA">
        <w:t xml:space="preserve"> item</w:t>
      </w:r>
      <w:r>
        <w:t>s</w:t>
      </w:r>
      <w:r w:rsidR="007324DA">
        <w:t xml:space="preserve"> </w:t>
      </w:r>
      <w:r>
        <w:t>replace references</w:t>
      </w:r>
      <w:r w:rsidR="00401352">
        <w:t xml:space="preserve"> relating</w:t>
      </w:r>
      <w:r>
        <w:t xml:space="preserve"> to the sixth edition of the ADG Code with </w:t>
      </w:r>
      <w:r w:rsidR="001A1D85">
        <w:t>referenc</w:t>
      </w:r>
      <w:r>
        <w:t>es</w:t>
      </w:r>
      <w:r w:rsidR="001A1D85">
        <w:t xml:space="preserve"> to </w:t>
      </w:r>
      <w:r w:rsidR="007324DA">
        <w:t xml:space="preserve">the </w:t>
      </w:r>
      <w:r w:rsidR="001A1D85">
        <w:t>relevant</w:t>
      </w:r>
      <w:r w:rsidR="007324DA">
        <w:t xml:space="preserve"> provision</w:t>
      </w:r>
      <w:r>
        <w:t>s</w:t>
      </w:r>
      <w:r w:rsidR="007324DA">
        <w:t xml:space="preserve"> in </w:t>
      </w:r>
      <w:r w:rsidR="003E107A">
        <w:t xml:space="preserve">the seventh edition of </w:t>
      </w:r>
      <w:r>
        <w:t>that</w:t>
      </w:r>
      <w:r w:rsidR="001A1D85">
        <w:t xml:space="preserve"> Code.</w:t>
      </w:r>
    </w:p>
    <w:p w:rsidR="007324DA" w:rsidRDefault="007324DA" w:rsidP="002E615F"/>
    <w:p w:rsidR="009A33F2" w:rsidRPr="002F22AC" w:rsidRDefault="001A6F21" w:rsidP="002E615F">
      <w:pPr>
        <w:rPr>
          <w:b/>
        </w:rPr>
      </w:pPr>
      <w:r>
        <w:rPr>
          <w:b/>
        </w:rPr>
        <w:t>Item [21</w:t>
      </w:r>
      <w:r w:rsidR="002F22AC" w:rsidRPr="002F22AC">
        <w:rPr>
          <w:b/>
        </w:rPr>
        <w:t>]</w:t>
      </w:r>
      <w:r w:rsidR="002F22AC" w:rsidRPr="002F22AC">
        <w:rPr>
          <w:b/>
        </w:rPr>
        <w:tab/>
        <w:t>Subregulation 8.04(3), note</w:t>
      </w:r>
    </w:p>
    <w:p w:rsidR="002F22AC" w:rsidRDefault="002B7838" w:rsidP="002E615F">
      <w:r>
        <w:t>I</w:t>
      </w:r>
      <w:r w:rsidR="007404CD">
        <w:t>tem [21</w:t>
      </w:r>
      <w:r w:rsidR="002F22AC">
        <w:t>] omit</w:t>
      </w:r>
      <w:r w:rsidR="00000FA9">
        <w:t>s</w:t>
      </w:r>
      <w:r w:rsidR="002F22AC">
        <w:t xml:space="preserve"> the note. It is not needed.</w:t>
      </w:r>
      <w:r w:rsidR="00F825BD">
        <w:t xml:space="preserve"> The definition of ‘dangerous goods’ </w:t>
      </w:r>
      <w:r w:rsidR="0011523A">
        <w:t>provides</w:t>
      </w:r>
      <w:r w:rsidR="00F825BD">
        <w:t xml:space="preserve"> that, in addition to goods specified in the ADG Code, C1 and C2 combustible liquids are also dangerous goods.</w:t>
      </w:r>
      <w:r w:rsidR="009D1F71">
        <w:t xml:space="preserve"> In other words, the definition itself makes clear that combustible liquids are included in the definition of ‘dangerous goods’ only for the purposes of Part 8 of the Principal Regulations.</w:t>
      </w:r>
    </w:p>
    <w:p w:rsidR="002F22AC" w:rsidRDefault="002F22AC" w:rsidP="002E615F"/>
    <w:p w:rsidR="009A33F2" w:rsidRDefault="001A6F21" w:rsidP="002E615F">
      <w:pPr>
        <w:rPr>
          <w:b/>
        </w:rPr>
      </w:pPr>
      <w:r>
        <w:rPr>
          <w:b/>
        </w:rPr>
        <w:t>Item [22</w:t>
      </w:r>
      <w:r w:rsidR="009A33F2" w:rsidRPr="00D24AAD">
        <w:rPr>
          <w:b/>
        </w:rPr>
        <w:t>]</w:t>
      </w:r>
      <w:r w:rsidR="009A33F2" w:rsidRPr="00D24AAD">
        <w:rPr>
          <w:b/>
        </w:rPr>
        <w:tab/>
        <w:t>Par</w:t>
      </w:r>
      <w:r w:rsidR="00CF762B" w:rsidRPr="00D24AAD">
        <w:rPr>
          <w:b/>
        </w:rPr>
        <w:t>a</w:t>
      </w:r>
      <w:r w:rsidR="009A33F2" w:rsidRPr="00D24AAD">
        <w:rPr>
          <w:b/>
        </w:rPr>
        <w:t>graphs 8.04(7)(a) and (c)</w:t>
      </w:r>
    </w:p>
    <w:p w:rsidR="00882E22" w:rsidRPr="00D24AAD" w:rsidRDefault="00882E22" w:rsidP="00882E22">
      <w:pPr>
        <w:rPr>
          <w:b/>
        </w:rPr>
      </w:pPr>
      <w:r>
        <w:rPr>
          <w:b/>
        </w:rPr>
        <w:t>Item [23</w:t>
      </w:r>
      <w:r w:rsidRPr="00D24AAD">
        <w:rPr>
          <w:b/>
        </w:rPr>
        <w:t>]</w:t>
      </w:r>
      <w:r w:rsidRPr="00D24AAD">
        <w:rPr>
          <w:b/>
        </w:rPr>
        <w:tab/>
        <w:t>Paragraphs 8.04(8)(a) and (c)</w:t>
      </w:r>
    </w:p>
    <w:p w:rsidR="00882E22" w:rsidRPr="00D24AAD" w:rsidRDefault="00882E22" w:rsidP="00882E22">
      <w:pPr>
        <w:rPr>
          <w:b/>
        </w:rPr>
      </w:pPr>
      <w:r>
        <w:rPr>
          <w:b/>
        </w:rPr>
        <w:t>Item [25</w:t>
      </w:r>
      <w:r w:rsidRPr="00D24AAD">
        <w:rPr>
          <w:b/>
        </w:rPr>
        <w:t>]</w:t>
      </w:r>
      <w:r w:rsidRPr="00D24AAD">
        <w:rPr>
          <w:b/>
        </w:rPr>
        <w:tab/>
        <w:t>Regulation 8.05, note</w:t>
      </w:r>
    </w:p>
    <w:p w:rsidR="009A33F2" w:rsidRDefault="002B7838" w:rsidP="002E615F">
      <w:r>
        <w:t>I</w:t>
      </w:r>
      <w:r w:rsidR="001A6F21">
        <w:t>tem</w:t>
      </w:r>
      <w:r w:rsidR="00882E22">
        <w:t>s</w:t>
      </w:r>
      <w:r w:rsidR="001A6F21">
        <w:t xml:space="preserve"> [22</w:t>
      </w:r>
      <w:r w:rsidR="009A33F2">
        <w:t>]</w:t>
      </w:r>
      <w:r w:rsidR="00853E86">
        <w:t>,</w:t>
      </w:r>
      <w:r w:rsidR="00565FD6">
        <w:t xml:space="preserve"> [23</w:t>
      </w:r>
      <w:r w:rsidR="00882E22">
        <w:t xml:space="preserve">] </w:t>
      </w:r>
      <w:r w:rsidR="00565FD6">
        <w:t xml:space="preserve">and [25] </w:t>
      </w:r>
      <w:r w:rsidR="00882E22">
        <w:t>remove</w:t>
      </w:r>
      <w:r w:rsidR="004C17EE">
        <w:t xml:space="preserve"> references </w:t>
      </w:r>
      <w:r w:rsidR="00401352">
        <w:t>relating to the</w:t>
      </w:r>
      <w:r w:rsidR="004C17EE">
        <w:t xml:space="preserve"> </w:t>
      </w:r>
      <w:r w:rsidR="00882E22">
        <w:t xml:space="preserve">sixth edition of the ADG Code and replace them with references to </w:t>
      </w:r>
      <w:r w:rsidR="004C17EE">
        <w:t xml:space="preserve">relevant provisions in </w:t>
      </w:r>
      <w:r w:rsidR="007404CD">
        <w:t xml:space="preserve">the seventh edition of </w:t>
      </w:r>
      <w:r w:rsidR="00882E22">
        <w:t>that</w:t>
      </w:r>
      <w:r w:rsidR="007404CD">
        <w:t xml:space="preserve"> Code</w:t>
      </w:r>
      <w:r w:rsidR="004C17EE">
        <w:t>.</w:t>
      </w:r>
    </w:p>
    <w:p w:rsidR="009A33F2" w:rsidRDefault="009A33F2" w:rsidP="002E615F"/>
    <w:p w:rsidR="00D73F41" w:rsidRPr="00D47E0F" w:rsidRDefault="00D73F41" w:rsidP="00D73F41">
      <w:pPr>
        <w:rPr>
          <w:b/>
        </w:rPr>
      </w:pPr>
      <w:r w:rsidRPr="00D47E0F">
        <w:rPr>
          <w:b/>
        </w:rPr>
        <w:t>Item [24]</w:t>
      </w:r>
      <w:r w:rsidRPr="00D47E0F">
        <w:rPr>
          <w:b/>
        </w:rPr>
        <w:tab/>
        <w:t>Subregulation 8.04(8), note</w:t>
      </w:r>
    </w:p>
    <w:p w:rsidR="00565FD6" w:rsidRDefault="00D73F41" w:rsidP="002E615F">
      <w:r>
        <w:t>This amendment change</w:t>
      </w:r>
      <w:r w:rsidR="00000FA9">
        <w:t>s</w:t>
      </w:r>
      <w:r>
        <w:t xml:space="preserve"> an incorrect reference to the general definitions part of the Principal Regulations. Originally numbered as ‘Part 10’ this part was renumbered as </w:t>
      </w:r>
      <w:r w:rsidR="00565FD6">
        <w:t>‘</w:t>
      </w:r>
      <w:r>
        <w:t>Part 20</w:t>
      </w:r>
      <w:r w:rsidR="00565FD6">
        <w:t>’</w:t>
      </w:r>
      <w:r>
        <w:t xml:space="preserve"> by the </w:t>
      </w:r>
      <w:r w:rsidRPr="0084156B">
        <w:rPr>
          <w:i/>
        </w:rPr>
        <w:t>Occupational Health and Safety (Commonwealth Employment) (National Standards) Regulations 2007 (No. 1)</w:t>
      </w:r>
      <w:r w:rsidRPr="0084156B">
        <w:t>.</w:t>
      </w:r>
      <w:r>
        <w:t xml:space="preserve"> Item [24] replace</w:t>
      </w:r>
      <w:r w:rsidR="00000FA9">
        <w:t>s</w:t>
      </w:r>
      <w:r>
        <w:t xml:space="preserve"> the reference </w:t>
      </w:r>
      <w:r w:rsidR="008866C1">
        <w:t xml:space="preserve">in the note </w:t>
      </w:r>
      <w:r>
        <w:t>to Part 10 with a reference to Part 20.</w:t>
      </w:r>
    </w:p>
    <w:p w:rsidR="00D73F41" w:rsidRDefault="00D73F41" w:rsidP="002E615F">
      <w:r>
        <w:t xml:space="preserve"> </w:t>
      </w:r>
    </w:p>
    <w:p w:rsidR="00D47E0F" w:rsidRPr="00D47E0F" w:rsidRDefault="00D47E0F" w:rsidP="002E615F">
      <w:pPr>
        <w:rPr>
          <w:b/>
        </w:rPr>
      </w:pPr>
      <w:r w:rsidRPr="00D47E0F">
        <w:rPr>
          <w:b/>
        </w:rPr>
        <w:t>Item [26]</w:t>
      </w:r>
      <w:r w:rsidRPr="00D47E0F">
        <w:rPr>
          <w:b/>
        </w:rPr>
        <w:tab/>
        <w:t>Regulation 8.07</w:t>
      </w:r>
    </w:p>
    <w:p w:rsidR="00DD30F5" w:rsidRDefault="00565FD6" w:rsidP="002E615F">
      <w:r>
        <w:t xml:space="preserve">Regulation 8.07 of the Principal Regulations provides that dangerous goods determinations made by Competent Authorities are taken to be Part 8 regulations. </w:t>
      </w:r>
      <w:r w:rsidR="002B7838">
        <w:t>I</w:t>
      </w:r>
      <w:r>
        <w:t xml:space="preserve">tem [26] </w:t>
      </w:r>
      <w:r w:rsidR="00D47E0F">
        <w:t>omit</w:t>
      </w:r>
      <w:r w:rsidR="00000FA9">
        <w:t>s</w:t>
      </w:r>
      <w:r w:rsidR="00D47E0F">
        <w:t xml:space="preserve"> regulation 8.07</w:t>
      </w:r>
      <w:r>
        <w:t xml:space="preserve"> because it is</w:t>
      </w:r>
      <w:r w:rsidR="00D47E0F">
        <w:t xml:space="preserve"> not needed. Competent Authority determinations are </w:t>
      </w:r>
      <w:r>
        <w:t>given effect</w:t>
      </w:r>
      <w:r w:rsidR="00D47E0F">
        <w:t xml:space="preserve"> </w:t>
      </w:r>
      <w:r>
        <w:t>by other provisions found</w:t>
      </w:r>
      <w:r w:rsidR="00D47E0F">
        <w:t xml:space="preserve"> in Part 8.</w:t>
      </w:r>
    </w:p>
    <w:p w:rsidR="00D47E0F" w:rsidRDefault="006E1D33" w:rsidP="002E615F">
      <w:r>
        <w:br w:type="page"/>
      </w:r>
    </w:p>
    <w:p w:rsidR="00DD30F5" w:rsidRDefault="00DD30F5" w:rsidP="002E615F">
      <w:pPr>
        <w:rPr>
          <w:b/>
        </w:rPr>
      </w:pPr>
      <w:r w:rsidRPr="006A3AE8">
        <w:rPr>
          <w:b/>
        </w:rPr>
        <w:t xml:space="preserve">Item </w:t>
      </w:r>
      <w:r w:rsidR="00D47E0F">
        <w:rPr>
          <w:b/>
        </w:rPr>
        <w:t>[27</w:t>
      </w:r>
      <w:r w:rsidRPr="006A3AE8">
        <w:rPr>
          <w:b/>
        </w:rPr>
        <w:t>]</w:t>
      </w:r>
      <w:r w:rsidRPr="006A3AE8">
        <w:rPr>
          <w:b/>
        </w:rPr>
        <w:tab/>
        <w:t>Paragraph 8.09(2)(a)</w:t>
      </w:r>
    </w:p>
    <w:p w:rsidR="006B55FE" w:rsidRPr="006A3AE8" w:rsidRDefault="006B55FE" w:rsidP="006B55FE">
      <w:pPr>
        <w:rPr>
          <w:b/>
        </w:rPr>
      </w:pPr>
      <w:r>
        <w:rPr>
          <w:b/>
        </w:rPr>
        <w:t>Item [28</w:t>
      </w:r>
      <w:r w:rsidRPr="006A3AE8">
        <w:rPr>
          <w:b/>
        </w:rPr>
        <w:t>]</w:t>
      </w:r>
      <w:r w:rsidRPr="006A3AE8">
        <w:rPr>
          <w:b/>
        </w:rPr>
        <w:tab/>
        <w:t>Paragraph 8.09(6)(a)</w:t>
      </w:r>
    </w:p>
    <w:p w:rsidR="006B55FE" w:rsidRPr="006A3AE8" w:rsidRDefault="006B55FE" w:rsidP="006B55FE">
      <w:pPr>
        <w:rPr>
          <w:b/>
        </w:rPr>
      </w:pPr>
      <w:r>
        <w:rPr>
          <w:b/>
        </w:rPr>
        <w:t>Item [29</w:t>
      </w:r>
      <w:r w:rsidRPr="006A3AE8">
        <w:rPr>
          <w:b/>
        </w:rPr>
        <w:t>]</w:t>
      </w:r>
      <w:r w:rsidRPr="006A3AE8">
        <w:rPr>
          <w:b/>
        </w:rPr>
        <w:tab/>
        <w:t>Paragraph 8.09(6)(b)</w:t>
      </w:r>
    </w:p>
    <w:p w:rsidR="006B55FE" w:rsidRPr="006A3AE8" w:rsidRDefault="006B55FE" w:rsidP="006B55FE">
      <w:pPr>
        <w:rPr>
          <w:b/>
        </w:rPr>
      </w:pPr>
      <w:r>
        <w:rPr>
          <w:b/>
        </w:rPr>
        <w:t>Item [30</w:t>
      </w:r>
      <w:r w:rsidRPr="006A3AE8">
        <w:rPr>
          <w:b/>
        </w:rPr>
        <w:t>]</w:t>
      </w:r>
      <w:r w:rsidRPr="006A3AE8">
        <w:rPr>
          <w:b/>
        </w:rPr>
        <w:tab/>
        <w:t>Subregulation 8.11(1), note</w:t>
      </w:r>
    </w:p>
    <w:p w:rsidR="00DD30F5" w:rsidRDefault="002B7838" w:rsidP="002E615F">
      <w:r>
        <w:t>I</w:t>
      </w:r>
      <w:r w:rsidR="006B55FE">
        <w:t>tems [27] – [30]</w:t>
      </w:r>
      <w:r w:rsidR="00DD30F5">
        <w:t xml:space="preserve"> </w:t>
      </w:r>
      <w:r w:rsidR="00D91C54">
        <w:t xml:space="preserve">remove </w:t>
      </w:r>
      <w:r w:rsidR="006B55FE">
        <w:t xml:space="preserve">references </w:t>
      </w:r>
      <w:r w:rsidR="00401352">
        <w:t>relating to</w:t>
      </w:r>
      <w:r w:rsidR="00D91C54">
        <w:t xml:space="preserve"> </w:t>
      </w:r>
      <w:r w:rsidR="006B55FE">
        <w:t xml:space="preserve">the sixth edition of the </w:t>
      </w:r>
      <w:r w:rsidR="00D91C54">
        <w:t xml:space="preserve">ADG Code and replace </w:t>
      </w:r>
      <w:r w:rsidR="006B55FE">
        <w:t>them</w:t>
      </w:r>
      <w:r w:rsidR="00312C7E">
        <w:t xml:space="preserve"> with </w:t>
      </w:r>
      <w:r w:rsidR="006B55FE">
        <w:t xml:space="preserve">references to </w:t>
      </w:r>
      <w:r w:rsidR="00312C7E">
        <w:t xml:space="preserve">relevant </w:t>
      </w:r>
      <w:r w:rsidR="006B55FE">
        <w:t>provisions in the seventh edition of that Code</w:t>
      </w:r>
      <w:r w:rsidR="00D91C54">
        <w:t>.</w:t>
      </w:r>
    </w:p>
    <w:p w:rsidR="005E4288" w:rsidRDefault="005E4288" w:rsidP="002E615F"/>
    <w:p w:rsidR="00BF6987" w:rsidRDefault="00E5744B" w:rsidP="002E615F">
      <w:pPr>
        <w:rPr>
          <w:b/>
        </w:rPr>
      </w:pPr>
      <w:r>
        <w:rPr>
          <w:b/>
        </w:rPr>
        <w:t>Item [31</w:t>
      </w:r>
      <w:r w:rsidR="005E4288" w:rsidRPr="006A3AE8">
        <w:rPr>
          <w:b/>
        </w:rPr>
        <w:t>]</w:t>
      </w:r>
      <w:r w:rsidR="005E4288" w:rsidRPr="006A3AE8">
        <w:rPr>
          <w:b/>
        </w:rPr>
        <w:tab/>
      </w:r>
      <w:r w:rsidR="00BF6987">
        <w:rPr>
          <w:b/>
        </w:rPr>
        <w:t>Paragraph 8.11</w:t>
      </w:r>
      <w:r w:rsidR="00D66041">
        <w:rPr>
          <w:b/>
        </w:rPr>
        <w:t>(5)(a)</w:t>
      </w:r>
    </w:p>
    <w:p w:rsidR="00BF6987" w:rsidRPr="00E83305" w:rsidRDefault="00BF6987" w:rsidP="002E615F">
      <w:pPr>
        <w:rPr>
          <w:b/>
        </w:rPr>
      </w:pPr>
      <w:r w:rsidRPr="00E83305">
        <w:t>This item replace</w:t>
      </w:r>
      <w:r w:rsidR="00000FA9">
        <w:t>s</w:t>
      </w:r>
      <w:r w:rsidRPr="00E83305">
        <w:t xml:space="preserve"> the </w:t>
      </w:r>
      <w:r w:rsidR="00E83305">
        <w:t>words</w:t>
      </w:r>
      <w:r w:rsidRPr="00E83305">
        <w:t xml:space="preserve"> ‘cylinder, disposable container or aerosol container’ with ‘cylinder or container’. ‘Cylinder’ and ‘container’ are </w:t>
      </w:r>
      <w:r w:rsidR="00E83305" w:rsidRPr="00E83305">
        <w:t xml:space="preserve">general </w:t>
      </w:r>
      <w:r w:rsidRPr="00E83305">
        <w:t>terms that are more in keeping with the seventh edition of the ADG Code and with the</w:t>
      </w:r>
      <w:r w:rsidRPr="00E83305">
        <w:rPr>
          <w:b/>
        </w:rPr>
        <w:t xml:space="preserve"> </w:t>
      </w:r>
      <w:r w:rsidRPr="00E83305">
        <w:t>National Standard for the Storage and Handling of Workplace Dangerous Goods.</w:t>
      </w:r>
    </w:p>
    <w:p w:rsidR="00BF6987" w:rsidRDefault="00BF6987" w:rsidP="002E615F">
      <w:pPr>
        <w:rPr>
          <w:b/>
        </w:rPr>
      </w:pPr>
    </w:p>
    <w:p w:rsidR="005E4288" w:rsidRPr="006A3AE8" w:rsidRDefault="00E83305" w:rsidP="002E615F">
      <w:pPr>
        <w:rPr>
          <w:b/>
        </w:rPr>
      </w:pPr>
      <w:r>
        <w:rPr>
          <w:b/>
        </w:rPr>
        <w:t>Item [32]</w:t>
      </w:r>
      <w:r>
        <w:rPr>
          <w:b/>
        </w:rPr>
        <w:tab/>
      </w:r>
      <w:r w:rsidR="005E4288" w:rsidRPr="006A3AE8">
        <w:rPr>
          <w:b/>
        </w:rPr>
        <w:t>Subregulation 8.11(5), note</w:t>
      </w:r>
    </w:p>
    <w:p w:rsidR="005E4288" w:rsidRDefault="005E4288" w:rsidP="002E615F">
      <w:r>
        <w:t>This item omit</w:t>
      </w:r>
      <w:r w:rsidR="00000FA9">
        <w:t>s</w:t>
      </w:r>
      <w:r>
        <w:t xml:space="preserve"> the note at the</w:t>
      </w:r>
      <w:r w:rsidR="00D91C54">
        <w:t xml:space="preserve"> end of subregulation 8.11(5). The note is no</w:t>
      </w:r>
      <w:r w:rsidR="006B55FE">
        <w:t>t</w:t>
      </w:r>
      <w:r w:rsidR="00D91C54">
        <w:t xml:space="preserve"> needed.</w:t>
      </w:r>
    </w:p>
    <w:p w:rsidR="005E4288" w:rsidRDefault="005E4288" w:rsidP="002E615F"/>
    <w:p w:rsidR="005E4288" w:rsidRPr="006A3AE8" w:rsidRDefault="00E83305" w:rsidP="002E615F">
      <w:pPr>
        <w:rPr>
          <w:b/>
        </w:rPr>
      </w:pPr>
      <w:r>
        <w:rPr>
          <w:b/>
        </w:rPr>
        <w:t>Item [33</w:t>
      </w:r>
      <w:r w:rsidR="005E4288" w:rsidRPr="006A3AE8">
        <w:rPr>
          <w:b/>
        </w:rPr>
        <w:t>]</w:t>
      </w:r>
      <w:r w:rsidR="005E4288" w:rsidRPr="006A3AE8">
        <w:rPr>
          <w:b/>
        </w:rPr>
        <w:tab/>
        <w:t>Subregulation 8.39(4), note</w:t>
      </w:r>
    </w:p>
    <w:p w:rsidR="005E4288" w:rsidRDefault="001B277E" w:rsidP="002E615F">
      <w:r>
        <w:t>Item [33] removes a reference relating to the sixth edition of the ADG Code and replaces</w:t>
      </w:r>
      <w:r w:rsidR="006B55FE">
        <w:t xml:space="preserve"> it with a reference to the relevant provision in the </w:t>
      </w:r>
      <w:r w:rsidR="00E5744B">
        <w:t xml:space="preserve">seventh edition of </w:t>
      </w:r>
      <w:r w:rsidR="006B55FE">
        <w:t>that</w:t>
      </w:r>
      <w:r w:rsidR="00E5744B">
        <w:t xml:space="preserve"> Code</w:t>
      </w:r>
      <w:r w:rsidR="00D91C54">
        <w:t xml:space="preserve">. </w:t>
      </w:r>
    </w:p>
    <w:p w:rsidR="00373AA1" w:rsidRDefault="00373AA1" w:rsidP="002E615F"/>
    <w:p w:rsidR="00373AA1" w:rsidRDefault="00E83305" w:rsidP="002E615F">
      <w:pPr>
        <w:rPr>
          <w:b/>
        </w:rPr>
      </w:pPr>
      <w:r>
        <w:rPr>
          <w:b/>
        </w:rPr>
        <w:t>Item [34</w:t>
      </w:r>
      <w:r w:rsidR="00373AA1" w:rsidRPr="00373AA1">
        <w:rPr>
          <w:b/>
        </w:rPr>
        <w:t>]</w:t>
      </w:r>
      <w:r w:rsidR="00373AA1" w:rsidRPr="00373AA1">
        <w:rPr>
          <w:b/>
        </w:rPr>
        <w:tab/>
        <w:t>Subparagraph 8.44A(2)(b)(iii)</w:t>
      </w:r>
    </w:p>
    <w:p w:rsidR="00565FD6" w:rsidRPr="006A3AE8" w:rsidRDefault="00E83305" w:rsidP="00565FD6">
      <w:pPr>
        <w:rPr>
          <w:b/>
        </w:rPr>
      </w:pPr>
      <w:r>
        <w:rPr>
          <w:b/>
        </w:rPr>
        <w:t>Item [35</w:t>
      </w:r>
      <w:r w:rsidR="00565FD6" w:rsidRPr="006A3AE8">
        <w:rPr>
          <w:b/>
        </w:rPr>
        <w:t>]</w:t>
      </w:r>
      <w:r w:rsidR="00565FD6" w:rsidRPr="006A3AE8">
        <w:rPr>
          <w:b/>
        </w:rPr>
        <w:tab/>
        <w:t>Subregulation 8.44A(3)</w:t>
      </w:r>
    </w:p>
    <w:p w:rsidR="00373AA1" w:rsidRDefault="00565FD6" w:rsidP="002E615F">
      <w:r>
        <w:t>These</w:t>
      </w:r>
      <w:r w:rsidR="00373AA1">
        <w:t xml:space="preserve"> item</w:t>
      </w:r>
      <w:r>
        <w:t>s</w:t>
      </w:r>
      <w:r w:rsidR="00373AA1">
        <w:t xml:space="preserve"> </w:t>
      </w:r>
      <w:r>
        <w:t>remove</w:t>
      </w:r>
      <w:r w:rsidR="00F05DBF">
        <w:t xml:space="preserve"> reference</w:t>
      </w:r>
      <w:r>
        <w:t>s</w:t>
      </w:r>
      <w:r w:rsidR="00F05DBF">
        <w:t xml:space="preserve"> to terminology </w:t>
      </w:r>
      <w:r>
        <w:t xml:space="preserve">used </w:t>
      </w:r>
      <w:r w:rsidR="00F05DBF">
        <w:t xml:space="preserve">in the second edition of the AE Code and </w:t>
      </w:r>
      <w:r>
        <w:t>substitute</w:t>
      </w:r>
      <w:r w:rsidR="00373AA1">
        <w:t xml:space="preserve"> </w:t>
      </w:r>
      <w:r w:rsidR="00F05DBF">
        <w:t xml:space="preserve">terminology </w:t>
      </w:r>
      <w:r>
        <w:t>employed by</w:t>
      </w:r>
      <w:r w:rsidR="00373AA1">
        <w:t xml:space="preserve"> </w:t>
      </w:r>
      <w:r w:rsidR="00BB06FA">
        <w:t xml:space="preserve">the third edition of </w:t>
      </w:r>
      <w:r>
        <w:t>that</w:t>
      </w:r>
      <w:r w:rsidR="00BB06FA">
        <w:t xml:space="preserve"> Code</w:t>
      </w:r>
      <w:r w:rsidR="00373AA1">
        <w:t>.</w:t>
      </w:r>
    </w:p>
    <w:p w:rsidR="009429F2" w:rsidRDefault="009429F2" w:rsidP="002E615F"/>
    <w:p w:rsidR="009429F2" w:rsidRPr="007D54F9" w:rsidRDefault="00E83305" w:rsidP="002E615F">
      <w:pPr>
        <w:rPr>
          <w:b/>
        </w:rPr>
      </w:pPr>
      <w:r>
        <w:rPr>
          <w:b/>
        </w:rPr>
        <w:t>Item [36</w:t>
      </w:r>
      <w:r w:rsidR="00BD1FF8" w:rsidRPr="007D54F9">
        <w:rPr>
          <w:b/>
        </w:rPr>
        <w:t>]</w:t>
      </w:r>
      <w:r w:rsidR="00BD1FF8" w:rsidRPr="007D54F9">
        <w:rPr>
          <w:b/>
        </w:rPr>
        <w:tab/>
        <w:t>Subregulation 8.45(2), note</w:t>
      </w:r>
    </w:p>
    <w:p w:rsidR="00B62823" w:rsidRPr="007D54F9" w:rsidRDefault="00E83305" w:rsidP="00B62823">
      <w:pPr>
        <w:rPr>
          <w:b/>
        </w:rPr>
      </w:pPr>
      <w:r>
        <w:rPr>
          <w:b/>
        </w:rPr>
        <w:t>Item [37</w:t>
      </w:r>
      <w:r w:rsidR="00B62823" w:rsidRPr="007D54F9">
        <w:rPr>
          <w:b/>
        </w:rPr>
        <w:t>]</w:t>
      </w:r>
      <w:r w:rsidR="00B62823" w:rsidRPr="007D54F9">
        <w:rPr>
          <w:b/>
        </w:rPr>
        <w:tab/>
        <w:t>Subregulation 8.48(2), note</w:t>
      </w:r>
    </w:p>
    <w:p w:rsidR="00B62823" w:rsidRPr="007D54F9" w:rsidRDefault="00E83305" w:rsidP="00B62823">
      <w:pPr>
        <w:rPr>
          <w:b/>
        </w:rPr>
      </w:pPr>
      <w:r>
        <w:rPr>
          <w:b/>
        </w:rPr>
        <w:t>Item [39</w:t>
      </w:r>
      <w:r w:rsidR="00B62823" w:rsidRPr="007D54F9">
        <w:rPr>
          <w:b/>
        </w:rPr>
        <w:t>]</w:t>
      </w:r>
      <w:r w:rsidR="00B62823" w:rsidRPr="007D54F9">
        <w:rPr>
          <w:b/>
        </w:rPr>
        <w:tab/>
        <w:t>Subregulation 8.59(2), note</w:t>
      </w:r>
    </w:p>
    <w:p w:rsidR="005702E8" w:rsidRDefault="000A7F86" w:rsidP="005702E8">
      <w:r>
        <w:t xml:space="preserve">These items </w:t>
      </w:r>
      <w:r w:rsidR="00BB06FA">
        <w:t>substitute</w:t>
      </w:r>
      <w:r w:rsidR="00D91C54">
        <w:t xml:space="preserve"> references to the relevant provisions in </w:t>
      </w:r>
      <w:r w:rsidR="00BB06FA">
        <w:t>the seventh edition of the ADG Code</w:t>
      </w:r>
      <w:r w:rsidR="00D91C54">
        <w:t>.</w:t>
      </w:r>
    </w:p>
    <w:p w:rsidR="00373AA1" w:rsidRDefault="00373AA1" w:rsidP="005702E8"/>
    <w:p w:rsidR="00373AA1" w:rsidRPr="009D1FFE" w:rsidRDefault="00E83305" w:rsidP="005702E8">
      <w:pPr>
        <w:rPr>
          <w:b/>
        </w:rPr>
      </w:pPr>
      <w:r>
        <w:rPr>
          <w:b/>
        </w:rPr>
        <w:t>Item [38</w:t>
      </w:r>
      <w:r w:rsidR="00373AA1" w:rsidRPr="009D1FFE">
        <w:rPr>
          <w:b/>
        </w:rPr>
        <w:t>]</w:t>
      </w:r>
      <w:r w:rsidR="00373AA1" w:rsidRPr="009D1FFE">
        <w:rPr>
          <w:b/>
        </w:rPr>
        <w:tab/>
        <w:t>Paragraph 8.54(1)(a)</w:t>
      </w:r>
    </w:p>
    <w:p w:rsidR="00373AA1" w:rsidRDefault="00373AA1" w:rsidP="005702E8">
      <w:r>
        <w:t>This</w:t>
      </w:r>
      <w:r w:rsidR="00D53AB2">
        <w:t xml:space="preserve"> </w:t>
      </w:r>
      <w:r>
        <w:t>item correct</w:t>
      </w:r>
      <w:r w:rsidR="00000FA9">
        <w:t>s</w:t>
      </w:r>
      <w:r>
        <w:t xml:space="preserve"> an error in paragraph 8.54(1)(a) by </w:t>
      </w:r>
      <w:r w:rsidR="009D1FFE">
        <w:t xml:space="preserve">replacing a reference to items 25, 26 or 27 of Schedule 7 </w:t>
      </w:r>
      <w:r w:rsidR="00E34B02">
        <w:t>to</w:t>
      </w:r>
      <w:r w:rsidR="009D1FFE">
        <w:t xml:space="preserve"> the Principal Regulations with a reference to items 24, 25 or 26 of that Schedule.</w:t>
      </w:r>
    </w:p>
    <w:p w:rsidR="005702E8" w:rsidRDefault="005702E8" w:rsidP="00B62823"/>
    <w:p w:rsidR="005702E8" w:rsidRPr="007D54F9" w:rsidRDefault="00E83305" w:rsidP="00B62823">
      <w:pPr>
        <w:rPr>
          <w:b/>
        </w:rPr>
      </w:pPr>
      <w:r>
        <w:rPr>
          <w:b/>
        </w:rPr>
        <w:t>Item [40</w:t>
      </w:r>
      <w:r w:rsidR="005702E8" w:rsidRPr="007D54F9">
        <w:rPr>
          <w:b/>
        </w:rPr>
        <w:t>]</w:t>
      </w:r>
      <w:r w:rsidR="005702E8" w:rsidRPr="007D54F9">
        <w:rPr>
          <w:b/>
        </w:rPr>
        <w:tab/>
        <w:t>Subregulation</w:t>
      </w:r>
      <w:r w:rsidR="00E27FD2" w:rsidRPr="007D54F9">
        <w:rPr>
          <w:b/>
        </w:rPr>
        <w:t xml:space="preserve"> 20.01(1), definition of </w:t>
      </w:r>
      <w:r w:rsidR="00E27FD2" w:rsidRPr="007D54F9">
        <w:rPr>
          <w:b/>
          <w:i/>
        </w:rPr>
        <w:t>ADG Code</w:t>
      </w:r>
      <w:r w:rsidR="00E27FD2" w:rsidRPr="007D54F9">
        <w:rPr>
          <w:b/>
        </w:rPr>
        <w:t>, inc</w:t>
      </w:r>
      <w:r w:rsidR="007D54F9">
        <w:rPr>
          <w:b/>
        </w:rPr>
        <w:t>l</w:t>
      </w:r>
      <w:r w:rsidR="00E27FD2" w:rsidRPr="007D54F9">
        <w:rPr>
          <w:b/>
        </w:rPr>
        <w:t>uding the note</w:t>
      </w:r>
    </w:p>
    <w:p w:rsidR="00E27FD2" w:rsidRDefault="00E27FD2" w:rsidP="00B62823">
      <w:r>
        <w:t xml:space="preserve">Part 20 of the Principal Regulations contains definitions </w:t>
      </w:r>
      <w:r w:rsidR="0084156B">
        <w:t>of terms found in more than one Part of the Regulations</w:t>
      </w:r>
      <w:r>
        <w:t xml:space="preserve">. At present, the expression ‘ADG Code’ is defined with reference to the </w:t>
      </w:r>
      <w:r w:rsidR="00F05DBF">
        <w:t>sixth</w:t>
      </w:r>
      <w:r>
        <w:t xml:space="preserve"> edition of the Code </w:t>
      </w:r>
      <w:r w:rsidR="00F05DBF">
        <w:t xml:space="preserve">as </w:t>
      </w:r>
      <w:r>
        <w:t xml:space="preserve">published by the Federal Office of Road Safety in </w:t>
      </w:r>
      <w:r w:rsidR="00D52398">
        <w:t>1998</w:t>
      </w:r>
      <w:r w:rsidR="00E83305">
        <w:t xml:space="preserve">. </w:t>
      </w:r>
      <w:r w:rsidR="002B7838">
        <w:t>I</w:t>
      </w:r>
      <w:r w:rsidR="00E83305">
        <w:t>tem [40</w:t>
      </w:r>
      <w:r>
        <w:t>] replace</w:t>
      </w:r>
      <w:r w:rsidR="00000FA9">
        <w:t>s</w:t>
      </w:r>
      <w:r>
        <w:t xml:space="preserve"> this definition with one that refers to the new edition of the Code (</w:t>
      </w:r>
      <w:r w:rsidR="00F05DBF">
        <w:t>seventh</w:t>
      </w:r>
      <w:r>
        <w:t xml:space="preserve"> edition) </w:t>
      </w:r>
      <w:r w:rsidR="00F05DBF">
        <w:t xml:space="preserve">as </w:t>
      </w:r>
      <w:r>
        <w:t>published by the National Transport Commission in 2007.</w:t>
      </w:r>
    </w:p>
    <w:p w:rsidR="00E27FD2" w:rsidRDefault="00E27FD2" w:rsidP="00B62823"/>
    <w:p w:rsidR="00E27FD2" w:rsidRDefault="002B7838" w:rsidP="00B62823">
      <w:r>
        <w:t>I</w:t>
      </w:r>
      <w:r w:rsidR="00E83305">
        <w:t>tem [40</w:t>
      </w:r>
      <w:r w:rsidR="00E27FD2">
        <w:t>] also amend</w:t>
      </w:r>
      <w:r w:rsidR="00000FA9">
        <w:t>s</w:t>
      </w:r>
      <w:r w:rsidR="00E27FD2">
        <w:t xml:space="preserve"> the note following the definition of ‘ADG Code’ </w:t>
      </w:r>
      <w:r w:rsidR="00046321">
        <w:t xml:space="preserve">to advise the reader of the new website address at which information about </w:t>
      </w:r>
      <w:r w:rsidR="00F05DBF">
        <w:t>that</w:t>
      </w:r>
      <w:r w:rsidR="00046321">
        <w:t xml:space="preserve"> Code can be obtained.</w:t>
      </w:r>
    </w:p>
    <w:p w:rsidR="000305D8" w:rsidRDefault="000305D8" w:rsidP="00B62823"/>
    <w:p w:rsidR="000305D8" w:rsidRDefault="000305D8" w:rsidP="00B62823">
      <w:r>
        <w:t>Lastly, i</w:t>
      </w:r>
      <w:r w:rsidR="00E83305">
        <w:t>tem [40</w:t>
      </w:r>
      <w:r>
        <w:t>] insert</w:t>
      </w:r>
      <w:r w:rsidR="00000FA9">
        <w:t>s</w:t>
      </w:r>
      <w:r>
        <w:t xml:space="preserve"> a definition of ‘AE Code’ to mean the third edition of that Code endorsed by the Workplace Relations Ministers’ Council in </w:t>
      </w:r>
      <w:r w:rsidR="00874BF7">
        <w:br/>
      </w:r>
      <w:r>
        <w:t>April 2009.</w:t>
      </w:r>
    </w:p>
    <w:p w:rsidR="009D1FFE" w:rsidRDefault="009D1FFE" w:rsidP="00B62823"/>
    <w:p w:rsidR="009D1FFE" w:rsidRDefault="00E83305" w:rsidP="00B62823">
      <w:pPr>
        <w:rPr>
          <w:b/>
        </w:rPr>
      </w:pPr>
      <w:r>
        <w:rPr>
          <w:b/>
        </w:rPr>
        <w:t>Item [41</w:t>
      </w:r>
      <w:r w:rsidR="009D1FFE" w:rsidRPr="009D1FFE">
        <w:rPr>
          <w:b/>
        </w:rPr>
        <w:t>]</w:t>
      </w:r>
      <w:r w:rsidR="009D1FFE" w:rsidRPr="009D1FFE">
        <w:rPr>
          <w:b/>
        </w:rPr>
        <w:tab/>
        <w:t>Schedule 5, after item 3</w:t>
      </w:r>
    </w:p>
    <w:p w:rsidR="00F05DBF" w:rsidRPr="009D1FFE" w:rsidRDefault="00E83305" w:rsidP="00F05DBF">
      <w:pPr>
        <w:rPr>
          <w:b/>
        </w:rPr>
      </w:pPr>
      <w:r>
        <w:rPr>
          <w:b/>
        </w:rPr>
        <w:t>Item [42</w:t>
      </w:r>
      <w:r w:rsidR="00F05DBF" w:rsidRPr="009D1FFE">
        <w:rPr>
          <w:b/>
        </w:rPr>
        <w:t>]</w:t>
      </w:r>
      <w:r w:rsidR="00F05DBF" w:rsidRPr="009D1FFE">
        <w:rPr>
          <w:b/>
        </w:rPr>
        <w:tab/>
        <w:t>Schedule 5, after item 4</w:t>
      </w:r>
    </w:p>
    <w:p w:rsidR="0084156B" w:rsidRDefault="00F05DBF" w:rsidP="00B62823">
      <w:r>
        <w:t>These</w:t>
      </w:r>
      <w:r w:rsidR="000305D8">
        <w:t xml:space="preserve"> item</w:t>
      </w:r>
      <w:r>
        <w:t>s insert</w:t>
      </w:r>
      <w:r w:rsidR="00401352">
        <w:t xml:space="preserve"> references to AS 1636</w:t>
      </w:r>
      <w:r w:rsidR="000305D8">
        <w:t xml:space="preserve"> </w:t>
      </w:r>
      <w:r>
        <w:t xml:space="preserve">and AS 2294 into Schedule 5 </w:t>
      </w:r>
      <w:r w:rsidR="00590279">
        <w:t>to</w:t>
      </w:r>
      <w:r>
        <w:t xml:space="preserve"> the Principal Regulations</w:t>
      </w:r>
      <w:r w:rsidR="000305D8">
        <w:t xml:space="preserve">. </w:t>
      </w:r>
      <w:r w:rsidR="0084156B">
        <w:t>AS 1636 is the Australian Standard relating to roll-over protective structures on tractors. AS 2294 is the Australian</w:t>
      </w:r>
      <w:r w:rsidR="00030A06">
        <w:t xml:space="preserve"> Standard</w:t>
      </w:r>
      <w:r w:rsidR="0084156B">
        <w:t xml:space="preserve"> relating to protective structures on earth-moving machinery.</w:t>
      </w:r>
    </w:p>
    <w:p w:rsidR="0084156B" w:rsidRDefault="0084156B" w:rsidP="00B62823"/>
    <w:p w:rsidR="00F05DBF" w:rsidRDefault="002B7838" w:rsidP="00B62823">
      <w:r>
        <w:t>I</w:t>
      </w:r>
      <w:r w:rsidR="00E83305">
        <w:t>tems [41] and [42</w:t>
      </w:r>
      <w:r w:rsidR="0084156B">
        <w:t>]</w:t>
      </w:r>
      <w:r w:rsidR="00F05DBF">
        <w:t xml:space="preserve"> </w:t>
      </w:r>
      <w:r w:rsidR="009F1D5B">
        <w:t xml:space="preserve">ensure that all the </w:t>
      </w:r>
      <w:r w:rsidR="00001069">
        <w:t xml:space="preserve">Australian Standards referenced in the Principal Regulations </w:t>
      </w:r>
      <w:r w:rsidR="00F05DBF">
        <w:t xml:space="preserve">as </w:t>
      </w:r>
      <w:r w:rsidR="00001069">
        <w:t>relevant to the d</w:t>
      </w:r>
      <w:r w:rsidR="00F05DBF">
        <w:t xml:space="preserve">esign and manufacture of plant are listed in </w:t>
      </w:r>
      <w:r w:rsidR="004F7ECE">
        <w:br/>
      </w:r>
      <w:r w:rsidR="00F05DBF">
        <w:t>Schedule 5.</w:t>
      </w:r>
    </w:p>
    <w:p w:rsidR="00F05DBF" w:rsidRDefault="00F05DBF" w:rsidP="00B62823"/>
    <w:p w:rsidR="009D1FFE" w:rsidRDefault="00001069" w:rsidP="00B62823">
      <w:r>
        <w:t xml:space="preserve">Schedule 5 is referenced in </w:t>
      </w:r>
      <w:r w:rsidR="00590279">
        <w:t>sub</w:t>
      </w:r>
      <w:r>
        <w:t>regulation 4.51(4)</w:t>
      </w:r>
      <w:r w:rsidR="00590279">
        <w:t xml:space="preserve"> of the Principal Regulations. Subr</w:t>
      </w:r>
      <w:r>
        <w:t>egulation 4.51(4) requires an employer</w:t>
      </w:r>
      <w:r w:rsidR="00F05DBF">
        <w:t xml:space="preserve"> who wishes to register a plant design </w:t>
      </w:r>
      <w:r>
        <w:t>to</w:t>
      </w:r>
      <w:r w:rsidR="00F05DBF">
        <w:t xml:space="preserve"> ensure that its design has been verified</w:t>
      </w:r>
      <w:r>
        <w:t xml:space="preserve"> as complying with each </w:t>
      </w:r>
      <w:r w:rsidR="00F05DBF">
        <w:t xml:space="preserve">relevant </w:t>
      </w:r>
      <w:r>
        <w:t xml:space="preserve">standard </w:t>
      </w:r>
      <w:r w:rsidR="00F05DBF">
        <w:t>specified in</w:t>
      </w:r>
      <w:r>
        <w:t xml:space="preserve"> Schedule 5.</w:t>
      </w:r>
      <w:r w:rsidR="00F05DBF">
        <w:t xml:space="preserve"> </w:t>
      </w:r>
    </w:p>
    <w:p w:rsidR="005702E8" w:rsidRDefault="005702E8" w:rsidP="00B62823"/>
    <w:p w:rsidR="00B62823" w:rsidRPr="007D54F9" w:rsidRDefault="00E83305" w:rsidP="00B62823">
      <w:pPr>
        <w:rPr>
          <w:b/>
        </w:rPr>
      </w:pPr>
      <w:r>
        <w:rPr>
          <w:b/>
        </w:rPr>
        <w:t>Item [43</w:t>
      </w:r>
      <w:r w:rsidR="00B62823" w:rsidRPr="007D54F9">
        <w:rPr>
          <w:b/>
        </w:rPr>
        <w:t>]</w:t>
      </w:r>
      <w:r w:rsidR="00B62823" w:rsidRPr="007D54F9">
        <w:rPr>
          <w:b/>
        </w:rPr>
        <w:tab/>
        <w:t>Schedule 8, paragraph 1(4)(a)</w:t>
      </w:r>
    </w:p>
    <w:p w:rsidR="00B62823" w:rsidRPr="007D54F9" w:rsidRDefault="00E83305" w:rsidP="00B62823">
      <w:pPr>
        <w:rPr>
          <w:b/>
        </w:rPr>
      </w:pPr>
      <w:r>
        <w:rPr>
          <w:b/>
        </w:rPr>
        <w:t>Item [44</w:t>
      </w:r>
      <w:r w:rsidR="00B62823" w:rsidRPr="007D54F9">
        <w:rPr>
          <w:b/>
        </w:rPr>
        <w:t>]</w:t>
      </w:r>
      <w:r w:rsidR="00B62823" w:rsidRPr="007D54F9">
        <w:rPr>
          <w:b/>
        </w:rPr>
        <w:tab/>
        <w:t>Schedule 8, paragraph 1(5)(a)</w:t>
      </w:r>
    </w:p>
    <w:p w:rsidR="00B62823" w:rsidRDefault="00E83305" w:rsidP="00B62823">
      <w:pPr>
        <w:rPr>
          <w:b/>
        </w:rPr>
      </w:pPr>
      <w:r>
        <w:rPr>
          <w:b/>
        </w:rPr>
        <w:t>Item [45</w:t>
      </w:r>
      <w:r w:rsidR="00B62823" w:rsidRPr="007D54F9">
        <w:rPr>
          <w:b/>
        </w:rPr>
        <w:t>]</w:t>
      </w:r>
      <w:r w:rsidR="00B62823" w:rsidRPr="007D54F9">
        <w:rPr>
          <w:b/>
        </w:rPr>
        <w:tab/>
        <w:t>Schedule 8, paragraph 3(1)(b)</w:t>
      </w:r>
    </w:p>
    <w:p w:rsidR="00C03664" w:rsidRPr="007D54F9" w:rsidRDefault="00C03664" w:rsidP="00C03664">
      <w:pPr>
        <w:rPr>
          <w:b/>
        </w:rPr>
      </w:pPr>
      <w:r w:rsidRPr="007D54F9">
        <w:rPr>
          <w:b/>
        </w:rPr>
        <w:t xml:space="preserve">Item </w:t>
      </w:r>
      <w:r w:rsidR="00E83305">
        <w:rPr>
          <w:b/>
        </w:rPr>
        <w:t>[46</w:t>
      </w:r>
      <w:r w:rsidRPr="007D54F9">
        <w:rPr>
          <w:b/>
        </w:rPr>
        <w:t>]</w:t>
      </w:r>
      <w:r w:rsidRPr="007D54F9">
        <w:rPr>
          <w:b/>
        </w:rPr>
        <w:tab/>
        <w:t>Schedule 9, Part 2, items 60 and 62, column 2</w:t>
      </w:r>
    </w:p>
    <w:p w:rsidR="00BD1FF8" w:rsidRDefault="000A7F86" w:rsidP="002E615F">
      <w:r>
        <w:t xml:space="preserve">These items </w:t>
      </w:r>
      <w:r w:rsidR="00D52398">
        <w:t xml:space="preserve">omit references </w:t>
      </w:r>
      <w:r w:rsidR="00401352">
        <w:t>relating to</w:t>
      </w:r>
      <w:r w:rsidR="00D52398">
        <w:t xml:space="preserve"> </w:t>
      </w:r>
      <w:r w:rsidR="00001069">
        <w:t xml:space="preserve">the sixth edition of the </w:t>
      </w:r>
      <w:r w:rsidR="00D52398">
        <w:t xml:space="preserve">ADG Code and replace them with references to </w:t>
      </w:r>
      <w:r w:rsidR="00001069">
        <w:t xml:space="preserve">the relevant </w:t>
      </w:r>
      <w:r w:rsidR="00D52398">
        <w:t xml:space="preserve">provisions in </w:t>
      </w:r>
      <w:r w:rsidR="00001069">
        <w:t xml:space="preserve">the seventh edition of </w:t>
      </w:r>
      <w:r w:rsidR="000A02EB">
        <w:t>that Code</w:t>
      </w:r>
      <w:r w:rsidR="00D52398">
        <w:t>.</w:t>
      </w:r>
    </w:p>
    <w:p w:rsidR="00BD1FF8" w:rsidRDefault="00BD1FF8" w:rsidP="002E615F"/>
    <w:p w:rsidR="009D1FFE" w:rsidRPr="009D1FFE" w:rsidRDefault="009D1FFE" w:rsidP="002E615F">
      <w:pPr>
        <w:rPr>
          <w:b/>
        </w:rPr>
      </w:pPr>
      <w:r w:rsidRPr="009D1FFE">
        <w:rPr>
          <w:b/>
        </w:rPr>
        <w:t>It</w:t>
      </w:r>
      <w:r w:rsidR="00E83305">
        <w:rPr>
          <w:b/>
        </w:rPr>
        <w:t>em [47</w:t>
      </w:r>
      <w:r w:rsidRPr="009D1FFE">
        <w:rPr>
          <w:b/>
        </w:rPr>
        <w:t>]</w:t>
      </w:r>
      <w:r w:rsidRPr="009D1FFE">
        <w:rPr>
          <w:b/>
        </w:rPr>
        <w:tab/>
        <w:t>Schedule 9A, clause 212</w:t>
      </w:r>
    </w:p>
    <w:p w:rsidR="009D1FFE" w:rsidRDefault="009D1FFE" w:rsidP="002E615F">
      <w:r>
        <w:t xml:space="preserve">This item </w:t>
      </w:r>
      <w:r w:rsidR="0084156B">
        <w:t>replace</w:t>
      </w:r>
      <w:r w:rsidR="00000FA9">
        <w:t>s</w:t>
      </w:r>
      <w:r>
        <w:t xml:space="preserve"> a</w:t>
      </w:r>
      <w:r w:rsidR="00F94198">
        <w:t>n incorrect</w:t>
      </w:r>
      <w:r>
        <w:t xml:space="preserve"> reference to ‘subregulation 9.429.43(2)’ with the correct reference – ‘subregulation 9.46(2)’.</w:t>
      </w:r>
    </w:p>
    <w:p w:rsidR="00BD1FF8" w:rsidRDefault="00BD1FF8" w:rsidP="002E615F"/>
    <w:p w:rsidR="005E4288" w:rsidRDefault="005E4288" w:rsidP="002E615F"/>
    <w:sectPr w:rsidR="005E4288" w:rsidSect="00C8021A">
      <w:pgSz w:w="11906" w:h="16838"/>
      <w:pgMar w:top="1440" w:right="1800" w:bottom="1440" w:left="180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54D" w:rsidRDefault="00E7754D">
      <w:r>
        <w:separator/>
      </w:r>
    </w:p>
  </w:endnote>
  <w:endnote w:type="continuationSeparator" w:id="0">
    <w:p w:rsidR="00E7754D" w:rsidRDefault="00E775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54D" w:rsidRDefault="00E7754D">
      <w:r>
        <w:separator/>
      </w:r>
    </w:p>
  </w:footnote>
  <w:footnote w:type="continuationSeparator" w:id="0">
    <w:p w:rsidR="00E7754D" w:rsidRDefault="00E775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DE" w:rsidRDefault="00F17647" w:rsidP="00C8021A">
    <w:pPr>
      <w:pStyle w:val="Header"/>
      <w:framePr w:wrap="around" w:vAnchor="text" w:hAnchor="margin" w:xAlign="center" w:y="1"/>
      <w:rPr>
        <w:rStyle w:val="PageNumber"/>
      </w:rPr>
    </w:pPr>
    <w:r>
      <w:rPr>
        <w:rStyle w:val="PageNumber"/>
      </w:rPr>
      <w:fldChar w:fldCharType="begin"/>
    </w:r>
    <w:r w:rsidR="004759DE">
      <w:rPr>
        <w:rStyle w:val="PageNumber"/>
      </w:rPr>
      <w:instrText xml:space="preserve">PAGE  </w:instrText>
    </w:r>
    <w:r>
      <w:rPr>
        <w:rStyle w:val="PageNumber"/>
      </w:rPr>
      <w:fldChar w:fldCharType="end"/>
    </w:r>
  </w:p>
  <w:p w:rsidR="004759DE" w:rsidRDefault="004759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9DE" w:rsidRDefault="00F17647" w:rsidP="00C8021A">
    <w:pPr>
      <w:pStyle w:val="Header"/>
      <w:framePr w:wrap="around" w:vAnchor="text" w:hAnchor="margin" w:xAlign="center" w:y="1"/>
      <w:rPr>
        <w:rStyle w:val="PageNumber"/>
      </w:rPr>
    </w:pPr>
    <w:r>
      <w:rPr>
        <w:rStyle w:val="PageNumber"/>
      </w:rPr>
      <w:fldChar w:fldCharType="begin"/>
    </w:r>
    <w:r w:rsidR="004759DE">
      <w:rPr>
        <w:rStyle w:val="PageNumber"/>
      </w:rPr>
      <w:instrText xml:space="preserve">PAGE  </w:instrText>
    </w:r>
    <w:r>
      <w:rPr>
        <w:rStyle w:val="PageNumber"/>
      </w:rPr>
      <w:fldChar w:fldCharType="separate"/>
    </w:r>
    <w:r w:rsidR="00505E15">
      <w:rPr>
        <w:rStyle w:val="PageNumber"/>
        <w:noProof/>
      </w:rPr>
      <w:t>6</w:t>
    </w:r>
    <w:r>
      <w:rPr>
        <w:rStyle w:val="PageNumber"/>
      </w:rPr>
      <w:fldChar w:fldCharType="end"/>
    </w:r>
  </w:p>
  <w:p w:rsidR="004759DE" w:rsidRDefault="004759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stylePaneFormatFilter w:val="3F01"/>
  <w:doNotTrackMoves/>
  <w:defaultTabStop w:val="720"/>
  <w:characterSpacingControl w:val="doNotCompress"/>
  <w:hdrShapeDefaults>
    <o:shapedefaults v:ext="edit" spidmax="5121">
      <o:colormenu v:ext="edit" fillcolor="none"/>
    </o:shapedefaults>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33F0"/>
    <w:rsid w:val="00000E35"/>
    <w:rsid w:val="00000FA9"/>
    <w:rsid w:val="00001069"/>
    <w:rsid w:val="000305D8"/>
    <w:rsid w:val="00030A06"/>
    <w:rsid w:val="00042134"/>
    <w:rsid w:val="00046321"/>
    <w:rsid w:val="000505BF"/>
    <w:rsid w:val="000511EE"/>
    <w:rsid w:val="00056EA3"/>
    <w:rsid w:val="00075B64"/>
    <w:rsid w:val="000856E8"/>
    <w:rsid w:val="00091855"/>
    <w:rsid w:val="000A02EB"/>
    <w:rsid w:val="000A7F86"/>
    <w:rsid w:val="000B2816"/>
    <w:rsid w:val="000C624E"/>
    <w:rsid w:val="000D7862"/>
    <w:rsid w:val="000E4B15"/>
    <w:rsid w:val="001101CC"/>
    <w:rsid w:val="0011523A"/>
    <w:rsid w:val="00130E4F"/>
    <w:rsid w:val="00142555"/>
    <w:rsid w:val="00175BFF"/>
    <w:rsid w:val="001A0BDE"/>
    <w:rsid w:val="001A1D85"/>
    <w:rsid w:val="001A4266"/>
    <w:rsid w:val="001A6F21"/>
    <w:rsid w:val="001B277E"/>
    <w:rsid w:val="001B5F4B"/>
    <w:rsid w:val="001B6023"/>
    <w:rsid w:val="001C5A6D"/>
    <w:rsid w:val="001D67D2"/>
    <w:rsid w:val="00263432"/>
    <w:rsid w:val="002709FE"/>
    <w:rsid w:val="00291E88"/>
    <w:rsid w:val="00292DC9"/>
    <w:rsid w:val="00297A9D"/>
    <w:rsid w:val="002B54A2"/>
    <w:rsid w:val="002B7838"/>
    <w:rsid w:val="002C7644"/>
    <w:rsid w:val="002E4B12"/>
    <w:rsid w:val="002E615F"/>
    <w:rsid w:val="002F22AC"/>
    <w:rsid w:val="00307987"/>
    <w:rsid w:val="00312C7E"/>
    <w:rsid w:val="00331A81"/>
    <w:rsid w:val="0035784A"/>
    <w:rsid w:val="0036355F"/>
    <w:rsid w:val="00373AA1"/>
    <w:rsid w:val="0038641D"/>
    <w:rsid w:val="003A4443"/>
    <w:rsid w:val="003A7A7B"/>
    <w:rsid w:val="003C1A5F"/>
    <w:rsid w:val="003D074B"/>
    <w:rsid w:val="003E107A"/>
    <w:rsid w:val="003E30F1"/>
    <w:rsid w:val="003F01C7"/>
    <w:rsid w:val="00401352"/>
    <w:rsid w:val="00443C50"/>
    <w:rsid w:val="00453DAB"/>
    <w:rsid w:val="00472AF5"/>
    <w:rsid w:val="004759DE"/>
    <w:rsid w:val="004C17EE"/>
    <w:rsid w:val="004E27BC"/>
    <w:rsid w:val="004E3BED"/>
    <w:rsid w:val="004F7ECE"/>
    <w:rsid w:val="005044DA"/>
    <w:rsid w:val="00505E15"/>
    <w:rsid w:val="005070E5"/>
    <w:rsid w:val="00512BC4"/>
    <w:rsid w:val="00521DE9"/>
    <w:rsid w:val="0052575E"/>
    <w:rsid w:val="005545C5"/>
    <w:rsid w:val="00565FD6"/>
    <w:rsid w:val="005702E8"/>
    <w:rsid w:val="00575B07"/>
    <w:rsid w:val="00590279"/>
    <w:rsid w:val="005A0FF5"/>
    <w:rsid w:val="005B1FB2"/>
    <w:rsid w:val="005B3269"/>
    <w:rsid w:val="005E4288"/>
    <w:rsid w:val="0064036C"/>
    <w:rsid w:val="006463BD"/>
    <w:rsid w:val="006473D7"/>
    <w:rsid w:val="0065210F"/>
    <w:rsid w:val="0066069A"/>
    <w:rsid w:val="00676F64"/>
    <w:rsid w:val="00682866"/>
    <w:rsid w:val="006976A5"/>
    <w:rsid w:val="006A0BD1"/>
    <w:rsid w:val="006A19E5"/>
    <w:rsid w:val="006A3AE8"/>
    <w:rsid w:val="006B55FE"/>
    <w:rsid w:val="006C2E92"/>
    <w:rsid w:val="006C6358"/>
    <w:rsid w:val="006E1D33"/>
    <w:rsid w:val="006E53E9"/>
    <w:rsid w:val="007152E5"/>
    <w:rsid w:val="00717D82"/>
    <w:rsid w:val="007324DA"/>
    <w:rsid w:val="00732C8D"/>
    <w:rsid w:val="007404CD"/>
    <w:rsid w:val="00750FF8"/>
    <w:rsid w:val="00763346"/>
    <w:rsid w:val="0076726A"/>
    <w:rsid w:val="00773865"/>
    <w:rsid w:val="007D17DD"/>
    <w:rsid w:val="007D2E82"/>
    <w:rsid w:val="007D4EAA"/>
    <w:rsid w:val="007D54F9"/>
    <w:rsid w:val="007F531F"/>
    <w:rsid w:val="00814863"/>
    <w:rsid w:val="00824410"/>
    <w:rsid w:val="00825307"/>
    <w:rsid w:val="0084156B"/>
    <w:rsid w:val="00846FBD"/>
    <w:rsid w:val="00853E86"/>
    <w:rsid w:val="00860178"/>
    <w:rsid w:val="00874BF7"/>
    <w:rsid w:val="00880235"/>
    <w:rsid w:val="00882E22"/>
    <w:rsid w:val="008866C1"/>
    <w:rsid w:val="008941C9"/>
    <w:rsid w:val="008A21B8"/>
    <w:rsid w:val="008A2C83"/>
    <w:rsid w:val="008B5101"/>
    <w:rsid w:val="008C6F53"/>
    <w:rsid w:val="008F0DD3"/>
    <w:rsid w:val="00917870"/>
    <w:rsid w:val="00934B4F"/>
    <w:rsid w:val="009429F2"/>
    <w:rsid w:val="009518AF"/>
    <w:rsid w:val="00952CF4"/>
    <w:rsid w:val="00956C22"/>
    <w:rsid w:val="00974A21"/>
    <w:rsid w:val="009A33F2"/>
    <w:rsid w:val="009A6EE5"/>
    <w:rsid w:val="009B4A59"/>
    <w:rsid w:val="009C3E11"/>
    <w:rsid w:val="009D1F71"/>
    <w:rsid w:val="009D1FFE"/>
    <w:rsid w:val="009D7A6F"/>
    <w:rsid w:val="009E36C0"/>
    <w:rsid w:val="009F1D5B"/>
    <w:rsid w:val="009F52FF"/>
    <w:rsid w:val="00A021CB"/>
    <w:rsid w:val="00A16ED6"/>
    <w:rsid w:val="00A57EA8"/>
    <w:rsid w:val="00A71BF7"/>
    <w:rsid w:val="00A77E5B"/>
    <w:rsid w:val="00A9634C"/>
    <w:rsid w:val="00AB5969"/>
    <w:rsid w:val="00B0022F"/>
    <w:rsid w:val="00B13231"/>
    <w:rsid w:val="00B32BF6"/>
    <w:rsid w:val="00B33AE7"/>
    <w:rsid w:val="00B43CCD"/>
    <w:rsid w:val="00B543E3"/>
    <w:rsid w:val="00B62823"/>
    <w:rsid w:val="00BA43F3"/>
    <w:rsid w:val="00BB06FA"/>
    <w:rsid w:val="00BC360F"/>
    <w:rsid w:val="00BC4F60"/>
    <w:rsid w:val="00BC65FB"/>
    <w:rsid w:val="00BD1FF8"/>
    <w:rsid w:val="00BE283A"/>
    <w:rsid w:val="00BF6987"/>
    <w:rsid w:val="00C00204"/>
    <w:rsid w:val="00C03664"/>
    <w:rsid w:val="00C03E6C"/>
    <w:rsid w:val="00C131AA"/>
    <w:rsid w:val="00C16FED"/>
    <w:rsid w:val="00C17236"/>
    <w:rsid w:val="00C2302D"/>
    <w:rsid w:val="00C334D8"/>
    <w:rsid w:val="00C62A25"/>
    <w:rsid w:val="00C77C3E"/>
    <w:rsid w:val="00C8021A"/>
    <w:rsid w:val="00C80BAA"/>
    <w:rsid w:val="00CB0D2F"/>
    <w:rsid w:val="00CF762B"/>
    <w:rsid w:val="00D24AAD"/>
    <w:rsid w:val="00D32919"/>
    <w:rsid w:val="00D47E0F"/>
    <w:rsid w:val="00D52398"/>
    <w:rsid w:val="00D53AB2"/>
    <w:rsid w:val="00D55298"/>
    <w:rsid w:val="00D5669D"/>
    <w:rsid w:val="00D633F0"/>
    <w:rsid w:val="00D66041"/>
    <w:rsid w:val="00D66807"/>
    <w:rsid w:val="00D7193B"/>
    <w:rsid w:val="00D73F41"/>
    <w:rsid w:val="00D91C54"/>
    <w:rsid w:val="00DD30F5"/>
    <w:rsid w:val="00DE3071"/>
    <w:rsid w:val="00DF3103"/>
    <w:rsid w:val="00DF5FEC"/>
    <w:rsid w:val="00E27FD2"/>
    <w:rsid w:val="00E34B02"/>
    <w:rsid w:val="00E41EC0"/>
    <w:rsid w:val="00E5744B"/>
    <w:rsid w:val="00E660D2"/>
    <w:rsid w:val="00E7754D"/>
    <w:rsid w:val="00E83305"/>
    <w:rsid w:val="00E84A03"/>
    <w:rsid w:val="00E84A22"/>
    <w:rsid w:val="00EA088F"/>
    <w:rsid w:val="00EA349B"/>
    <w:rsid w:val="00F014C6"/>
    <w:rsid w:val="00F0347B"/>
    <w:rsid w:val="00F05443"/>
    <w:rsid w:val="00F05DBF"/>
    <w:rsid w:val="00F15CC7"/>
    <w:rsid w:val="00F17647"/>
    <w:rsid w:val="00F51D75"/>
    <w:rsid w:val="00F55C79"/>
    <w:rsid w:val="00F565B3"/>
    <w:rsid w:val="00F825BD"/>
    <w:rsid w:val="00F94198"/>
    <w:rsid w:val="00FA6972"/>
    <w:rsid w:val="00FA7607"/>
    <w:rsid w:val="00FF7AEC"/>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0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1A81"/>
    <w:pPr>
      <w:tabs>
        <w:tab w:val="center" w:pos="4153"/>
        <w:tab w:val="right" w:pos="8306"/>
      </w:tabs>
    </w:pPr>
  </w:style>
  <w:style w:type="paragraph" w:styleId="Footer">
    <w:name w:val="footer"/>
    <w:basedOn w:val="Normal"/>
    <w:rsid w:val="00331A81"/>
    <w:pPr>
      <w:tabs>
        <w:tab w:val="center" w:pos="4153"/>
        <w:tab w:val="right" w:pos="8306"/>
      </w:tabs>
    </w:pPr>
  </w:style>
  <w:style w:type="paragraph" w:styleId="BalloonText">
    <w:name w:val="Balloon Text"/>
    <w:basedOn w:val="Normal"/>
    <w:semiHidden/>
    <w:rsid w:val="00331A81"/>
    <w:rPr>
      <w:rFonts w:ascii="Tahoma" w:hAnsi="Tahoma" w:cs="Tahoma"/>
      <w:sz w:val="16"/>
      <w:szCs w:val="16"/>
    </w:rPr>
  </w:style>
  <w:style w:type="character" w:styleId="PageNumber">
    <w:name w:val="page number"/>
    <w:basedOn w:val="DefaultParagraphFont"/>
    <w:rsid w:val="00C8021A"/>
  </w:style>
  <w:style w:type="character" w:styleId="Emphasis">
    <w:name w:val="Emphasis"/>
    <w:basedOn w:val="DefaultParagraphFont"/>
    <w:qFormat/>
    <w:rsid w:val="00717D8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5</number>
            <property>Modified</property>
            <period>years</period>
          </formula>
          <action type="action" id="Microsoft.Office.RecordsManagement.PolicyFeatures.Expiration.Action.MoveToRecycleBin"/>
        </data>
      </p:CustomData>
    </p:PolicyItem>
  </p:PolicyItems>
</p:Policy>
</file>

<file path=customXml/item2.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3.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8" ma:contentTypeDescription="Ddocs' Word Content Type" ma:contentTypeScope="" ma:versionID="793a7a22477a239c553a583959da4cf0">
  <xsd:schema xmlns:xsd="http://www.w3.org/2001/XMLSchema" xmlns:p="http://schemas.microsoft.com/office/2006/metadata/properties" xmlns:ns2="http://schemas.microsoft.com/sharepoint/v3/fields" xmlns:ns3="aa4207c7-5642-493f-9786-e265201cbb14" targetNamespace="http://schemas.microsoft.com/office/2006/metadata/properties" ma:root="true" ma:fieldsID="da3708b4646010876a46c632f3dab662"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ternalName="DNetUniqueId" ma:readOnly="true">
      <xsd:simpleType>
        <xsd:restriction base="dms:Text"/>
      </xsd:simpleType>
    </xsd:element>
  </xsd:schema>
  <xsd:schema xmlns:xsd="http://www.w3.org/2001/XMLSchema" xmlns:dms="http://schemas.microsoft.com/office/2006/documentManagement/types" targetNamespace="aa4207c7-5642-493f-9786-e265201cbb14" elementFormDefault="qualified">
    <xsd:import namespace="http://schemas.microsoft.com/office/2006/documentManagement/type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C16C3A5-395C-4CBE-B7A6-EE7F53AF2BE8}">
  <ds:schemaRefs>
    <ds:schemaRef ds:uri="office.server.policy"/>
  </ds:schemaRefs>
</ds:datastoreItem>
</file>

<file path=customXml/itemProps2.xml><?xml version="1.0" encoding="utf-8"?>
<ds:datastoreItem xmlns:ds="http://schemas.openxmlformats.org/officeDocument/2006/customXml" ds:itemID="{F7004A9E-CC89-4B8F-84B3-4F4D18C60D11}">
  <ds:schemaRefs>
    <ds:schemaRef ds:uri="http://schemas.microsoft.com/sharepoint/events"/>
  </ds:schemaRefs>
</ds:datastoreItem>
</file>

<file path=customXml/itemProps3.xml><?xml version="1.0" encoding="utf-8"?>
<ds:datastoreItem xmlns:ds="http://schemas.openxmlformats.org/officeDocument/2006/customXml" ds:itemID="{70196B6C-0BC8-4BC0-9C6E-380D6A816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11FFEF-311E-41B3-B03B-089E870C20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2626</Words>
  <Characters>14318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Government</Company>
  <LinksUpToDate>false</LinksUpToDate>
  <CharactersWithSpaces>16911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NORBERRY,Jennifer</dc:creator>
  <cp:lastModifiedBy>gobbid</cp:lastModifiedBy>
  <cp:revision>3</cp:revision>
  <cp:lastPrinted>2011-01-14T06:11:00Z</cp:lastPrinted>
  <dcterms:created xsi:type="dcterms:W3CDTF">2011-02-01T05:21:00Z</dcterms:created>
  <dcterms:modified xsi:type="dcterms:W3CDTF">2011-03-09T03:33:00Z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2016-01-14T17:11:29Z</vt:lpwstr>
  </property>
  <property fmtid="{D5CDD505-2E9C-101B-9397-08002B2CF9AE}" pid="3" name="ContentType">
    <vt:lpwstr>Ddocs Word Document</vt:lpwstr>
  </property>
  <property fmtid="{D5CDD505-2E9C-101B-9397-08002B2CF9AE}" pid="4" name="DNetUniqueId">
    <vt:lpwstr>D08-1956921</vt:lpwstr>
  </property>
</Properties>
</file>