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86" w:rsidRPr="009A2975" w:rsidRDefault="00DA38EA" w:rsidP="00114FB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1.75pt;height:87pt;mso-position-horizontal:absolute" fillcolor="window">
            <v:imagedata r:id="rId7" o:title=""/>
          </v:shape>
        </w:pict>
      </w:r>
    </w:p>
    <w:p w:rsidR="00FD5A86" w:rsidRPr="00F40E52" w:rsidRDefault="00FD5A86" w:rsidP="00114FBD">
      <w:pPr>
        <w:pStyle w:val="Title"/>
      </w:pPr>
      <w:bookmarkStart w:id="0" w:name="Citation"/>
      <w:r w:rsidRPr="00F40E52">
        <w:t>Telecommunications Universal Service Obligation (Standard Telephone Service—Requirements and Circumstances) Determination (No.</w:t>
      </w:r>
      <w:r w:rsidR="00653F76">
        <w:t> </w:t>
      </w:r>
      <w:r w:rsidRPr="00F40E52">
        <w:t>1) 2011</w:t>
      </w:r>
      <w:bookmarkEnd w:id="0"/>
    </w:p>
    <w:p w:rsidR="00FD5A86" w:rsidRDefault="00FD5A86" w:rsidP="00114FBD">
      <w:pPr>
        <w:pStyle w:val="CoverStatRule"/>
        <w:rPr>
          <w:lang w:val="en-US"/>
        </w:rPr>
      </w:pPr>
      <w:r>
        <w:rPr>
          <w:lang w:val="en-US"/>
        </w:rPr>
        <w:t>as amended</w:t>
      </w:r>
    </w:p>
    <w:p w:rsidR="00FD5A86" w:rsidRPr="00D72907" w:rsidRDefault="00FD5A86" w:rsidP="00114FBD">
      <w:pPr>
        <w:pStyle w:val="CoverMade"/>
        <w:rPr>
          <w:lang w:val="en-US"/>
        </w:rPr>
      </w:pPr>
      <w:r>
        <w:rPr>
          <w:lang w:val="en-US"/>
        </w:rPr>
        <w:t xml:space="preserve">made under </w:t>
      </w:r>
      <w:r w:rsidRPr="003F2B22">
        <w:t>subsections 9(2D) and 9(3)</w:t>
      </w:r>
      <w:r>
        <w:t xml:space="preserve"> of the</w:t>
      </w:r>
    </w:p>
    <w:p w:rsidR="00FD5A86" w:rsidRDefault="00FD5A86" w:rsidP="00114FBD">
      <w:pPr>
        <w:pStyle w:val="CoverAct"/>
        <w:rPr>
          <w:lang w:val="en-US"/>
        </w:rPr>
      </w:pPr>
      <w:bookmarkStart w:id="1" w:name="Act"/>
      <w:r w:rsidRPr="00FD5A86">
        <w:rPr>
          <w:iCs/>
        </w:rPr>
        <w:t>Telecommunications (Consumer Protection and Service Standards) Act 1999</w:t>
      </w:r>
      <w:bookmarkEnd w:id="1"/>
    </w:p>
    <w:p w:rsidR="00FD5A86" w:rsidRDefault="00FD5A86" w:rsidP="00114FBD">
      <w:pPr>
        <w:pStyle w:val="CoverUpdate"/>
        <w:rPr>
          <w:color w:val="000000"/>
        </w:rPr>
      </w:pPr>
      <w:r>
        <w:t xml:space="preserve">This compilation was prepared on </w:t>
      </w:r>
      <w:r w:rsidR="00114FBD">
        <w:rPr>
          <w:color w:val="000000"/>
        </w:rPr>
        <w:t>31 May 2012</w:t>
      </w:r>
      <w:r>
        <w:rPr>
          <w:color w:val="000000"/>
        </w:rPr>
        <w:br/>
        <w:t xml:space="preserve">taking into account amendments up to </w:t>
      </w:r>
      <w:r w:rsidR="000A7661" w:rsidRPr="000A7661">
        <w:rPr>
          <w:i/>
          <w:color w:val="000000"/>
        </w:rPr>
        <w:t>Telecommunications Universal Service Obligation (Standard Telephone Service—Requirements and Circumstances) Determination (No. 1) 2011</w:t>
      </w:r>
      <w:r w:rsidR="006D4F91">
        <w:rPr>
          <w:i/>
          <w:color w:val="000000"/>
        </w:rPr>
        <w:t xml:space="preserve"> </w:t>
      </w:r>
      <w:r w:rsidR="000A7661" w:rsidRPr="000A7661">
        <w:rPr>
          <w:i/>
          <w:color w:val="000000"/>
        </w:rPr>
        <w:t>(Amendment No. 1 of 2012)</w:t>
      </w:r>
    </w:p>
    <w:p w:rsidR="00FD5A86" w:rsidRDefault="00FD5A86" w:rsidP="00114FBD">
      <w:pPr>
        <w:pStyle w:val="CoverUpdate"/>
        <w:rPr>
          <w:color w:val="000000"/>
        </w:rPr>
      </w:pPr>
      <w:r>
        <w:rPr>
          <w:color w:val="000000"/>
        </w:rPr>
        <w:t>Prepared by the Office of Legislative Drafting and Publishing,</w:t>
      </w:r>
      <w:r>
        <w:rPr>
          <w:color w:val="000000"/>
        </w:rPr>
        <w:br/>
        <w:t>Attorney-General’s Department, Canberra</w:t>
      </w:r>
    </w:p>
    <w:p w:rsidR="00FD5A86" w:rsidRDefault="00FD5A86" w:rsidP="00114FBD">
      <w:pPr>
        <w:pStyle w:val="SigningPageBreak"/>
        <w:sectPr w:rsidR="00FD5A86" w:rsidSect="00114FBD">
          <w:headerReference w:type="even" r:id="rId8"/>
          <w:headerReference w:type="default" r:id="rId9"/>
          <w:footerReference w:type="even" r:id="rId10"/>
          <w:footerReference w:type="default" r:id="rId11"/>
          <w:pgSz w:w="11907" w:h="16839" w:code="9"/>
          <w:pgMar w:top="1440" w:right="1797" w:bottom="1440" w:left="1797" w:header="709" w:footer="709" w:gutter="0"/>
          <w:cols w:space="708"/>
          <w:titlePg/>
          <w:docGrid w:linePitch="360"/>
        </w:sectPr>
      </w:pPr>
    </w:p>
    <w:p w:rsidR="00FD5A86" w:rsidRDefault="00FD5A86" w:rsidP="00114FBD">
      <w:pPr>
        <w:pStyle w:val="ContentsHead"/>
      </w:pPr>
      <w:r>
        <w:lastRenderedPageBreak/>
        <w:t>Contents</w:t>
      </w:r>
    </w:p>
    <w:p w:rsidR="00D553B3" w:rsidRDefault="00DA38EA">
      <w:pPr>
        <w:pStyle w:val="TOC2"/>
        <w:rPr>
          <w:rFonts w:asciiTheme="minorHAnsi" w:eastAsiaTheme="minorEastAsia" w:hAnsiTheme="minorHAnsi" w:cstheme="minorBidi"/>
          <w:b w:val="0"/>
          <w:noProof/>
          <w:sz w:val="22"/>
          <w:szCs w:val="22"/>
          <w:lang w:eastAsia="en-AU"/>
        </w:rPr>
      </w:pPr>
      <w:r w:rsidRPr="00DA38EA">
        <w:fldChar w:fldCharType="begin"/>
      </w:r>
      <w:r w:rsidR="00D553B3">
        <w:instrText xml:space="preserve"> TOC \o "1-9" \t "HC,1, HP,2, HD,3, HS,4,CHS,4, HR,5, RGHead,7, Schedule title,6, Schedule part,8, Schedule Division,8, RX.SC,8, Dictionary Heading,2, Note Heading,9" </w:instrText>
      </w:r>
      <w:r w:rsidRPr="00DA38EA">
        <w:fldChar w:fldCharType="separate"/>
      </w:r>
      <w:r w:rsidR="00D553B3">
        <w:rPr>
          <w:noProof/>
        </w:rPr>
        <w:t>Part 1</w:t>
      </w:r>
      <w:r w:rsidR="00D553B3">
        <w:rPr>
          <w:rFonts w:asciiTheme="minorHAnsi" w:eastAsiaTheme="minorEastAsia" w:hAnsiTheme="minorHAnsi" w:cstheme="minorBidi"/>
          <w:b w:val="0"/>
          <w:noProof/>
          <w:sz w:val="22"/>
          <w:szCs w:val="22"/>
          <w:lang w:eastAsia="en-AU"/>
        </w:rPr>
        <w:tab/>
      </w:r>
      <w:r w:rsidR="00D553B3">
        <w:rPr>
          <w:noProof/>
        </w:rPr>
        <w:t>Preliminary</w:t>
      </w:r>
      <w:r w:rsidR="00D553B3">
        <w:rPr>
          <w:noProof/>
        </w:rPr>
        <w:tab/>
      </w:r>
    </w:p>
    <w:p w:rsidR="00D553B3" w:rsidRDefault="00D553B3">
      <w:pPr>
        <w:pStyle w:val="TOC5"/>
        <w:rPr>
          <w:rFonts w:asciiTheme="minorHAnsi" w:eastAsiaTheme="minorEastAsia" w:hAnsiTheme="minorHAnsi" w:cstheme="minorBidi"/>
          <w:sz w:val="22"/>
          <w:szCs w:val="22"/>
          <w:lang w:eastAsia="en-AU"/>
        </w:rPr>
      </w:pPr>
      <w:r>
        <w:tab/>
        <w:t>1</w:t>
      </w:r>
      <w:r>
        <w:rPr>
          <w:rFonts w:asciiTheme="minorHAnsi" w:eastAsiaTheme="minorEastAsia" w:hAnsiTheme="minorHAnsi" w:cstheme="minorBidi"/>
          <w:sz w:val="22"/>
          <w:szCs w:val="22"/>
          <w:lang w:eastAsia="en-AU"/>
        </w:rPr>
        <w:tab/>
      </w:r>
      <w:r w:rsidRPr="00E50CC0">
        <w:rPr>
          <w:rFonts w:cs="Arial"/>
        </w:rPr>
        <w:t>Name of instrument</w:t>
      </w:r>
      <w:r>
        <w:t xml:space="preserve"> </w:t>
      </w:r>
      <w:r w:rsidRPr="00E50CC0">
        <w:t>[</w:t>
      </w:r>
      <w:r w:rsidRPr="00E50CC0">
        <w:rPr>
          <w:i/>
        </w:rPr>
        <w:t xml:space="preserve">see </w:t>
      </w:r>
      <w:r w:rsidRPr="00E50CC0">
        <w:t>Note 1]</w:t>
      </w:r>
      <w:r>
        <w:tab/>
      </w:r>
      <w:r w:rsidR="00DA38EA">
        <w:fldChar w:fldCharType="begin"/>
      </w:r>
      <w:r>
        <w:instrText xml:space="preserve"> PAGEREF _Toc326573983 \h </w:instrText>
      </w:r>
      <w:r w:rsidR="00DA38EA">
        <w:fldChar w:fldCharType="separate"/>
      </w:r>
      <w:r w:rsidR="006D4F91">
        <w:t>3</w:t>
      </w:r>
      <w:r w:rsidR="00DA38EA">
        <w:fldChar w:fldCharType="end"/>
      </w:r>
    </w:p>
    <w:p w:rsidR="00D553B3" w:rsidRDefault="00D553B3">
      <w:pPr>
        <w:pStyle w:val="TOC5"/>
        <w:rPr>
          <w:rFonts w:asciiTheme="minorHAnsi" w:eastAsiaTheme="minorEastAsia" w:hAnsiTheme="minorHAnsi" w:cstheme="minorBidi"/>
          <w:sz w:val="22"/>
          <w:szCs w:val="22"/>
          <w:lang w:eastAsia="en-AU"/>
        </w:rPr>
      </w:pPr>
      <w:r>
        <w:tab/>
        <w:t>2</w:t>
      </w:r>
      <w:r>
        <w:rPr>
          <w:rFonts w:asciiTheme="minorHAnsi" w:eastAsiaTheme="minorEastAsia" w:hAnsiTheme="minorHAnsi" w:cstheme="minorBidi"/>
          <w:sz w:val="22"/>
          <w:szCs w:val="22"/>
          <w:lang w:eastAsia="en-AU"/>
        </w:rPr>
        <w:tab/>
      </w:r>
      <w:r w:rsidRPr="00E50CC0">
        <w:rPr>
          <w:rFonts w:cs="Arial"/>
        </w:rPr>
        <w:t>Commencement</w:t>
      </w:r>
      <w:r>
        <w:t xml:space="preserve"> </w:t>
      </w:r>
      <w:r w:rsidRPr="00E50CC0">
        <w:t>[</w:t>
      </w:r>
      <w:r w:rsidRPr="00E50CC0">
        <w:rPr>
          <w:i/>
        </w:rPr>
        <w:t xml:space="preserve">see </w:t>
      </w:r>
      <w:r w:rsidRPr="00E50CC0">
        <w:t>Note 1]</w:t>
      </w:r>
      <w:r>
        <w:tab/>
      </w:r>
      <w:r w:rsidR="00DA38EA">
        <w:fldChar w:fldCharType="begin"/>
      </w:r>
      <w:r>
        <w:instrText xml:space="preserve"> PAGEREF _Toc326573984 \h </w:instrText>
      </w:r>
      <w:r w:rsidR="00DA38EA">
        <w:fldChar w:fldCharType="separate"/>
      </w:r>
      <w:r w:rsidR="006D4F91">
        <w:t>3</w:t>
      </w:r>
      <w:r w:rsidR="00DA38EA">
        <w:fldChar w:fldCharType="end"/>
      </w:r>
    </w:p>
    <w:p w:rsidR="00D553B3" w:rsidRDefault="00D553B3">
      <w:pPr>
        <w:pStyle w:val="TOC5"/>
        <w:rPr>
          <w:rFonts w:asciiTheme="minorHAnsi" w:eastAsiaTheme="minorEastAsia" w:hAnsiTheme="minorHAnsi" w:cstheme="minorBidi"/>
          <w:sz w:val="22"/>
          <w:szCs w:val="22"/>
          <w:lang w:eastAsia="en-AU"/>
        </w:rPr>
      </w:pPr>
      <w:r>
        <w:tab/>
        <w:t>3</w:t>
      </w:r>
      <w:r>
        <w:rPr>
          <w:rFonts w:asciiTheme="minorHAnsi" w:eastAsiaTheme="minorEastAsia" w:hAnsiTheme="minorHAnsi" w:cstheme="minorBidi"/>
          <w:sz w:val="22"/>
          <w:szCs w:val="22"/>
          <w:lang w:eastAsia="en-AU"/>
        </w:rPr>
        <w:tab/>
      </w:r>
      <w:r w:rsidRPr="00E50CC0">
        <w:rPr>
          <w:rFonts w:cs="Arial"/>
        </w:rPr>
        <w:t>Definitions</w:t>
      </w:r>
      <w:r>
        <w:tab/>
      </w:r>
      <w:r w:rsidR="00DA38EA">
        <w:fldChar w:fldCharType="begin"/>
      </w:r>
      <w:r>
        <w:instrText xml:space="preserve"> PAGEREF _Toc326573985 \h </w:instrText>
      </w:r>
      <w:r w:rsidR="00DA38EA">
        <w:fldChar w:fldCharType="separate"/>
      </w:r>
      <w:r w:rsidR="006D4F91">
        <w:t>3</w:t>
      </w:r>
      <w:r w:rsidR="00DA38EA">
        <w:fldChar w:fldCharType="end"/>
      </w:r>
    </w:p>
    <w:p w:rsidR="00D553B3" w:rsidRDefault="00D553B3">
      <w:pPr>
        <w:pStyle w:val="TOC5"/>
        <w:rPr>
          <w:rFonts w:asciiTheme="minorHAnsi" w:eastAsiaTheme="minorEastAsia" w:hAnsiTheme="minorHAnsi" w:cstheme="minorBidi"/>
          <w:sz w:val="22"/>
          <w:szCs w:val="22"/>
          <w:lang w:eastAsia="en-AU"/>
        </w:rPr>
      </w:pPr>
      <w:r>
        <w:tab/>
        <w:t>4</w:t>
      </w:r>
      <w:r>
        <w:rPr>
          <w:rFonts w:asciiTheme="minorHAnsi" w:eastAsiaTheme="minorEastAsia" w:hAnsiTheme="minorHAnsi" w:cstheme="minorBidi"/>
          <w:sz w:val="22"/>
          <w:szCs w:val="22"/>
          <w:lang w:eastAsia="en-AU"/>
        </w:rPr>
        <w:tab/>
      </w:r>
      <w:r w:rsidRPr="00E50CC0">
        <w:rPr>
          <w:rFonts w:cs="Arial"/>
        </w:rPr>
        <w:t>Requests from a person on behalf of the requestor</w:t>
      </w:r>
      <w:r>
        <w:tab/>
      </w:r>
      <w:r w:rsidR="00DA38EA">
        <w:fldChar w:fldCharType="begin"/>
      </w:r>
      <w:r>
        <w:instrText xml:space="preserve"> PAGEREF _Toc326573986 \h </w:instrText>
      </w:r>
      <w:r w:rsidR="00DA38EA">
        <w:fldChar w:fldCharType="separate"/>
      </w:r>
      <w:r w:rsidR="006D4F91">
        <w:t>5</w:t>
      </w:r>
      <w:r w:rsidR="00DA38EA">
        <w:fldChar w:fldCharType="end"/>
      </w:r>
    </w:p>
    <w:p w:rsidR="00D553B3" w:rsidRDefault="00D553B3">
      <w:pPr>
        <w:pStyle w:val="TOC5"/>
        <w:rPr>
          <w:rFonts w:asciiTheme="minorHAnsi" w:eastAsiaTheme="minorEastAsia" w:hAnsiTheme="minorHAnsi" w:cstheme="minorBidi"/>
          <w:sz w:val="22"/>
          <w:szCs w:val="22"/>
          <w:lang w:eastAsia="en-AU"/>
        </w:rPr>
      </w:pPr>
      <w:r>
        <w:tab/>
        <w:t>5</w:t>
      </w:r>
      <w:r>
        <w:rPr>
          <w:rFonts w:asciiTheme="minorHAnsi" w:eastAsiaTheme="minorEastAsia" w:hAnsiTheme="minorHAnsi" w:cstheme="minorBidi"/>
          <w:sz w:val="22"/>
          <w:szCs w:val="22"/>
          <w:lang w:eastAsia="en-AU"/>
        </w:rPr>
        <w:tab/>
      </w:r>
      <w:r w:rsidRPr="00E50CC0">
        <w:rPr>
          <w:rFonts w:cs="Arial"/>
        </w:rPr>
        <w:t>Objects of Part 2 of the Act</w:t>
      </w:r>
      <w:r>
        <w:tab/>
      </w:r>
      <w:r w:rsidR="00DA38EA">
        <w:fldChar w:fldCharType="begin"/>
      </w:r>
      <w:r>
        <w:instrText xml:space="preserve"> PAGEREF _Toc326573987 \h </w:instrText>
      </w:r>
      <w:r w:rsidR="00DA38EA">
        <w:fldChar w:fldCharType="separate"/>
      </w:r>
      <w:r w:rsidR="006D4F91">
        <w:t>5</w:t>
      </w:r>
      <w:r w:rsidR="00DA38EA">
        <w:fldChar w:fldCharType="end"/>
      </w:r>
    </w:p>
    <w:p w:rsidR="00D553B3" w:rsidRDefault="00D553B3">
      <w:pPr>
        <w:pStyle w:val="TOC2"/>
        <w:rPr>
          <w:rFonts w:asciiTheme="minorHAnsi" w:eastAsiaTheme="minorEastAsia" w:hAnsiTheme="minorHAnsi" w:cstheme="minorBidi"/>
          <w:b w:val="0"/>
          <w:noProof/>
          <w:sz w:val="22"/>
          <w:szCs w:val="22"/>
          <w:lang w:eastAsia="en-AU"/>
        </w:rPr>
      </w:pPr>
      <w:r>
        <w:rPr>
          <w:noProof/>
        </w:rPr>
        <w:t>Part 2</w:t>
      </w:r>
      <w:r>
        <w:rPr>
          <w:rFonts w:asciiTheme="minorHAnsi" w:eastAsiaTheme="minorEastAsia" w:hAnsiTheme="minorHAnsi" w:cstheme="minorBidi"/>
          <w:b w:val="0"/>
          <w:noProof/>
          <w:sz w:val="22"/>
          <w:szCs w:val="22"/>
          <w:lang w:eastAsia="en-AU"/>
        </w:rPr>
        <w:tab/>
      </w:r>
      <w:r>
        <w:rPr>
          <w:noProof/>
        </w:rPr>
        <w:t>Requirements and Circumstances</w:t>
      </w:r>
      <w:r>
        <w:rPr>
          <w:noProof/>
        </w:rPr>
        <w:tab/>
      </w:r>
    </w:p>
    <w:p w:rsidR="00D553B3" w:rsidRDefault="00D553B3">
      <w:pPr>
        <w:pStyle w:val="TOC3"/>
        <w:rPr>
          <w:rFonts w:asciiTheme="minorHAnsi" w:eastAsiaTheme="minorEastAsia" w:hAnsiTheme="minorHAnsi" w:cstheme="minorBidi"/>
          <w:b w:val="0"/>
          <w:noProof/>
          <w:sz w:val="22"/>
          <w:szCs w:val="22"/>
          <w:lang w:eastAsia="en-AU"/>
        </w:rPr>
      </w:pPr>
      <w:r>
        <w:rPr>
          <w:noProof/>
        </w:rPr>
        <w:t>Division 1</w:t>
      </w:r>
      <w:r>
        <w:rPr>
          <w:rFonts w:asciiTheme="minorHAnsi" w:eastAsiaTheme="minorEastAsia" w:hAnsiTheme="minorHAnsi" w:cstheme="minorBidi"/>
          <w:b w:val="0"/>
          <w:noProof/>
          <w:sz w:val="22"/>
          <w:szCs w:val="22"/>
          <w:lang w:eastAsia="en-AU"/>
        </w:rPr>
        <w:tab/>
      </w:r>
      <w:r>
        <w:rPr>
          <w:noProof/>
        </w:rPr>
        <w:t>Requirements for a request for supply of a standard telephone service</w:t>
      </w:r>
      <w:r>
        <w:rPr>
          <w:noProof/>
        </w:rPr>
        <w:tab/>
      </w:r>
    </w:p>
    <w:p w:rsidR="00D553B3" w:rsidRDefault="00D553B3">
      <w:pPr>
        <w:pStyle w:val="TOC5"/>
        <w:rPr>
          <w:rFonts w:asciiTheme="minorHAnsi" w:eastAsiaTheme="minorEastAsia" w:hAnsiTheme="minorHAnsi" w:cstheme="minorBidi"/>
          <w:sz w:val="22"/>
          <w:szCs w:val="22"/>
          <w:lang w:eastAsia="en-AU"/>
        </w:rPr>
      </w:pPr>
      <w:r>
        <w:rPr>
          <w:rFonts w:cs="Arial"/>
        </w:rPr>
        <w:tab/>
      </w:r>
      <w:r w:rsidRPr="00E50CC0">
        <w:rPr>
          <w:rFonts w:cs="Arial"/>
        </w:rPr>
        <w:t>6</w:t>
      </w:r>
      <w:r>
        <w:rPr>
          <w:rFonts w:asciiTheme="minorHAnsi" w:eastAsiaTheme="minorEastAsia" w:hAnsiTheme="minorHAnsi" w:cstheme="minorBidi"/>
          <w:sz w:val="22"/>
          <w:szCs w:val="22"/>
          <w:lang w:eastAsia="en-AU"/>
        </w:rPr>
        <w:tab/>
      </w:r>
      <w:r w:rsidRPr="00E50CC0">
        <w:rPr>
          <w:rFonts w:cs="Arial"/>
        </w:rPr>
        <w:t>Request requirements</w:t>
      </w:r>
      <w:r>
        <w:tab/>
      </w:r>
      <w:r w:rsidR="00DA38EA">
        <w:fldChar w:fldCharType="begin"/>
      </w:r>
      <w:r>
        <w:instrText xml:space="preserve"> PAGEREF _Toc326573990 \h </w:instrText>
      </w:r>
      <w:r w:rsidR="00DA38EA">
        <w:fldChar w:fldCharType="separate"/>
      </w:r>
      <w:r w:rsidR="006D4F91">
        <w:t>6</w:t>
      </w:r>
      <w:r w:rsidR="00DA38EA">
        <w:fldChar w:fldCharType="end"/>
      </w:r>
    </w:p>
    <w:p w:rsidR="00D553B3" w:rsidRDefault="00D553B3">
      <w:pPr>
        <w:pStyle w:val="TOC3"/>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Circumstances in which the obligation to supply standard telephone services on request does not apply</w:t>
      </w:r>
      <w:r>
        <w:rPr>
          <w:noProof/>
        </w:rPr>
        <w:tab/>
      </w:r>
    </w:p>
    <w:p w:rsidR="00D553B3" w:rsidRDefault="00D553B3">
      <w:pPr>
        <w:pStyle w:val="TOC5"/>
        <w:rPr>
          <w:rFonts w:asciiTheme="minorHAnsi" w:eastAsiaTheme="minorEastAsia" w:hAnsiTheme="minorHAnsi" w:cstheme="minorBidi"/>
          <w:sz w:val="22"/>
          <w:szCs w:val="22"/>
          <w:lang w:eastAsia="en-AU"/>
        </w:rPr>
      </w:pPr>
      <w:r>
        <w:rPr>
          <w:rFonts w:cs="Arial"/>
        </w:rPr>
        <w:tab/>
      </w:r>
      <w:r w:rsidRPr="00E50CC0">
        <w:rPr>
          <w:rFonts w:cs="Arial"/>
        </w:rPr>
        <w:t>7</w:t>
      </w:r>
      <w:r>
        <w:rPr>
          <w:rFonts w:asciiTheme="minorHAnsi" w:eastAsiaTheme="minorEastAsia" w:hAnsiTheme="minorHAnsi" w:cstheme="minorBidi"/>
          <w:sz w:val="22"/>
          <w:szCs w:val="22"/>
          <w:lang w:eastAsia="en-AU"/>
        </w:rPr>
        <w:tab/>
      </w:r>
      <w:r w:rsidRPr="00E50CC0">
        <w:rPr>
          <w:rFonts w:cs="Arial"/>
        </w:rPr>
        <w:t>No obligation to supply a standard telephone service in certain circumstances</w:t>
      </w:r>
      <w:r>
        <w:tab/>
      </w:r>
      <w:r w:rsidR="00DA38EA">
        <w:fldChar w:fldCharType="begin"/>
      </w:r>
      <w:r>
        <w:instrText xml:space="preserve"> PAGEREF _Toc326573992 \h </w:instrText>
      </w:r>
      <w:r w:rsidR="00DA38EA">
        <w:fldChar w:fldCharType="separate"/>
      </w:r>
      <w:r w:rsidR="006D4F91">
        <w:t>6</w:t>
      </w:r>
      <w:r w:rsidR="00DA38EA">
        <w:fldChar w:fldCharType="end"/>
      </w:r>
    </w:p>
    <w:p w:rsidR="00D553B3" w:rsidRDefault="00D553B3">
      <w:pPr>
        <w:pStyle w:val="TOC5"/>
        <w:rPr>
          <w:rFonts w:asciiTheme="minorHAnsi" w:eastAsiaTheme="minorEastAsia" w:hAnsiTheme="minorHAnsi" w:cstheme="minorBidi"/>
          <w:sz w:val="22"/>
          <w:szCs w:val="22"/>
          <w:lang w:eastAsia="en-AU"/>
        </w:rPr>
      </w:pPr>
      <w:r>
        <w:tab/>
        <w:t>8</w:t>
      </w:r>
      <w:r>
        <w:rPr>
          <w:rFonts w:asciiTheme="minorHAnsi" w:eastAsiaTheme="minorEastAsia" w:hAnsiTheme="minorHAnsi" w:cstheme="minorBidi"/>
          <w:sz w:val="22"/>
          <w:szCs w:val="22"/>
          <w:lang w:eastAsia="en-AU"/>
        </w:rPr>
        <w:tab/>
      </w:r>
      <w:r w:rsidRPr="00E50CC0">
        <w:rPr>
          <w:rFonts w:cs="Arial"/>
        </w:rPr>
        <w:t>Notification requirements</w:t>
      </w:r>
      <w:r>
        <w:tab/>
      </w:r>
      <w:r w:rsidR="00DA38EA">
        <w:fldChar w:fldCharType="begin"/>
      </w:r>
      <w:r>
        <w:instrText xml:space="preserve"> PAGEREF _Toc326573993 \h </w:instrText>
      </w:r>
      <w:r w:rsidR="00DA38EA">
        <w:fldChar w:fldCharType="separate"/>
      </w:r>
      <w:r w:rsidR="006D4F91">
        <w:t>1</w:t>
      </w:r>
      <w:r w:rsidR="006D4F91">
        <w:t>0</w:t>
      </w:r>
      <w:r w:rsidR="00DA38EA">
        <w:fldChar w:fldCharType="end"/>
      </w:r>
    </w:p>
    <w:p w:rsidR="00D553B3" w:rsidRPr="00D553B3" w:rsidRDefault="00D553B3">
      <w:pPr>
        <w:pStyle w:val="TOC9"/>
        <w:rPr>
          <w:rFonts w:eastAsiaTheme="minorEastAsia" w:cs="Arial"/>
          <w:b w:val="0"/>
          <w:noProof/>
          <w:szCs w:val="22"/>
          <w:lang w:eastAsia="en-AU"/>
        </w:rPr>
      </w:pPr>
      <w:r>
        <w:rPr>
          <w:noProof/>
        </w:rPr>
        <w:t xml:space="preserve">Notes </w:t>
      </w:r>
      <w:r>
        <w:rPr>
          <w:noProof/>
        </w:rPr>
        <w:tab/>
      </w:r>
      <w:r>
        <w:rPr>
          <w:noProof/>
        </w:rPr>
        <w:tab/>
      </w:r>
      <w:r w:rsidR="00DA38EA" w:rsidRPr="00D553B3">
        <w:rPr>
          <w:rFonts w:cs="Arial"/>
          <w:b w:val="0"/>
          <w:noProof/>
        </w:rPr>
        <w:fldChar w:fldCharType="begin"/>
      </w:r>
      <w:r w:rsidRPr="00D553B3">
        <w:rPr>
          <w:rFonts w:cs="Arial"/>
          <w:b w:val="0"/>
          <w:noProof/>
        </w:rPr>
        <w:instrText xml:space="preserve"> PAGEREF _Toc326573994 \h </w:instrText>
      </w:r>
      <w:r w:rsidR="00DA38EA" w:rsidRPr="00D553B3">
        <w:rPr>
          <w:rFonts w:cs="Arial"/>
          <w:b w:val="0"/>
          <w:noProof/>
        </w:rPr>
      </w:r>
      <w:r w:rsidR="00DA38EA" w:rsidRPr="00D553B3">
        <w:rPr>
          <w:rFonts w:cs="Arial"/>
          <w:b w:val="0"/>
          <w:noProof/>
        </w:rPr>
        <w:fldChar w:fldCharType="separate"/>
      </w:r>
      <w:r w:rsidR="006D4F91">
        <w:rPr>
          <w:rFonts w:cs="Arial"/>
          <w:b w:val="0"/>
          <w:noProof/>
        </w:rPr>
        <w:t>15</w:t>
      </w:r>
      <w:r w:rsidR="00DA38EA" w:rsidRPr="00D553B3">
        <w:rPr>
          <w:rFonts w:cs="Arial"/>
          <w:b w:val="0"/>
          <w:noProof/>
        </w:rPr>
        <w:fldChar w:fldCharType="end"/>
      </w:r>
    </w:p>
    <w:p w:rsidR="00FD5A86" w:rsidRPr="00953DCB" w:rsidRDefault="00DA38EA" w:rsidP="00114FBD">
      <w:pPr>
        <w:pStyle w:val="TOC"/>
      </w:pPr>
      <w:r>
        <w:fldChar w:fldCharType="end"/>
      </w:r>
    </w:p>
    <w:p w:rsidR="00FD5A86" w:rsidRDefault="00FD5A86" w:rsidP="00114FBD">
      <w:pPr>
        <w:pStyle w:val="ContentsSectionBreak"/>
        <w:sectPr w:rsidR="00FD5A86" w:rsidSect="00114FBD">
          <w:headerReference w:type="even" r:id="rId12"/>
          <w:headerReference w:type="default" r:id="rId13"/>
          <w:footerReference w:type="even" r:id="rId14"/>
          <w:footerReference w:type="default" r:id="rId15"/>
          <w:pgSz w:w="11907" w:h="16839" w:code="9"/>
          <w:pgMar w:top="1440" w:right="1797" w:bottom="1440" w:left="1797" w:header="709" w:footer="709" w:gutter="0"/>
          <w:cols w:space="708"/>
          <w:docGrid w:linePitch="360"/>
        </w:sectPr>
      </w:pPr>
    </w:p>
    <w:p w:rsidR="009F30C4" w:rsidRDefault="00FD5A86" w:rsidP="009F30C4">
      <w:pPr>
        <w:pStyle w:val="HP"/>
        <w:keepNext w:val="0"/>
        <w:pageBreakBefore/>
        <w:rPr>
          <w:sz w:val="28"/>
        </w:rPr>
      </w:pPr>
      <w:bookmarkStart w:id="2" w:name="_Toc326573982"/>
      <w:r w:rsidRPr="009F30C4">
        <w:rPr>
          <w:rStyle w:val="CharPartNo"/>
          <w:szCs w:val="32"/>
        </w:rPr>
        <w:lastRenderedPageBreak/>
        <w:t>Part 1</w:t>
      </w:r>
      <w:r w:rsidR="009F30C4">
        <w:rPr>
          <w:sz w:val="28"/>
        </w:rPr>
        <w:tab/>
      </w:r>
      <w:r w:rsidRPr="009F30C4">
        <w:rPr>
          <w:rStyle w:val="CharPartText"/>
          <w:szCs w:val="32"/>
        </w:rPr>
        <w:t>Preliminary</w:t>
      </w:r>
      <w:bookmarkEnd w:id="2"/>
    </w:p>
    <w:p w:rsidR="009F30C4" w:rsidRPr="0060490E" w:rsidRDefault="009F30C4" w:rsidP="00114FBD">
      <w:pPr>
        <w:pStyle w:val="Header"/>
      </w:pPr>
      <w:r>
        <w:rPr>
          <w:rStyle w:val="CharDivNo"/>
        </w:rPr>
        <w:t xml:space="preserve"> </w:t>
      </w:r>
      <w:r>
        <w:rPr>
          <w:rStyle w:val="CharDivText"/>
        </w:rPr>
        <w:t xml:space="preserve"> </w:t>
      </w:r>
    </w:p>
    <w:p w:rsidR="006D0C0F" w:rsidRDefault="009F30C4" w:rsidP="006D0C0F">
      <w:pPr>
        <w:pStyle w:val="HR"/>
        <w:ind w:left="960" w:hanging="960"/>
      </w:pPr>
      <w:bookmarkStart w:id="3" w:name="_Toc326573983"/>
      <w:r w:rsidRPr="009F30C4">
        <w:rPr>
          <w:rStyle w:val="CharSectno"/>
        </w:rPr>
        <w:t>1</w:t>
      </w:r>
      <w:r w:rsidR="006D0C0F" w:rsidRPr="005A37EC">
        <w:tab/>
      </w:r>
      <w:r w:rsidR="00FD5A86" w:rsidRPr="006D0C0F">
        <w:rPr>
          <w:rFonts w:cs="Arial"/>
        </w:rPr>
        <w:t>Name of instrument</w:t>
      </w:r>
      <w:r w:rsidR="006D0C0F">
        <w:t xml:space="preserve"> </w:t>
      </w:r>
      <w:r w:rsidR="006D0C0F">
        <w:rPr>
          <w:b w:val="0"/>
          <w:sz w:val="18"/>
        </w:rPr>
        <w:t>[</w:t>
      </w:r>
      <w:r w:rsidR="006D0C0F">
        <w:rPr>
          <w:b w:val="0"/>
          <w:i/>
          <w:sz w:val="18"/>
        </w:rPr>
        <w:t xml:space="preserve">see </w:t>
      </w:r>
      <w:r w:rsidR="006D0C0F">
        <w:rPr>
          <w:b w:val="0"/>
          <w:sz w:val="18"/>
        </w:rPr>
        <w:t>Note 1]</w:t>
      </w:r>
      <w:bookmarkEnd w:id="3"/>
    </w:p>
    <w:p w:rsidR="00FD5A86" w:rsidRPr="003F2B22" w:rsidRDefault="006D0C0F" w:rsidP="006D0C0F">
      <w:pPr>
        <w:pStyle w:val="R1"/>
        <w:rPr>
          <w:b/>
          <w:bCs/>
        </w:rPr>
      </w:pPr>
      <w:r>
        <w:tab/>
      </w:r>
      <w:r>
        <w:tab/>
      </w:r>
      <w:r w:rsidR="00FD5A86" w:rsidRPr="003F2B22">
        <w:t xml:space="preserve">This Instrument is the </w:t>
      </w:r>
      <w:r w:rsidR="00FD5A86" w:rsidRPr="006D0C0F">
        <w:rPr>
          <w:i/>
        </w:rPr>
        <w:t>Telecommunications Universal Service Obligation (Standard Telephone Service—Requirements and Circumstances) Determination (No. 1) 2011</w:t>
      </w:r>
      <w:r w:rsidR="00FD5A86" w:rsidRPr="00164110">
        <w:t>.</w:t>
      </w:r>
    </w:p>
    <w:p w:rsidR="006D0C0F" w:rsidRPr="006D0C0F" w:rsidRDefault="006D0C0F" w:rsidP="006D0C0F">
      <w:pPr>
        <w:pStyle w:val="HR"/>
        <w:ind w:left="960" w:hanging="960"/>
        <w:rPr>
          <w:b w:val="0"/>
          <w:sz w:val="18"/>
        </w:rPr>
      </w:pPr>
      <w:bookmarkStart w:id="4" w:name="_Toc326573984"/>
      <w:r w:rsidRPr="006D0C0F">
        <w:rPr>
          <w:rStyle w:val="CharSectno"/>
        </w:rPr>
        <w:t>2</w:t>
      </w:r>
      <w:r>
        <w:rPr>
          <w:rFonts w:ascii="Times New Roman" w:hAnsi="Times New Roman"/>
        </w:rPr>
        <w:tab/>
      </w:r>
      <w:r w:rsidR="00FD5A86" w:rsidRPr="006D0C0F">
        <w:rPr>
          <w:rFonts w:cs="Arial"/>
        </w:rPr>
        <w:t>Commencement</w:t>
      </w:r>
      <w:r>
        <w:t xml:space="preserve"> </w:t>
      </w:r>
      <w:r>
        <w:rPr>
          <w:b w:val="0"/>
          <w:sz w:val="18"/>
        </w:rPr>
        <w:t>[</w:t>
      </w:r>
      <w:r>
        <w:rPr>
          <w:b w:val="0"/>
          <w:i/>
          <w:sz w:val="18"/>
        </w:rPr>
        <w:t xml:space="preserve">see </w:t>
      </w:r>
      <w:r>
        <w:rPr>
          <w:b w:val="0"/>
          <w:sz w:val="18"/>
        </w:rPr>
        <w:t>Note 1]</w:t>
      </w:r>
      <w:bookmarkEnd w:id="4"/>
    </w:p>
    <w:p w:rsidR="00FD5A86" w:rsidRPr="003F2B22" w:rsidRDefault="006D0C0F" w:rsidP="006D0C0F">
      <w:pPr>
        <w:pStyle w:val="R1"/>
      </w:pPr>
      <w:r>
        <w:tab/>
      </w:r>
      <w:r>
        <w:tab/>
      </w:r>
      <w:r w:rsidR="00FD5A86" w:rsidRPr="003F2B22">
        <w:t>This Instrument commences on the later of:</w:t>
      </w:r>
    </w:p>
    <w:p w:rsidR="00FD5A86" w:rsidRPr="003F2B22" w:rsidRDefault="006D0C0F" w:rsidP="006D0C0F">
      <w:pPr>
        <w:pStyle w:val="P1"/>
        <w:rPr>
          <w:lang w:val="en-US"/>
        </w:rPr>
      </w:pPr>
      <w:r>
        <w:rPr>
          <w:sz w:val="20"/>
          <w:szCs w:val="20"/>
          <w:lang w:val="en-US"/>
        </w:rPr>
        <w:tab/>
      </w:r>
      <w:r w:rsidR="00FD5A86" w:rsidRPr="006D0C0F">
        <w:rPr>
          <w:lang w:val="en-US"/>
        </w:rPr>
        <w:t>(a)</w:t>
      </w:r>
      <w:r w:rsidR="00FD5A86" w:rsidRPr="006D0C0F">
        <w:rPr>
          <w:lang w:val="en-US"/>
        </w:rPr>
        <w:tab/>
      </w:r>
      <w:r w:rsidR="00FD5A86" w:rsidRPr="003F2B22">
        <w:rPr>
          <w:lang w:val="en-US"/>
        </w:rPr>
        <w:t>the day after it is registered on the Federal Register of Legislative Instruments; or</w:t>
      </w:r>
    </w:p>
    <w:p w:rsidR="00FD5A86" w:rsidRPr="006D0C0F" w:rsidRDefault="006D0C0F" w:rsidP="006D0C0F">
      <w:pPr>
        <w:pStyle w:val="P1"/>
        <w:rPr>
          <w:i/>
          <w:lang w:val="en-US"/>
        </w:rPr>
      </w:pPr>
      <w:r>
        <w:rPr>
          <w:sz w:val="20"/>
          <w:szCs w:val="20"/>
          <w:lang w:val="en-US"/>
        </w:rPr>
        <w:tab/>
      </w:r>
      <w:r w:rsidR="00FD5A86" w:rsidRPr="006D0C0F">
        <w:rPr>
          <w:lang w:val="en-US"/>
        </w:rPr>
        <w:t>(b)</w:t>
      </w:r>
      <w:r w:rsidR="00FD5A86" w:rsidRPr="006D0C0F">
        <w:rPr>
          <w:lang w:val="en-US"/>
        </w:rPr>
        <w:tab/>
      </w:r>
      <w:r w:rsidR="00FD5A86" w:rsidRPr="003F2B22">
        <w:rPr>
          <w:lang w:val="en-US"/>
        </w:rPr>
        <w:t>the commencement of Part 4</w:t>
      </w:r>
      <w:r w:rsidR="00FD5A86">
        <w:rPr>
          <w:lang w:val="en-US"/>
        </w:rPr>
        <w:t xml:space="preserve"> of Schedule 1 to</w:t>
      </w:r>
      <w:r w:rsidR="00FD5A86" w:rsidRPr="003F2B22">
        <w:rPr>
          <w:lang w:val="en-US"/>
        </w:rPr>
        <w:t xml:space="preserve"> the </w:t>
      </w:r>
      <w:r w:rsidR="00FD5A86" w:rsidRPr="006D0C0F">
        <w:rPr>
          <w:i/>
          <w:lang w:val="en-US"/>
        </w:rPr>
        <w:t>Telecommunications Legislation Amendment (Competition and Consumer Safeguards) Act 2010</w:t>
      </w:r>
      <w:r w:rsidR="00FD5A86" w:rsidRPr="00164110">
        <w:rPr>
          <w:lang w:val="en-US"/>
        </w:rPr>
        <w:t>.</w:t>
      </w:r>
    </w:p>
    <w:p w:rsidR="006D0C0F" w:rsidRDefault="006D0C0F" w:rsidP="006D0C0F">
      <w:pPr>
        <w:pStyle w:val="HR"/>
        <w:ind w:left="960" w:hanging="960"/>
      </w:pPr>
      <w:bookmarkStart w:id="5" w:name="_Toc326573985"/>
      <w:r w:rsidRPr="0035125A">
        <w:rPr>
          <w:rStyle w:val="CharSectno"/>
        </w:rPr>
        <w:t>3</w:t>
      </w:r>
      <w:r>
        <w:rPr>
          <w:rFonts w:ascii="Times New Roman" w:hAnsi="Times New Roman"/>
        </w:rPr>
        <w:tab/>
      </w:r>
      <w:r w:rsidR="00FD5A86" w:rsidRPr="006D0C0F">
        <w:rPr>
          <w:rFonts w:cs="Arial"/>
        </w:rPr>
        <w:t>Definitions</w:t>
      </w:r>
      <w:bookmarkEnd w:id="5"/>
    </w:p>
    <w:p w:rsidR="00FD5A86" w:rsidRPr="003F2B22" w:rsidRDefault="006D0C0F" w:rsidP="006D0C0F">
      <w:pPr>
        <w:pStyle w:val="R1"/>
      </w:pPr>
      <w:r>
        <w:tab/>
      </w:r>
      <w:r w:rsidR="00FD5A86" w:rsidRPr="003F2B22">
        <w:t>(1)</w:t>
      </w:r>
      <w:r w:rsidR="00FD5A86" w:rsidRPr="003F2B22">
        <w:tab/>
        <w:t>In this Instrument:</w:t>
      </w:r>
    </w:p>
    <w:p w:rsidR="00FD5A86" w:rsidRPr="003F2B22" w:rsidRDefault="00FD5A86" w:rsidP="006D0C0F">
      <w:pPr>
        <w:pStyle w:val="definition"/>
      </w:pPr>
      <w:r w:rsidRPr="006D0C0F">
        <w:rPr>
          <w:b/>
          <w:i/>
        </w:rPr>
        <w:t>Act</w:t>
      </w:r>
      <w:r w:rsidRPr="003F2B22">
        <w:rPr>
          <w:b/>
        </w:rPr>
        <w:t xml:space="preserve"> </w:t>
      </w:r>
      <w:r w:rsidRPr="003F2B22">
        <w:t xml:space="preserve">means the </w:t>
      </w:r>
      <w:r w:rsidRPr="00FA7BB3">
        <w:rPr>
          <w:i/>
        </w:rPr>
        <w:t>Telecommunications (Consumer Protection and Service Standards) Act 1999.</w:t>
      </w:r>
    </w:p>
    <w:p w:rsidR="00FD5A86" w:rsidRPr="003F2B22" w:rsidRDefault="00FD5A86" w:rsidP="006D0C0F">
      <w:pPr>
        <w:pStyle w:val="definition"/>
      </w:pPr>
      <w:r w:rsidRPr="006D0C0F">
        <w:rPr>
          <w:b/>
          <w:i/>
        </w:rPr>
        <w:t>CSG Standard</w:t>
      </w:r>
      <w:r w:rsidRPr="003F2B22">
        <w:rPr>
          <w:b/>
        </w:rPr>
        <w:t xml:space="preserve"> </w:t>
      </w:r>
      <w:r w:rsidRPr="003F2B22">
        <w:t xml:space="preserve">means </w:t>
      </w:r>
      <w:r>
        <w:t xml:space="preserve">the </w:t>
      </w:r>
      <w:r w:rsidRPr="00821EB0">
        <w:t>T</w:t>
      </w:r>
      <w:r w:rsidRPr="00FA7BB3">
        <w:rPr>
          <w:i/>
        </w:rPr>
        <w:t>elecommunications (Customer Service Guarantee) Standard 2011</w:t>
      </w:r>
      <w:r w:rsidRPr="00FD6E18">
        <w:t>.</w:t>
      </w:r>
    </w:p>
    <w:p w:rsidR="00422293" w:rsidRDefault="000A7661">
      <w:pPr>
        <w:pStyle w:val="definition"/>
      </w:pPr>
      <w:r w:rsidRPr="000A7661">
        <w:rPr>
          <w:b/>
          <w:i/>
        </w:rPr>
        <w:t xml:space="preserve">national broadband network </w:t>
      </w:r>
      <w:r w:rsidRPr="000A7661">
        <w:t xml:space="preserve">has the same meaning as in section 577BA of the </w:t>
      </w:r>
      <w:r w:rsidRPr="000A7661">
        <w:rPr>
          <w:i/>
        </w:rPr>
        <w:t>Telecommunications Act 1997.</w:t>
      </w:r>
      <w:r w:rsidRPr="000A7661">
        <w:t xml:space="preserve"> </w:t>
      </w:r>
    </w:p>
    <w:p w:rsidR="00422293" w:rsidRDefault="000A7661">
      <w:pPr>
        <w:pStyle w:val="definition"/>
      </w:pPr>
      <w:r w:rsidRPr="000A7661">
        <w:rPr>
          <w:b/>
          <w:i/>
        </w:rPr>
        <w:t xml:space="preserve">NBN Co </w:t>
      </w:r>
      <w:r w:rsidRPr="000A7661">
        <w:t>means NBN Co Limited (ACN 136 533 741), as the company exists from time to time (even if its name is later changed).</w:t>
      </w:r>
    </w:p>
    <w:p w:rsidR="00422293" w:rsidRDefault="000A7661">
      <w:pPr>
        <w:pStyle w:val="definition"/>
      </w:pPr>
      <w:r w:rsidRPr="000A7661">
        <w:rPr>
          <w:b/>
          <w:i/>
        </w:rPr>
        <w:t xml:space="preserve">NBN Co fibre network </w:t>
      </w:r>
      <w:r w:rsidRPr="000A7661">
        <w:t>means the fibre that is:</w:t>
      </w:r>
    </w:p>
    <w:p w:rsidR="00422293" w:rsidRDefault="000A7661">
      <w:pPr>
        <w:pStyle w:val="P1"/>
      </w:pPr>
      <w:r w:rsidRPr="000A7661">
        <w:tab/>
        <w:t>(a)</w:t>
      </w:r>
      <w:r w:rsidRPr="000A7661">
        <w:tab/>
      </w:r>
      <w:r w:rsidRPr="000A7661">
        <w:rPr>
          <w:lang w:val="en-US"/>
        </w:rPr>
        <w:t>deployed</w:t>
      </w:r>
      <w:r w:rsidRPr="000A7661">
        <w:t xml:space="preserve"> as part of, or which otherwise becomes part of, the national broadband network; and</w:t>
      </w:r>
    </w:p>
    <w:p w:rsidR="00422293" w:rsidRDefault="000A7661">
      <w:pPr>
        <w:pStyle w:val="P1"/>
      </w:pPr>
      <w:r w:rsidRPr="000A7661">
        <w:tab/>
        <w:t>(b)</w:t>
      </w:r>
      <w:r w:rsidRPr="000A7661">
        <w:tab/>
      </w:r>
      <w:r w:rsidRPr="000A7661">
        <w:rPr>
          <w:lang w:val="en-US"/>
        </w:rPr>
        <w:t>accepted</w:t>
      </w:r>
      <w:r w:rsidRPr="000A7661">
        <w:t xml:space="preserve"> into operation by NBN Co; and</w:t>
      </w:r>
    </w:p>
    <w:p w:rsidR="00422293" w:rsidRDefault="000A7661">
      <w:pPr>
        <w:pStyle w:val="P1"/>
      </w:pPr>
      <w:r w:rsidRPr="000A7661">
        <w:tab/>
        <w:t>(c)</w:t>
      </w:r>
      <w:r w:rsidRPr="000A7661">
        <w:tab/>
      </w:r>
      <w:r w:rsidRPr="000A7661">
        <w:rPr>
          <w:lang w:val="en-US"/>
        </w:rPr>
        <w:t>owned</w:t>
      </w:r>
      <w:r w:rsidRPr="000A7661">
        <w:t>, controlled or operated by or on behalf of an NBN corporation.</w:t>
      </w:r>
    </w:p>
    <w:p w:rsidR="00422293" w:rsidRDefault="000A7661">
      <w:pPr>
        <w:pStyle w:val="definition"/>
      </w:pPr>
      <w:r w:rsidRPr="000A7661">
        <w:rPr>
          <w:b/>
          <w:i/>
        </w:rPr>
        <w:t>NBN corporation</w:t>
      </w:r>
      <w:r w:rsidRPr="000A7661">
        <w:t xml:space="preserve"> has the same meaning as in the </w:t>
      </w:r>
      <w:r w:rsidRPr="000A7661">
        <w:rPr>
          <w:i/>
        </w:rPr>
        <w:t>National Broadband Network Companies Act 2011</w:t>
      </w:r>
      <w:r w:rsidRPr="000A7661">
        <w:t>.</w:t>
      </w:r>
    </w:p>
    <w:p w:rsidR="00FD5A86" w:rsidRDefault="00FD5A86" w:rsidP="006D0C0F">
      <w:pPr>
        <w:pStyle w:val="definition"/>
      </w:pPr>
      <w:r w:rsidRPr="003F2B22">
        <w:rPr>
          <w:b/>
          <w:i/>
        </w:rPr>
        <w:t>primary universal service provider</w:t>
      </w:r>
      <w:r w:rsidRPr="003F2B22">
        <w:t xml:space="preserve"> has the meaning given by section 12A of the Act.</w:t>
      </w:r>
    </w:p>
    <w:p w:rsidR="00FD5A86" w:rsidRPr="003F2B22" w:rsidRDefault="00FD5A86" w:rsidP="006D0C0F">
      <w:pPr>
        <w:pStyle w:val="definition"/>
        <w:rPr>
          <w:lang w:val="en-US"/>
        </w:rPr>
      </w:pPr>
      <w:r w:rsidRPr="003F2B22">
        <w:rPr>
          <w:b/>
          <w:i/>
          <w:lang w:val="en-US"/>
        </w:rPr>
        <w:t>principal place of residence</w:t>
      </w:r>
      <w:r w:rsidRPr="003F2B22">
        <w:rPr>
          <w:b/>
          <w:i/>
        </w:rPr>
        <w:t xml:space="preserve"> </w:t>
      </w:r>
      <w:r w:rsidRPr="003F2B22">
        <w:t xml:space="preserve">means the place that, as at the date of the request, the person making the request resides, or intends to reside, for </w:t>
      </w:r>
      <w:r w:rsidRPr="003F2B22">
        <w:rPr>
          <w:lang w:val="en-US"/>
        </w:rPr>
        <w:t>183 days or more per annum.</w:t>
      </w:r>
    </w:p>
    <w:p w:rsidR="00FD5A86" w:rsidRDefault="00FD5A86" w:rsidP="006D0C0F">
      <w:pPr>
        <w:pStyle w:val="definition"/>
      </w:pPr>
      <w:r>
        <w:rPr>
          <w:b/>
          <w:i/>
        </w:rPr>
        <w:t xml:space="preserve">Priority Assistance </w:t>
      </w:r>
      <w:r>
        <w:t xml:space="preserve">has the meaning given by subsection 19(3) of Schedule 2 to the </w:t>
      </w:r>
      <w:r w:rsidRPr="0000556A">
        <w:rPr>
          <w:i/>
        </w:rPr>
        <w:t>Telecommunications Act 1997</w:t>
      </w:r>
      <w:r>
        <w:t>.</w:t>
      </w:r>
    </w:p>
    <w:p w:rsidR="00FD5A86" w:rsidRPr="0000556A" w:rsidRDefault="00FD5A86" w:rsidP="006D0C0F">
      <w:pPr>
        <w:pStyle w:val="definition"/>
      </w:pPr>
      <w:r w:rsidRPr="00821EB0">
        <w:rPr>
          <w:b/>
          <w:i/>
          <w:lang w:val="en-US"/>
        </w:rPr>
        <w:t>public mobile telecommunications service</w:t>
      </w:r>
      <w:r>
        <w:rPr>
          <w:lang w:val="en-US"/>
        </w:rPr>
        <w:t xml:space="preserve"> has </w:t>
      </w:r>
      <w:r w:rsidRPr="006D0C0F">
        <w:t>the</w:t>
      </w:r>
      <w:r>
        <w:rPr>
          <w:lang w:val="en-US"/>
        </w:rPr>
        <w:t xml:space="preserve"> same meaning as in the </w:t>
      </w:r>
      <w:r w:rsidRPr="00821EB0">
        <w:rPr>
          <w:i/>
          <w:lang w:val="en-US"/>
        </w:rPr>
        <w:t>Telecommunications Act 1997</w:t>
      </w:r>
      <w:r>
        <w:rPr>
          <w:lang w:val="en-US"/>
        </w:rPr>
        <w:t>.</w:t>
      </w:r>
    </w:p>
    <w:p w:rsidR="00FD5A86" w:rsidRDefault="00FD5A86" w:rsidP="006E6087">
      <w:pPr>
        <w:pStyle w:val="definition"/>
        <w:keepNext/>
        <w:keepLines/>
      </w:pPr>
      <w:r w:rsidRPr="003F2B22">
        <w:rPr>
          <w:b/>
          <w:i/>
        </w:rPr>
        <w:lastRenderedPageBreak/>
        <w:t>request</w:t>
      </w:r>
      <w:r w:rsidRPr="003F2B22">
        <w:t xml:space="preserve"> means a request for a </w:t>
      </w:r>
      <w:r w:rsidRPr="006D0C0F">
        <w:t>standard</w:t>
      </w:r>
      <w:r w:rsidRPr="003F2B22">
        <w:rPr>
          <w:lang w:val="en-US"/>
        </w:rPr>
        <w:t xml:space="preserve"> telephone service</w:t>
      </w:r>
      <w:r w:rsidRPr="003F2B22">
        <w:t xml:space="preserve"> </w:t>
      </w:r>
      <w:r>
        <w:t xml:space="preserve">made using </w:t>
      </w:r>
      <w:r w:rsidRPr="003F2B22">
        <w:t>the primary universal service provider’s</w:t>
      </w:r>
      <w:r w:rsidRPr="003F2B22" w:rsidDel="00790BF4">
        <w:t xml:space="preserve"> </w:t>
      </w:r>
      <w:r w:rsidRPr="003F2B22">
        <w:t>website, by telephone, or in person at a retail centre.</w:t>
      </w:r>
    </w:p>
    <w:p w:rsidR="00FD5A86" w:rsidRPr="003F2B22" w:rsidRDefault="00FD5A86" w:rsidP="006D0C0F">
      <w:pPr>
        <w:pStyle w:val="definition"/>
      </w:pPr>
      <w:r>
        <w:rPr>
          <w:b/>
          <w:i/>
        </w:rPr>
        <w:t xml:space="preserve">satellite service </w:t>
      </w:r>
      <w:r w:rsidRPr="00821EB0">
        <w:t>has the meaning given by subsection 106(4) of the Act.</w:t>
      </w:r>
    </w:p>
    <w:p w:rsidR="00422293" w:rsidRDefault="000A7661">
      <w:pPr>
        <w:pStyle w:val="definition"/>
      </w:pPr>
      <w:r w:rsidRPr="000A7661">
        <w:rPr>
          <w:b/>
          <w:i/>
        </w:rPr>
        <w:t>specified service</w:t>
      </w:r>
      <w:r w:rsidRPr="000A7661">
        <w:t xml:space="preserve"> has the same meaning as in the CSG Standard.</w:t>
      </w:r>
    </w:p>
    <w:p w:rsidR="00FD5A86" w:rsidRPr="003F2B22" w:rsidRDefault="006D0C0F" w:rsidP="006D0C0F">
      <w:pPr>
        <w:pStyle w:val="R2"/>
      </w:pPr>
      <w:r>
        <w:tab/>
      </w:r>
      <w:r w:rsidR="00FD5A86" w:rsidRPr="003F2B22">
        <w:t>(2)</w:t>
      </w:r>
      <w:r w:rsidR="00FD5A86" w:rsidRPr="003F2B22">
        <w:tab/>
        <w:t xml:space="preserve">For the purposes of this </w:t>
      </w:r>
      <w:r w:rsidR="00FD5A86">
        <w:t>I</w:t>
      </w:r>
      <w:r w:rsidR="00FD5A86" w:rsidRPr="003F2B22">
        <w:t xml:space="preserve">nstrument, </w:t>
      </w:r>
      <w:r w:rsidR="000A7661" w:rsidRPr="000A7661">
        <w:t xml:space="preserve">premises are </w:t>
      </w:r>
      <w:r w:rsidR="000A7661" w:rsidRPr="000A7661">
        <w:rPr>
          <w:b/>
          <w:i/>
        </w:rPr>
        <w:t>excluded premises</w:t>
      </w:r>
      <w:r w:rsidR="000A7661" w:rsidRPr="000A7661">
        <w:t xml:space="preserve"> if the premises satisfy</w:t>
      </w:r>
      <w:r w:rsidR="00114FBD" w:rsidRPr="003F2B22">
        <w:t xml:space="preserve"> </w:t>
      </w:r>
      <w:r w:rsidR="00FD5A86" w:rsidRPr="003F2B22">
        <w:t>one or more of the following criteria:</w:t>
      </w:r>
    </w:p>
    <w:p w:rsidR="00FD5A86" w:rsidRPr="00821EB0" w:rsidRDefault="006D0C0F" w:rsidP="006D0C0F">
      <w:pPr>
        <w:pStyle w:val="P1"/>
        <w:rPr>
          <w:lang w:val="en-US"/>
        </w:rPr>
      </w:pPr>
      <w:r>
        <w:rPr>
          <w:lang w:val="en-US"/>
        </w:rPr>
        <w:tab/>
      </w:r>
      <w:r w:rsidR="00FD5A86" w:rsidRPr="00821EB0">
        <w:rPr>
          <w:lang w:val="en-US"/>
        </w:rPr>
        <w:t>(a)</w:t>
      </w:r>
      <w:r w:rsidR="00FD5A86" w:rsidRPr="00821EB0">
        <w:rPr>
          <w:lang w:val="en-US"/>
        </w:rPr>
        <w:tab/>
        <w:t xml:space="preserve">the </w:t>
      </w:r>
      <w:r w:rsidR="000A7661" w:rsidRPr="000A7661">
        <w:rPr>
          <w:lang w:val="en-US"/>
        </w:rPr>
        <w:t>premises are</w:t>
      </w:r>
      <w:r w:rsidR="00E27694" w:rsidRPr="00821EB0">
        <w:rPr>
          <w:lang w:val="en-US"/>
        </w:rPr>
        <w:t xml:space="preserve"> </w:t>
      </w:r>
      <w:r w:rsidR="00FD5A86" w:rsidRPr="00821EB0">
        <w:rPr>
          <w:lang w:val="en-US"/>
        </w:rPr>
        <w:t xml:space="preserve">under construction; </w:t>
      </w:r>
    </w:p>
    <w:p w:rsidR="00FD5A86" w:rsidRPr="00821EB0" w:rsidRDefault="006D0C0F" w:rsidP="006D0C0F">
      <w:pPr>
        <w:pStyle w:val="P1"/>
        <w:rPr>
          <w:lang w:val="en-US"/>
        </w:rPr>
      </w:pPr>
      <w:r>
        <w:rPr>
          <w:lang w:val="en-US"/>
        </w:rPr>
        <w:tab/>
      </w:r>
      <w:r w:rsidR="00FD5A86" w:rsidRPr="00821EB0">
        <w:rPr>
          <w:lang w:val="en-US"/>
        </w:rPr>
        <w:t>(b)</w:t>
      </w:r>
      <w:r w:rsidR="00FD5A86" w:rsidRPr="00821EB0">
        <w:rPr>
          <w:lang w:val="en-US"/>
        </w:rPr>
        <w:tab/>
        <w:t xml:space="preserve">the </w:t>
      </w:r>
      <w:r w:rsidR="00E27694" w:rsidRPr="00E27694">
        <w:rPr>
          <w:lang w:val="en-US"/>
        </w:rPr>
        <w:t>premises are</w:t>
      </w:r>
      <w:r w:rsidR="00E27694" w:rsidRPr="00821EB0">
        <w:rPr>
          <w:lang w:val="en-US"/>
        </w:rPr>
        <w:t xml:space="preserve"> </w:t>
      </w:r>
      <w:r w:rsidR="00FD5A86" w:rsidRPr="00821EB0">
        <w:rPr>
          <w:lang w:val="en-US"/>
        </w:rPr>
        <w:t>not fully completed;</w:t>
      </w:r>
    </w:p>
    <w:p w:rsidR="00FD5A86" w:rsidRPr="00821EB0" w:rsidRDefault="006D0C0F" w:rsidP="006D0C0F">
      <w:pPr>
        <w:pStyle w:val="P1"/>
        <w:rPr>
          <w:lang w:val="en-US"/>
        </w:rPr>
      </w:pPr>
      <w:r>
        <w:rPr>
          <w:lang w:val="en-US"/>
        </w:rPr>
        <w:tab/>
      </w:r>
      <w:r w:rsidR="00FD5A86" w:rsidRPr="00821EB0">
        <w:rPr>
          <w:lang w:val="en-US"/>
        </w:rPr>
        <w:t>(c)</w:t>
      </w:r>
      <w:r w:rsidR="00FD5A86" w:rsidRPr="00821EB0">
        <w:rPr>
          <w:lang w:val="en-US"/>
        </w:rPr>
        <w:tab/>
        <w:t xml:space="preserve">the </w:t>
      </w:r>
      <w:r w:rsidR="000A7661" w:rsidRPr="000A7661">
        <w:rPr>
          <w:lang w:val="en-US"/>
        </w:rPr>
        <w:t>premises do</w:t>
      </w:r>
      <w:r w:rsidR="00E27694" w:rsidRPr="00821EB0">
        <w:rPr>
          <w:lang w:val="en-US"/>
        </w:rPr>
        <w:t xml:space="preserve"> </w:t>
      </w:r>
      <w:r w:rsidR="00FD5A86" w:rsidRPr="00821EB0">
        <w:rPr>
          <w:lang w:val="en-US"/>
        </w:rPr>
        <w:t xml:space="preserve">not comply with all applicable planning laws; </w:t>
      </w:r>
    </w:p>
    <w:p w:rsidR="00FD5A86" w:rsidRPr="00821EB0" w:rsidRDefault="006D0C0F" w:rsidP="006D0C0F">
      <w:pPr>
        <w:pStyle w:val="P1"/>
        <w:rPr>
          <w:lang w:val="en-US"/>
        </w:rPr>
      </w:pPr>
      <w:r>
        <w:rPr>
          <w:lang w:val="en-US"/>
        </w:rPr>
        <w:tab/>
      </w:r>
      <w:r w:rsidR="00FD5A86" w:rsidRPr="00821EB0">
        <w:rPr>
          <w:lang w:val="en-US"/>
        </w:rPr>
        <w:t>(d)</w:t>
      </w:r>
      <w:r w:rsidR="00FD5A86" w:rsidRPr="00821EB0">
        <w:rPr>
          <w:lang w:val="en-US"/>
        </w:rPr>
        <w:tab/>
        <w:t xml:space="preserve">the </w:t>
      </w:r>
      <w:r w:rsidR="00E27694" w:rsidRPr="00E27694">
        <w:rPr>
          <w:lang w:val="en-US"/>
        </w:rPr>
        <w:t>premises are</w:t>
      </w:r>
      <w:r w:rsidR="00E27694" w:rsidRPr="00821EB0">
        <w:rPr>
          <w:lang w:val="en-US"/>
        </w:rPr>
        <w:t xml:space="preserve"> </w:t>
      </w:r>
      <w:r w:rsidR="00FD5A86" w:rsidRPr="00821EB0">
        <w:rPr>
          <w:lang w:val="en-US"/>
        </w:rPr>
        <w:t xml:space="preserve">a structure other than a residence, dwelling or business premises (for example, a builder’s pole or fence); </w:t>
      </w:r>
    </w:p>
    <w:p w:rsidR="00FD5A86" w:rsidRPr="00821EB0" w:rsidRDefault="006D0C0F" w:rsidP="006D0C0F">
      <w:pPr>
        <w:pStyle w:val="P1"/>
        <w:rPr>
          <w:lang w:val="en-US"/>
        </w:rPr>
      </w:pPr>
      <w:r>
        <w:rPr>
          <w:lang w:val="en-US"/>
        </w:rPr>
        <w:tab/>
      </w:r>
      <w:r w:rsidR="00FD5A86" w:rsidRPr="00821EB0">
        <w:rPr>
          <w:lang w:val="en-US"/>
        </w:rPr>
        <w:t>(e)</w:t>
      </w:r>
      <w:r w:rsidR="00FD5A86" w:rsidRPr="00821EB0">
        <w:rPr>
          <w:lang w:val="en-US"/>
        </w:rPr>
        <w:tab/>
        <w:t xml:space="preserve">the </w:t>
      </w:r>
      <w:r w:rsidR="00E27694" w:rsidRPr="00E27694">
        <w:rPr>
          <w:lang w:val="en-US"/>
        </w:rPr>
        <w:t>premises are</w:t>
      </w:r>
      <w:r w:rsidR="00E27694" w:rsidRPr="00821EB0">
        <w:rPr>
          <w:lang w:val="en-US"/>
        </w:rPr>
        <w:t xml:space="preserve"> </w:t>
      </w:r>
      <w:r w:rsidR="00FD5A86" w:rsidRPr="00821EB0">
        <w:rPr>
          <w:lang w:val="en-US"/>
        </w:rPr>
        <w:t xml:space="preserve">not </w:t>
      </w:r>
      <w:proofErr w:type="spellStart"/>
      <w:r w:rsidR="00FD5A86" w:rsidRPr="00821EB0">
        <w:rPr>
          <w:lang w:val="en-US"/>
        </w:rPr>
        <w:t>self</w:t>
      </w:r>
      <w:r w:rsidR="00FD5A86">
        <w:rPr>
          <w:lang w:val="en-US"/>
        </w:rPr>
        <w:noBreakHyphen/>
      </w:r>
      <w:r w:rsidR="00FD5A86" w:rsidRPr="00821EB0">
        <w:rPr>
          <w:lang w:val="en-US"/>
        </w:rPr>
        <w:t>contained</w:t>
      </w:r>
      <w:proofErr w:type="spellEnd"/>
      <w:r w:rsidR="00FD5A86" w:rsidRPr="00821EB0">
        <w:rPr>
          <w:lang w:val="en-US"/>
        </w:rPr>
        <w:t xml:space="preserve">; </w:t>
      </w:r>
    </w:p>
    <w:p w:rsidR="00FD5A86" w:rsidRPr="00821EB0" w:rsidRDefault="006D0C0F" w:rsidP="006D0C0F">
      <w:pPr>
        <w:pStyle w:val="P1"/>
        <w:rPr>
          <w:lang w:val="en-US"/>
        </w:rPr>
      </w:pPr>
      <w:r>
        <w:rPr>
          <w:lang w:val="en-US"/>
        </w:rPr>
        <w:tab/>
      </w:r>
      <w:r w:rsidR="00FD5A86" w:rsidRPr="00821EB0">
        <w:rPr>
          <w:lang w:val="en-US"/>
        </w:rPr>
        <w:t>(f)</w:t>
      </w:r>
      <w:r w:rsidR="00FD5A86" w:rsidRPr="00821EB0">
        <w:rPr>
          <w:lang w:val="en-US"/>
        </w:rPr>
        <w:tab/>
        <w:t xml:space="preserve">the </w:t>
      </w:r>
      <w:r w:rsidR="00E27694" w:rsidRPr="00E27694">
        <w:rPr>
          <w:lang w:val="en-US"/>
        </w:rPr>
        <w:t>premises are</w:t>
      </w:r>
      <w:r w:rsidR="00E27694" w:rsidRPr="00821EB0">
        <w:rPr>
          <w:lang w:val="en-US"/>
        </w:rPr>
        <w:t xml:space="preserve"> </w:t>
      </w:r>
      <w:r w:rsidR="00FD5A86" w:rsidRPr="00821EB0">
        <w:rPr>
          <w:lang w:val="en-US"/>
        </w:rPr>
        <w:t xml:space="preserve">not a permanent structure; </w:t>
      </w:r>
    </w:p>
    <w:p w:rsidR="00FD5A86" w:rsidRPr="00821EB0" w:rsidRDefault="006D0C0F" w:rsidP="006D0C0F">
      <w:pPr>
        <w:pStyle w:val="P1"/>
        <w:rPr>
          <w:lang w:val="en-US"/>
        </w:rPr>
      </w:pPr>
      <w:r>
        <w:rPr>
          <w:lang w:val="en-US"/>
        </w:rPr>
        <w:tab/>
      </w:r>
      <w:r w:rsidR="00FD5A86" w:rsidRPr="00821EB0">
        <w:rPr>
          <w:lang w:val="en-US"/>
        </w:rPr>
        <w:t>(g)</w:t>
      </w:r>
      <w:r w:rsidR="00FD5A86" w:rsidRPr="00821EB0">
        <w:rPr>
          <w:lang w:val="en-US"/>
        </w:rPr>
        <w:tab/>
        <w:t xml:space="preserve">the </w:t>
      </w:r>
      <w:r w:rsidR="00E27694" w:rsidRPr="00E27694">
        <w:rPr>
          <w:lang w:val="en-US"/>
        </w:rPr>
        <w:t>premises do</w:t>
      </w:r>
      <w:r w:rsidR="00E27694" w:rsidRPr="00821EB0">
        <w:rPr>
          <w:lang w:val="en-US"/>
        </w:rPr>
        <w:t xml:space="preserve"> </w:t>
      </w:r>
      <w:r w:rsidR="00FD5A86" w:rsidRPr="00821EB0">
        <w:rPr>
          <w:lang w:val="en-US"/>
        </w:rPr>
        <w:t xml:space="preserve">not have access to permanent sanitation facilities; </w:t>
      </w:r>
    </w:p>
    <w:p w:rsidR="00FD5A86" w:rsidRPr="00821EB0" w:rsidRDefault="006D0C0F" w:rsidP="006D0C0F">
      <w:pPr>
        <w:pStyle w:val="P1"/>
        <w:rPr>
          <w:lang w:val="en-US"/>
        </w:rPr>
      </w:pPr>
      <w:r>
        <w:rPr>
          <w:lang w:val="en-US"/>
        </w:rPr>
        <w:tab/>
      </w:r>
      <w:r w:rsidR="00FD5A86" w:rsidRPr="00821EB0">
        <w:rPr>
          <w:lang w:val="en-US"/>
        </w:rPr>
        <w:t>(h)</w:t>
      </w:r>
      <w:r w:rsidR="00FD5A86" w:rsidRPr="00821EB0">
        <w:rPr>
          <w:lang w:val="en-US"/>
        </w:rPr>
        <w:tab/>
        <w:t>the</w:t>
      </w:r>
      <w:r w:rsidR="00E27694" w:rsidRPr="00E27694">
        <w:rPr>
          <w:lang w:val="en-US"/>
        </w:rPr>
        <w:t xml:space="preserve"> premises are</w:t>
      </w:r>
      <w:r w:rsidR="00FD5A86" w:rsidRPr="00821EB0">
        <w:rPr>
          <w:lang w:val="en-US"/>
        </w:rPr>
        <w:t>:</w:t>
      </w:r>
    </w:p>
    <w:p w:rsidR="00FD5A86" w:rsidRPr="003F2B22" w:rsidRDefault="004B55CA" w:rsidP="004B55CA">
      <w:pPr>
        <w:pStyle w:val="P2"/>
      </w:pPr>
      <w:r>
        <w:tab/>
      </w:r>
      <w:r w:rsidR="00FD5A86" w:rsidRPr="003F2B22">
        <w:t>(</w:t>
      </w:r>
      <w:proofErr w:type="spellStart"/>
      <w:r w:rsidR="00FD5A86" w:rsidRPr="003F2B22">
        <w:t>i</w:t>
      </w:r>
      <w:proofErr w:type="spellEnd"/>
      <w:r w:rsidR="00FD5A86" w:rsidRPr="003F2B22">
        <w:t>)</w:t>
      </w:r>
      <w:r w:rsidR="00FD5A86" w:rsidRPr="003F2B22">
        <w:tab/>
        <w:t xml:space="preserve">a </w:t>
      </w:r>
      <w:r w:rsidR="00FD5A86" w:rsidRPr="003F2B22">
        <w:rPr>
          <w:lang w:val="en-US"/>
        </w:rPr>
        <w:t>portable</w:t>
      </w:r>
      <w:r w:rsidR="00FD5A86" w:rsidRPr="003F2B22">
        <w:t xml:space="preserve"> home; or</w:t>
      </w:r>
    </w:p>
    <w:p w:rsidR="00FD5A86" w:rsidRPr="003F2B22" w:rsidRDefault="004B55CA" w:rsidP="004B55CA">
      <w:pPr>
        <w:pStyle w:val="P2"/>
        <w:rPr>
          <w:color w:val="000000"/>
        </w:rPr>
      </w:pPr>
      <w:r>
        <w:rPr>
          <w:color w:val="000000"/>
        </w:rPr>
        <w:tab/>
      </w:r>
      <w:r w:rsidR="00FD5A86" w:rsidRPr="003F2B22">
        <w:rPr>
          <w:color w:val="000000"/>
        </w:rPr>
        <w:t>(ii)</w:t>
      </w:r>
      <w:r w:rsidR="00FD5A86" w:rsidRPr="003F2B22">
        <w:rPr>
          <w:color w:val="000000"/>
        </w:rPr>
        <w:tab/>
        <w:t xml:space="preserve">a </w:t>
      </w:r>
      <w:r w:rsidR="00FD5A86" w:rsidRPr="004B55CA">
        <w:rPr>
          <w:lang w:val="en-US"/>
        </w:rPr>
        <w:t>shelter</w:t>
      </w:r>
      <w:r w:rsidR="00FD5A86" w:rsidRPr="003F2B22">
        <w:rPr>
          <w:color w:val="000000"/>
        </w:rPr>
        <w:t>; or</w:t>
      </w:r>
    </w:p>
    <w:p w:rsidR="00FD5A86" w:rsidRPr="008648FD" w:rsidRDefault="004B55CA" w:rsidP="004B55CA">
      <w:pPr>
        <w:pStyle w:val="P2"/>
        <w:rPr>
          <w:color w:val="000000"/>
        </w:rPr>
      </w:pPr>
      <w:r>
        <w:rPr>
          <w:color w:val="000000"/>
        </w:rPr>
        <w:tab/>
      </w:r>
      <w:r w:rsidR="00FD5A86" w:rsidRPr="008648FD">
        <w:rPr>
          <w:color w:val="000000"/>
        </w:rPr>
        <w:t>(iii)</w:t>
      </w:r>
      <w:r w:rsidR="00FD5A86" w:rsidRPr="008648FD">
        <w:rPr>
          <w:color w:val="000000"/>
        </w:rPr>
        <w:tab/>
        <w:t xml:space="preserve">a </w:t>
      </w:r>
      <w:r w:rsidR="00FD5A86" w:rsidRPr="004B55CA">
        <w:rPr>
          <w:lang w:val="en-US"/>
        </w:rPr>
        <w:t>shed</w:t>
      </w:r>
      <w:r w:rsidR="00FD5A86" w:rsidRPr="008648FD">
        <w:rPr>
          <w:color w:val="000000"/>
        </w:rPr>
        <w:t xml:space="preserve"> </w:t>
      </w:r>
      <w:r w:rsidR="00FD5A86">
        <w:rPr>
          <w:color w:val="000000"/>
        </w:rPr>
        <w:t>(</w:t>
      </w:r>
      <w:r w:rsidR="00FD5A86" w:rsidRPr="008648FD">
        <w:rPr>
          <w:color w:val="000000"/>
        </w:rPr>
        <w:t>including a site shed, dairy shed, farm shed,</w:t>
      </w:r>
      <w:r w:rsidR="00FD5A86">
        <w:rPr>
          <w:color w:val="000000"/>
        </w:rPr>
        <w:t xml:space="preserve"> </w:t>
      </w:r>
      <w:r w:rsidR="00FD5A86" w:rsidRPr="008648FD">
        <w:rPr>
          <w:color w:val="000000"/>
        </w:rPr>
        <w:t>garden shed</w:t>
      </w:r>
      <w:r w:rsidR="00FD5A86">
        <w:rPr>
          <w:color w:val="000000"/>
        </w:rPr>
        <w:t xml:space="preserve">, or </w:t>
      </w:r>
      <w:r w:rsidR="00FD5A86" w:rsidRPr="003F2B22">
        <w:rPr>
          <w:color w:val="000000"/>
        </w:rPr>
        <w:t>worker’s shed</w:t>
      </w:r>
      <w:r w:rsidR="00FD5A86">
        <w:rPr>
          <w:color w:val="000000"/>
        </w:rPr>
        <w:t>)</w:t>
      </w:r>
      <w:r w:rsidR="00FD5A86" w:rsidRPr="003F2B22">
        <w:rPr>
          <w:color w:val="000000"/>
        </w:rPr>
        <w:t xml:space="preserve">; </w:t>
      </w:r>
      <w:r w:rsidR="00FD5A86" w:rsidRPr="008648FD">
        <w:rPr>
          <w:color w:val="000000"/>
        </w:rPr>
        <w:t>or</w:t>
      </w:r>
    </w:p>
    <w:p w:rsidR="00FD5A86" w:rsidRPr="00B26CB2" w:rsidRDefault="004B55CA" w:rsidP="004B55CA">
      <w:pPr>
        <w:pStyle w:val="P2"/>
        <w:rPr>
          <w:color w:val="000000"/>
        </w:rPr>
      </w:pPr>
      <w:r>
        <w:rPr>
          <w:color w:val="000000"/>
        </w:rPr>
        <w:tab/>
      </w:r>
      <w:r w:rsidR="00FD5A86" w:rsidRPr="00B26CB2">
        <w:rPr>
          <w:color w:val="000000"/>
        </w:rPr>
        <w:t>(iv)</w:t>
      </w:r>
      <w:r w:rsidR="00FD5A86" w:rsidRPr="00B26CB2">
        <w:rPr>
          <w:color w:val="000000"/>
        </w:rPr>
        <w:tab/>
      </w:r>
      <w:r w:rsidR="00FD5A86" w:rsidRPr="003F2B22">
        <w:rPr>
          <w:color w:val="000000"/>
        </w:rPr>
        <w:t xml:space="preserve">a </w:t>
      </w:r>
      <w:r w:rsidR="00FD5A86" w:rsidRPr="004B55CA">
        <w:rPr>
          <w:lang w:val="en-US"/>
        </w:rPr>
        <w:t>rotunda</w:t>
      </w:r>
      <w:r w:rsidR="00FD5A86" w:rsidRPr="003F2B22">
        <w:rPr>
          <w:color w:val="000000"/>
        </w:rPr>
        <w:t>; or</w:t>
      </w:r>
    </w:p>
    <w:p w:rsidR="00FD5A86" w:rsidRPr="00F542B3" w:rsidRDefault="004B55CA" w:rsidP="004B55CA">
      <w:pPr>
        <w:pStyle w:val="P2"/>
        <w:rPr>
          <w:color w:val="000000"/>
        </w:rPr>
      </w:pPr>
      <w:r>
        <w:rPr>
          <w:color w:val="000000"/>
        </w:rPr>
        <w:tab/>
      </w:r>
      <w:r w:rsidR="00FD5A86" w:rsidRPr="00F542B3">
        <w:rPr>
          <w:color w:val="000000"/>
        </w:rPr>
        <w:t>(v)</w:t>
      </w:r>
      <w:r w:rsidR="00FD5A86" w:rsidRPr="00F542B3">
        <w:rPr>
          <w:color w:val="000000"/>
        </w:rPr>
        <w:tab/>
        <w:t xml:space="preserve">a </w:t>
      </w:r>
      <w:r w:rsidR="00FD5A86" w:rsidRPr="004B55CA">
        <w:rPr>
          <w:lang w:val="en-US"/>
        </w:rPr>
        <w:t>lean</w:t>
      </w:r>
      <w:r w:rsidR="00FD5A86">
        <w:rPr>
          <w:color w:val="000000"/>
        </w:rPr>
        <w:noBreakHyphen/>
      </w:r>
      <w:r w:rsidR="00FD5A86" w:rsidRPr="00F542B3">
        <w:rPr>
          <w:color w:val="000000"/>
        </w:rPr>
        <w:t>to, humpy, or tent; or</w:t>
      </w:r>
    </w:p>
    <w:p w:rsidR="00FD5A86" w:rsidRPr="008648FD" w:rsidRDefault="004B55CA" w:rsidP="004B55CA">
      <w:pPr>
        <w:pStyle w:val="P2"/>
        <w:rPr>
          <w:color w:val="000000"/>
        </w:rPr>
      </w:pPr>
      <w:r>
        <w:rPr>
          <w:color w:val="000000"/>
        </w:rPr>
        <w:tab/>
      </w:r>
      <w:r w:rsidR="00FD5A86" w:rsidRPr="008648FD">
        <w:rPr>
          <w:color w:val="000000"/>
        </w:rPr>
        <w:t>(vi)</w:t>
      </w:r>
      <w:r w:rsidR="00FD5A86" w:rsidRPr="008648FD">
        <w:rPr>
          <w:color w:val="000000"/>
        </w:rPr>
        <w:tab/>
        <w:t xml:space="preserve">a </w:t>
      </w:r>
      <w:r w:rsidR="00FD5A86" w:rsidRPr="004B55CA">
        <w:rPr>
          <w:lang w:val="en-US"/>
        </w:rPr>
        <w:t>building</w:t>
      </w:r>
      <w:r w:rsidR="00FD5A86" w:rsidRPr="008648FD">
        <w:rPr>
          <w:color w:val="000000"/>
        </w:rPr>
        <w:t xml:space="preserve"> site office; or</w:t>
      </w:r>
    </w:p>
    <w:p w:rsidR="00FD5A86" w:rsidRDefault="004B55CA" w:rsidP="004B55CA">
      <w:pPr>
        <w:pStyle w:val="P2"/>
        <w:rPr>
          <w:color w:val="000000"/>
        </w:rPr>
      </w:pPr>
      <w:r>
        <w:rPr>
          <w:color w:val="000000"/>
        </w:rPr>
        <w:tab/>
      </w:r>
      <w:r w:rsidR="00FD5A86">
        <w:rPr>
          <w:color w:val="000000"/>
        </w:rPr>
        <w:t>(vii)</w:t>
      </w:r>
      <w:r w:rsidR="00FD5A86">
        <w:rPr>
          <w:color w:val="000000"/>
        </w:rPr>
        <w:tab/>
      </w:r>
      <w:r w:rsidR="00FD5A86" w:rsidRPr="008648FD">
        <w:rPr>
          <w:color w:val="000000"/>
        </w:rPr>
        <w:t xml:space="preserve">a </w:t>
      </w:r>
      <w:r w:rsidR="00FD5A86" w:rsidRPr="004B55CA">
        <w:rPr>
          <w:lang w:val="en-US"/>
        </w:rPr>
        <w:t>donga</w:t>
      </w:r>
      <w:r w:rsidR="00FD5A86" w:rsidRPr="00865A44">
        <w:rPr>
          <w:color w:val="000000"/>
        </w:rPr>
        <w:t xml:space="preserve">, unless it is a </w:t>
      </w:r>
      <w:r w:rsidR="00FD5A86" w:rsidRPr="00821EB0">
        <w:rPr>
          <w:color w:val="000000"/>
        </w:rPr>
        <w:t xml:space="preserve">distinct residence of a kind mentioned in </w:t>
      </w:r>
      <w:r w:rsidR="00FD5A86" w:rsidRPr="00865A44">
        <w:rPr>
          <w:color w:val="000000"/>
        </w:rPr>
        <w:t>subsection (3); or</w:t>
      </w:r>
    </w:p>
    <w:p w:rsidR="00FD5A86" w:rsidRPr="00B26CB2" w:rsidRDefault="004B55CA" w:rsidP="004B55CA">
      <w:pPr>
        <w:pStyle w:val="P2"/>
        <w:rPr>
          <w:color w:val="000000"/>
        </w:rPr>
      </w:pPr>
      <w:r>
        <w:rPr>
          <w:color w:val="000000"/>
        </w:rPr>
        <w:tab/>
      </w:r>
      <w:r w:rsidR="00FD5A86" w:rsidRPr="00B26CB2">
        <w:rPr>
          <w:color w:val="000000"/>
        </w:rPr>
        <w:t>(viii)</w:t>
      </w:r>
      <w:r w:rsidR="00FD5A86" w:rsidRPr="00B26CB2">
        <w:rPr>
          <w:color w:val="000000"/>
        </w:rPr>
        <w:tab/>
        <w:t xml:space="preserve">an </w:t>
      </w:r>
      <w:r w:rsidR="00FD5A86" w:rsidRPr="004B55CA">
        <w:rPr>
          <w:lang w:val="en-US"/>
        </w:rPr>
        <w:t>elevator</w:t>
      </w:r>
      <w:r w:rsidR="00FD5A86" w:rsidRPr="00B26CB2">
        <w:rPr>
          <w:color w:val="000000"/>
        </w:rPr>
        <w:t>; or</w:t>
      </w:r>
    </w:p>
    <w:p w:rsidR="00FD5A86" w:rsidRDefault="004B55CA" w:rsidP="004B55CA">
      <w:pPr>
        <w:pStyle w:val="P2"/>
        <w:rPr>
          <w:color w:val="000000"/>
        </w:rPr>
      </w:pPr>
      <w:r>
        <w:rPr>
          <w:color w:val="000000"/>
        </w:rPr>
        <w:tab/>
      </w:r>
      <w:r w:rsidR="00FD5A86">
        <w:rPr>
          <w:color w:val="000000"/>
        </w:rPr>
        <w:t>(ix)</w:t>
      </w:r>
      <w:r w:rsidR="00FD5A86">
        <w:rPr>
          <w:color w:val="000000"/>
        </w:rPr>
        <w:tab/>
      </w:r>
      <w:r w:rsidR="00FD5A86" w:rsidRPr="00B26CB2">
        <w:rPr>
          <w:color w:val="000000"/>
        </w:rPr>
        <w:t xml:space="preserve">a </w:t>
      </w:r>
      <w:r w:rsidR="00FD5A86" w:rsidRPr="004B55CA">
        <w:rPr>
          <w:lang w:val="en-US"/>
        </w:rPr>
        <w:t>vehicle</w:t>
      </w:r>
      <w:r w:rsidR="00FD5A86" w:rsidRPr="003F2B22">
        <w:rPr>
          <w:color w:val="000000"/>
        </w:rPr>
        <w:t xml:space="preserve"> (other than a </w:t>
      </w:r>
      <w:proofErr w:type="spellStart"/>
      <w:r w:rsidR="00FD5A86" w:rsidRPr="003F2B22">
        <w:rPr>
          <w:color w:val="000000"/>
        </w:rPr>
        <w:t>motorhome</w:t>
      </w:r>
      <w:proofErr w:type="spellEnd"/>
      <w:r w:rsidR="00FD5A86" w:rsidRPr="003F2B22">
        <w:rPr>
          <w:color w:val="000000"/>
        </w:rPr>
        <w:t xml:space="preserve"> or caravan</w:t>
      </w:r>
      <w:r w:rsidR="00FD5A86">
        <w:rPr>
          <w:color w:val="000000"/>
        </w:rPr>
        <w:t xml:space="preserve"> described under paragraph (3)(e) or (3)(f)</w:t>
      </w:r>
      <w:r w:rsidR="00FD5A86" w:rsidRPr="003F2B22">
        <w:rPr>
          <w:color w:val="000000"/>
        </w:rPr>
        <w:t>); or</w:t>
      </w:r>
    </w:p>
    <w:p w:rsidR="00FD5A86" w:rsidRDefault="004B55CA" w:rsidP="004B55CA">
      <w:pPr>
        <w:pStyle w:val="P2"/>
        <w:rPr>
          <w:color w:val="000000"/>
        </w:rPr>
      </w:pPr>
      <w:r>
        <w:rPr>
          <w:color w:val="000000"/>
        </w:rPr>
        <w:tab/>
      </w:r>
      <w:r w:rsidR="00FD5A86">
        <w:rPr>
          <w:color w:val="000000"/>
        </w:rPr>
        <w:t>(x)</w:t>
      </w:r>
      <w:r w:rsidR="00FD5A86">
        <w:rPr>
          <w:color w:val="000000"/>
        </w:rPr>
        <w:tab/>
      </w:r>
      <w:r w:rsidR="00FD5A86" w:rsidRPr="004B55CA">
        <w:rPr>
          <w:lang w:val="en-US"/>
        </w:rPr>
        <w:t>evacuation</w:t>
      </w:r>
      <w:r w:rsidR="00FD5A86">
        <w:rPr>
          <w:color w:val="000000"/>
        </w:rPr>
        <w:t xml:space="preserve"> centres, tents, demountable structures or barracks erected in time of emergency that are not intended to be for permanent accommodation</w:t>
      </w:r>
      <w:r w:rsidR="00FD5A86" w:rsidRPr="003F2B22">
        <w:rPr>
          <w:color w:val="000000"/>
        </w:rPr>
        <w:t>; or</w:t>
      </w:r>
    </w:p>
    <w:p w:rsidR="00FD5A86" w:rsidRPr="003F2B22" w:rsidRDefault="004B55CA" w:rsidP="004B55CA">
      <w:pPr>
        <w:pStyle w:val="P2"/>
        <w:rPr>
          <w:color w:val="000000"/>
        </w:rPr>
      </w:pPr>
      <w:r>
        <w:rPr>
          <w:color w:val="000000"/>
        </w:rPr>
        <w:tab/>
      </w:r>
      <w:r w:rsidR="00FD5A86" w:rsidRPr="003F2B22">
        <w:rPr>
          <w:color w:val="000000"/>
        </w:rPr>
        <w:t>(xi)</w:t>
      </w:r>
      <w:r w:rsidR="00FD5A86" w:rsidRPr="003F2B22">
        <w:rPr>
          <w:color w:val="000000"/>
        </w:rPr>
        <w:tab/>
        <w:t xml:space="preserve">a </w:t>
      </w:r>
      <w:r w:rsidR="00FD5A86" w:rsidRPr="004B55CA">
        <w:rPr>
          <w:lang w:val="en-US"/>
        </w:rPr>
        <w:t>boat</w:t>
      </w:r>
      <w:r w:rsidR="00FD5A86" w:rsidRPr="003F2B22">
        <w:rPr>
          <w:color w:val="000000"/>
        </w:rPr>
        <w:t xml:space="preserve"> on dry land; or</w:t>
      </w:r>
    </w:p>
    <w:p w:rsidR="00FD5A86" w:rsidRPr="003F2B22" w:rsidRDefault="004B55CA" w:rsidP="004B55CA">
      <w:pPr>
        <w:pStyle w:val="P2"/>
        <w:rPr>
          <w:color w:val="000000"/>
        </w:rPr>
      </w:pPr>
      <w:r>
        <w:rPr>
          <w:color w:val="000000"/>
        </w:rPr>
        <w:tab/>
      </w:r>
      <w:r w:rsidR="00FD5A86" w:rsidRPr="003F2B22">
        <w:rPr>
          <w:color w:val="000000"/>
        </w:rPr>
        <w:t>(xii)</w:t>
      </w:r>
      <w:r w:rsidR="00FD5A86" w:rsidRPr="003F2B22">
        <w:rPr>
          <w:color w:val="000000"/>
        </w:rPr>
        <w:tab/>
      </w:r>
      <w:r w:rsidR="00FD5A86" w:rsidRPr="008648FD">
        <w:rPr>
          <w:color w:val="000000"/>
        </w:rPr>
        <w:t xml:space="preserve">a </w:t>
      </w:r>
      <w:r w:rsidR="00FD5A86" w:rsidRPr="004B55CA">
        <w:rPr>
          <w:lang w:val="en-US"/>
        </w:rPr>
        <w:t>moored</w:t>
      </w:r>
      <w:r w:rsidR="00FD5A86" w:rsidRPr="008648FD">
        <w:rPr>
          <w:color w:val="000000"/>
        </w:rPr>
        <w:t xml:space="preserve"> boat (</w:t>
      </w:r>
      <w:r w:rsidR="00FD5A86" w:rsidRPr="003F2B22">
        <w:rPr>
          <w:color w:val="000000"/>
        </w:rPr>
        <w:t>other than a permanently moored boat); or</w:t>
      </w:r>
    </w:p>
    <w:p w:rsidR="00FD5A86" w:rsidRDefault="004B55CA" w:rsidP="004B55CA">
      <w:pPr>
        <w:pStyle w:val="P2"/>
        <w:rPr>
          <w:color w:val="000000"/>
        </w:rPr>
      </w:pPr>
      <w:r>
        <w:rPr>
          <w:color w:val="000000"/>
        </w:rPr>
        <w:tab/>
      </w:r>
      <w:r w:rsidR="00FD5A86">
        <w:rPr>
          <w:color w:val="000000"/>
        </w:rPr>
        <w:t>(xiii)</w:t>
      </w:r>
      <w:r w:rsidR="00FD5A86">
        <w:rPr>
          <w:color w:val="000000"/>
        </w:rPr>
        <w:tab/>
      </w:r>
      <w:r w:rsidR="00FD5A86" w:rsidRPr="003F2B22">
        <w:rPr>
          <w:color w:val="000000"/>
        </w:rPr>
        <w:t xml:space="preserve">a </w:t>
      </w:r>
      <w:r w:rsidR="00FD5A86" w:rsidRPr="004B55CA">
        <w:rPr>
          <w:lang w:val="en-US"/>
        </w:rPr>
        <w:t>shipping</w:t>
      </w:r>
      <w:r w:rsidR="00FD5A86" w:rsidRPr="003F2B22">
        <w:rPr>
          <w:color w:val="000000"/>
        </w:rPr>
        <w:t xml:space="preserve"> </w:t>
      </w:r>
      <w:r w:rsidR="00FD5A86" w:rsidRPr="00865A44">
        <w:rPr>
          <w:color w:val="000000"/>
        </w:rPr>
        <w:t xml:space="preserve">container, unless it is a </w:t>
      </w:r>
      <w:r w:rsidR="00FD5A86" w:rsidRPr="00821EB0">
        <w:rPr>
          <w:color w:val="000000"/>
        </w:rPr>
        <w:t>distinct residence of a kind mentioned in</w:t>
      </w:r>
      <w:r w:rsidR="00FD5A86" w:rsidRPr="00865A44">
        <w:rPr>
          <w:color w:val="000000"/>
        </w:rPr>
        <w:t xml:space="preserve"> subsection (3);</w:t>
      </w:r>
      <w:r w:rsidR="00FD5A86" w:rsidRPr="003F2B22">
        <w:rPr>
          <w:color w:val="000000"/>
        </w:rPr>
        <w:t xml:space="preserve"> or</w:t>
      </w:r>
    </w:p>
    <w:p w:rsidR="00FD5A86" w:rsidRPr="003F2B22" w:rsidRDefault="004B55CA" w:rsidP="004B55CA">
      <w:pPr>
        <w:pStyle w:val="P2"/>
        <w:rPr>
          <w:color w:val="000000"/>
        </w:rPr>
      </w:pPr>
      <w:r>
        <w:rPr>
          <w:color w:val="000000"/>
        </w:rPr>
        <w:tab/>
      </w:r>
      <w:r w:rsidR="00FD5A86" w:rsidRPr="003F2B22">
        <w:rPr>
          <w:color w:val="000000"/>
        </w:rPr>
        <w:t>(xiv)</w:t>
      </w:r>
      <w:r w:rsidR="00FD5A86" w:rsidRPr="003F2B22">
        <w:rPr>
          <w:color w:val="000000"/>
        </w:rPr>
        <w:tab/>
        <w:t xml:space="preserve">a </w:t>
      </w:r>
      <w:r w:rsidR="00FD5A86" w:rsidRPr="004B55CA">
        <w:rPr>
          <w:lang w:val="en-US"/>
        </w:rPr>
        <w:t>cubby</w:t>
      </w:r>
      <w:r w:rsidR="00FD5A86" w:rsidRPr="003F2B22">
        <w:rPr>
          <w:color w:val="000000"/>
        </w:rPr>
        <w:t xml:space="preserve"> house; or</w:t>
      </w:r>
    </w:p>
    <w:p w:rsidR="00FD5A86" w:rsidRPr="008648FD" w:rsidRDefault="004B55CA" w:rsidP="004B55CA">
      <w:pPr>
        <w:pStyle w:val="P2"/>
        <w:rPr>
          <w:color w:val="000000"/>
        </w:rPr>
      </w:pPr>
      <w:r>
        <w:rPr>
          <w:color w:val="000000"/>
        </w:rPr>
        <w:tab/>
      </w:r>
      <w:r w:rsidR="00FD5A86" w:rsidRPr="008648FD">
        <w:rPr>
          <w:color w:val="000000"/>
        </w:rPr>
        <w:t>(xv)</w:t>
      </w:r>
      <w:r w:rsidR="00FD5A86" w:rsidRPr="008648FD">
        <w:rPr>
          <w:color w:val="000000"/>
        </w:rPr>
        <w:tab/>
      </w:r>
      <w:r w:rsidR="00FD5A86" w:rsidRPr="003F2B22">
        <w:rPr>
          <w:color w:val="000000"/>
        </w:rPr>
        <w:t>an outhouse or</w:t>
      </w:r>
      <w:r w:rsidR="00FD5A86">
        <w:rPr>
          <w:color w:val="000000"/>
        </w:rPr>
        <w:t xml:space="preserve"> </w:t>
      </w:r>
      <w:r w:rsidR="00FD5A86" w:rsidRPr="008648FD">
        <w:rPr>
          <w:color w:val="000000"/>
        </w:rPr>
        <w:t>a shower block; or</w:t>
      </w:r>
    </w:p>
    <w:p w:rsidR="00FD5A86" w:rsidRPr="008648FD" w:rsidRDefault="004B55CA" w:rsidP="004B55CA">
      <w:pPr>
        <w:pStyle w:val="P2"/>
        <w:rPr>
          <w:color w:val="000000"/>
        </w:rPr>
      </w:pPr>
      <w:r>
        <w:rPr>
          <w:color w:val="000000"/>
        </w:rPr>
        <w:tab/>
      </w:r>
      <w:r w:rsidR="00FD5A86" w:rsidRPr="008648FD">
        <w:rPr>
          <w:color w:val="000000"/>
        </w:rPr>
        <w:t>(xvi)</w:t>
      </w:r>
      <w:r w:rsidR="00FD5A86" w:rsidRPr="008648FD">
        <w:rPr>
          <w:color w:val="000000"/>
        </w:rPr>
        <w:tab/>
        <w:t>an annex</w:t>
      </w:r>
      <w:r w:rsidR="00FD5A86">
        <w:rPr>
          <w:color w:val="000000"/>
        </w:rPr>
        <w:t>e</w:t>
      </w:r>
      <w:r w:rsidR="00FD5A86" w:rsidRPr="008648FD">
        <w:rPr>
          <w:color w:val="000000"/>
        </w:rPr>
        <w:t xml:space="preserve">; </w:t>
      </w:r>
    </w:p>
    <w:p w:rsidR="00FD5A86" w:rsidRPr="00821EB0" w:rsidRDefault="004B55CA" w:rsidP="004B55CA">
      <w:pPr>
        <w:pStyle w:val="P1"/>
        <w:rPr>
          <w:lang w:val="en-US"/>
        </w:rPr>
      </w:pPr>
      <w:r>
        <w:rPr>
          <w:lang w:val="en-US"/>
        </w:rPr>
        <w:tab/>
      </w:r>
      <w:r w:rsidR="00FD5A86" w:rsidRPr="00821EB0">
        <w:rPr>
          <w:lang w:val="en-US"/>
        </w:rPr>
        <w:t>(</w:t>
      </w:r>
      <w:proofErr w:type="spellStart"/>
      <w:r w:rsidR="00FD5A86" w:rsidRPr="00821EB0">
        <w:rPr>
          <w:lang w:val="en-US"/>
        </w:rPr>
        <w:t>i</w:t>
      </w:r>
      <w:proofErr w:type="spellEnd"/>
      <w:r w:rsidR="00FD5A86" w:rsidRPr="00821EB0">
        <w:rPr>
          <w:lang w:val="en-US"/>
        </w:rPr>
        <w:t>)</w:t>
      </w:r>
      <w:r w:rsidR="00FD5A86" w:rsidRPr="00821EB0">
        <w:rPr>
          <w:lang w:val="en-US"/>
        </w:rPr>
        <w:tab/>
        <w:t xml:space="preserve">the premises </w:t>
      </w:r>
      <w:r w:rsidR="000A7661" w:rsidRPr="000A7661">
        <w:rPr>
          <w:lang w:val="en-US"/>
        </w:rPr>
        <w:t>are residential premises but are</w:t>
      </w:r>
      <w:r w:rsidR="00E27694" w:rsidRPr="00821EB0">
        <w:rPr>
          <w:lang w:val="en-US"/>
        </w:rPr>
        <w:t xml:space="preserve"> </w:t>
      </w:r>
      <w:r w:rsidR="00FD5A86" w:rsidRPr="00821EB0">
        <w:rPr>
          <w:lang w:val="en-US"/>
        </w:rPr>
        <w:t xml:space="preserve">not the principal place of residence of the person making the request; </w:t>
      </w:r>
    </w:p>
    <w:p w:rsidR="00FD5A86" w:rsidRPr="00821EB0" w:rsidRDefault="004B55CA" w:rsidP="004B55CA">
      <w:pPr>
        <w:pStyle w:val="P1"/>
        <w:rPr>
          <w:lang w:val="en-US"/>
        </w:rPr>
      </w:pPr>
      <w:r>
        <w:rPr>
          <w:lang w:val="en-US"/>
        </w:rPr>
        <w:tab/>
      </w:r>
      <w:r w:rsidR="00FD5A86" w:rsidRPr="00821EB0">
        <w:rPr>
          <w:lang w:val="en-US"/>
        </w:rPr>
        <w:t>(j)</w:t>
      </w:r>
      <w:r w:rsidR="00FD5A86" w:rsidRPr="00821EB0">
        <w:rPr>
          <w:lang w:val="en-US"/>
        </w:rPr>
        <w:tab/>
        <w:t xml:space="preserve">the premises </w:t>
      </w:r>
      <w:r w:rsidR="000A7661" w:rsidRPr="000A7661">
        <w:rPr>
          <w:lang w:val="en-US"/>
        </w:rPr>
        <w:t>are residential premises but do</w:t>
      </w:r>
      <w:r w:rsidR="00E27694" w:rsidRPr="00821EB0">
        <w:rPr>
          <w:lang w:val="en-US"/>
        </w:rPr>
        <w:t xml:space="preserve"> </w:t>
      </w:r>
      <w:r w:rsidR="00FD5A86" w:rsidRPr="00821EB0">
        <w:rPr>
          <w:lang w:val="en-US"/>
        </w:rPr>
        <w:t xml:space="preserve">not have access to facilities capable of supporting independent living; </w:t>
      </w:r>
    </w:p>
    <w:p w:rsidR="00422293" w:rsidRDefault="00E27694">
      <w:pPr>
        <w:pStyle w:val="P1"/>
        <w:rPr>
          <w:lang w:val="en-US"/>
        </w:rPr>
      </w:pPr>
      <w:r>
        <w:rPr>
          <w:lang w:val="en-US"/>
        </w:rPr>
        <w:lastRenderedPageBreak/>
        <w:tab/>
      </w:r>
      <w:r w:rsidR="000A7661">
        <w:rPr>
          <w:lang w:val="en-US"/>
        </w:rPr>
        <w:t>(k)</w:t>
      </w:r>
      <w:r w:rsidR="000A7661" w:rsidRPr="000A7661">
        <w:rPr>
          <w:lang w:val="en-US"/>
        </w:rPr>
        <w:tab/>
        <w:t>the premises are business premises but a person making the request does not intend to carry on business for 6 months or more per annum at the premises; or</w:t>
      </w:r>
    </w:p>
    <w:p w:rsidR="00FD5A86" w:rsidRPr="00821EB0" w:rsidRDefault="004B55CA" w:rsidP="004B55CA">
      <w:pPr>
        <w:pStyle w:val="P1"/>
        <w:rPr>
          <w:lang w:val="en-US"/>
        </w:rPr>
      </w:pPr>
      <w:r>
        <w:rPr>
          <w:lang w:val="en-US"/>
        </w:rPr>
        <w:tab/>
      </w:r>
      <w:r w:rsidR="00FD5A86" w:rsidRPr="00821EB0">
        <w:rPr>
          <w:lang w:val="en-US"/>
        </w:rPr>
        <w:t>(l)</w:t>
      </w:r>
      <w:r w:rsidR="00FD5A86" w:rsidRPr="00821EB0">
        <w:rPr>
          <w:lang w:val="en-US"/>
        </w:rPr>
        <w:tab/>
        <w:t xml:space="preserve">the premises </w:t>
      </w:r>
      <w:r w:rsidR="000A7661" w:rsidRPr="000A7661">
        <w:rPr>
          <w:lang w:val="en-US"/>
        </w:rPr>
        <w:t>are residential premises but are</w:t>
      </w:r>
      <w:r w:rsidR="00E27694">
        <w:rPr>
          <w:lang w:val="en-US"/>
        </w:rPr>
        <w:t xml:space="preserve"> </w:t>
      </w:r>
      <w:r w:rsidR="00FD5A86">
        <w:rPr>
          <w:lang w:val="en-US"/>
        </w:rPr>
        <w:t>not a distinct residence</w:t>
      </w:r>
      <w:r w:rsidR="00FD5A86" w:rsidRPr="00821EB0">
        <w:rPr>
          <w:lang w:val="en-US"/>
        </w:rPr>
        <w:t>.</w:t>
      </w:r>
    </w:p>
    <w:p w:rsidR="00FD5A86" w:rsidRPr="003F2B22" w:rsidRDefault="004B55CA" w:rsidP="004B55CA">
      <w:pPr>
        <w:pStyle w:val="R2"/>
        <w:rPr>
          <w:lang w:val="en-US"/>
        </w:rPr>
      </w:pPr>
      <w:r>
        <w:rPr>
          <w:lang w:val="en-US"/>
        </w:rPr>
        <w:tab/>
      </w:r>
      <w:r w:rsidR="00FD5A86" w:rsidRPr="003F2B22">
        <w:rPr>
          <w:lang w:val="en-US"/>
        </w:rPr>
        <w:t>(3)</w:t>
      </w:r>
      <w:r w:rsidR="00FD5A86" w:rsidRPr="003F2B22">
        <w:rPr>
          <w:lang w:val="en-US"/>
        </w:rPr>
        <w:tab/>
      </w:r>
      <w:r w:rsidR="00FD5A86">
        <w:rPr>
          <w:lang w:val="en-US"/>
        </w:rPr>
        <w:t xml:space="preserve">For the purposes of paragraph (2)(l), a </w:t>
      </w:r>
      <w:r w:rsidR="00FD5A86" w:rsidRPr="00821EB0">
        <w:rPr>
          <w:b/>
          <w:i/>
          <w:lang w:val="en-US"/>
        </w:rPr>
        <w:t>distinct residence</w:t>
      </w:r>
      <w:r w:rsidR="00FD5A86">
        <w:rPr>
          <w:lang w:val="en-US"/>
        </w:rPr>
        <w:t xml:space="preserve"> includes, but is not limited to</w:t>
      </w:r>
      <w:r w:rsidR="00FD5A86" w:rsidRPr="003F2B22">
        <w:rPr>
          <w:lang w:val="en-US"/>
        </w:rPr>
        <w:t>:</w:t>
      </w:r>
    </w:p>
    <w:p w:rsidR="00FD5A86" w:rsidRPr="00821EB0" w:rsidRDefault="004B55CA" w:rsidP="004B55CA">
      <w:pPr>
        <w:pStyle w:val="P1"/>
        <w:rPr>
          <w:lang w:val="en-US"/>
        </w:rPr>
      </w:pPr>
      <w:r>
        <w:rPr>
          <w:lang w:val="en-US"/>
        </w:rPr>
        <w:tab/>
      </w:r>
      <w:r w:rsidR="00FD5A86" w:rsidRPr="00821EB0">
        <w:rPr>
          <w:lang w:val="en-US"/>
        </w:rPr>
        <w:t>(a)</w:t>
      </w:r>
      <w:r w:rsidR="00FD5A86" w:rsidRPr="00821EB0">
        <w:rPr>
          <w:lang w:val="en-US"/>
        </w:rPr>
        <w:tab/>
        <w:t>a distinct house, flat or apartment; or</w:t>
      </w:r>
    </w:p>
    <w:p w:rsidR="00FD5A86" w:rsidRPr="00821EB0" w:rsidRDefault="004B55CA" w:rsidP="004B55CA">
      <w:pPr>
        <w:pStyle w:val="P1"/>
        <w:rPr>
          <w:lang w:val="en-US"/>
        </w:rPr>
      </w:pPr>
      <w:r>
        <w:rPr>
          <w:lang w:val="en-US"/>
        </w:rPr>
        <w:tab/>
      </w:r>
      <w:r w:rsidR="00FD5A86" w:rsidRPr="00821EB0">
        <w:rPr>
          <w:lang w:val="en-US"/>
        </w:rPr>
        <w:t>(b)</w:t>
      </w:r>
      <w:r w:rsidR="00FD5A86" w:rsidRPr="00821EB0">
        <w:rPr>
          <w:lang w:val="en-US"/>
        </w:rPr>
        <w:tab/>
        <w:t xml:space="preserve">a distinct </w:t>
      </w:r>
      <w:r w:rsidR="00FD5A86">
        <w:rPr>
          <w:lang w:val="en-US"/>
        </w:rPr>
        <w:t>dwelling</w:t>
      </w:r>
      <w:r w:rsidR="00FD5A86" w:rsidRPr="00821EB0">
        <w:rPr>
          <w:lang w:val="en-US"/>
        </w:rPr>
        <w:t xml:space="preserve"> (even if the </w:t>
      </w:r>
      <w:r w:rsidR="00FD5A86">
        <w:rPr>
          <w:lang w:val="en-US"/>
        </w:rPr>
        <w:t>dwelling</w:t>
      </w:r>
      <w:r w:rsidR="00FD5A86" w:rsidRPr="00821EB0">
        <w:rPr>
          <w:lang w:val="en-US"/>
        </w:rPr>
        <w:t xml:space="preserve"> does not have a separate land title to the main residence on the relevant land, for example, a granny flat); or</w:t>
      </w:r>
    </w:p>
    <w:p w:rsidR="00FD5A86" w:rsidRPr="00821EB0" w:rsidRDefault="004B55CA" w:rsidP="00164110">
      <w:pPr>
        <w:pStyle w:val="P1"/>
        <w:keepNext/>
        <w:keepLines/>
        <w:rPr>
          <w:lang w:val="en-US"/>
        </w:rPr>
      </w:pPr>
      <w:r>
        <w:rPr>
          <w:lang w:val="en-US"/>
        </w:rPr>
        <w:tab/>
      </w:r>
      <w:r w:rsidR="00FD5A86" w:rsidRPr="00821EB0">
        <w:rPr>
          <w:lang w:val="en-US"/>
        </w:rPr>
        <w:t>(c)</w:t>
      </w:r>
      <w:r w:rsidR="00FD5A86" w:rsidRPr="00821EB0">
        <w:rPr>
          <w:lang w:val="en-US"/>
        </w:rPr>
        <w:tab/>
        <w:t>a separate farm dwelling; or</w:t>
      </w:r>
    </w:p>
    <w:p w:rsidR="00FD5A86" w:rsidRPr="00821EB0" w:rsidRDefault="004B55CA" w:rsidP="004B55CA">
      <w:pPr>
        <w:pStyle w:val="P1"/>
        <w:rPr>
          <w:lang w:val="en-US"/>
        </w:rPr>
      </w:pPr>
      <w:r>
        <w:rPr>
          <w:lang w:val="en-US"/>
        </w:rPr>
        <w:tab/>
      </w:r>
      <w:r w:rsidR="00FD5A86" w:rsidRPr="00821EB0">
        <w:rPr>
          <w:lang w:val="en-US"/>
        </w:rPr>
        <w:t>(d)</w:t>
      </w:r>
      <w:r w:rsidR="00FD5A86" w:rsidRPr="00821EB0">
        <w:rPr>
          <w:lang w:val="en-US"/>
        </w:rPr>
        <w:tab/>
        <w:t>a distinct residence within a retirement village or nursing home; or</w:t>
      </w:r>
    </w:p>
    <w:p w:rsidR="00FD5A86" w:rsidRPr="00821EB0" w:rsidRDefault="004B55CA" w:rsidP="004B55CA">
      <w:pPr>
        <w:pStyle w:val="P1"/>
        <w:rPr>
          <w:lang w:val="en-US"/>
        </w:rPr>
      </w:pPr>
      <w:r>
        <w:rPr>
          <w:lang w:val="en-US"/>
        </w:rPr>
        <w:tab/>
      </w:r>
      <w:r w:rsidR="00FD5A86" w:rsidRPr="00821EB0">
        <w:rPr>
          <w:lang w:val="en-US"/>
        </w:rPr>
        <w:t>(e)</w:t>
      </w:r>
      <w:r w:rsidR="00FD5A86" w:rsidRPr="00821EB0">
        <w:rPr>
          <w:lang w:val="en-US"/>
        </w:rPr>
        <w:tab/>
        <w:t xml:space="preserve">a caravan, </w:t>
      </w:r>
      <w:proofErr w:type="spellStart"/>
      <w:r w:rsidR="00FD5A86" w:rsidRPr="00821EB0">
        <w:rPr>
          <w:lang w:val="en-US"/>
        </w:rPr>
        <w:t>motorhome</w:t>
      </w:r>
      <w:proofErr w:type="spellEnd"/>
      <w:r w:rsidR="00FD5A86" w:rsidRPr="00821EB0">
        <w:rPr>
          <w:lang w:val="en-US"/>
        </w:rPr>
        <w:t xml:space="preserve"> or cabin permanently situated at a caravan park, where the person requesting the supply of a standard telephone service </w:t>
      </w:r>
      <w:r w:rsidR="000A7661" w:rsidRPr="000A7661">
        <w:rPr>
          <w:lang w:val="en-US"/>
        </w:rPr>
        <w:t>to the premises</w:t>
      </w:r>
      <w:r w:rsidR="00E27694" w:rsidRPr="00821EB0">
        <w:rPr>
          <w:lang w:val="en-US"/>
        </w:rPr>
        <w:t xml:space="preserve"> </w:t>
      </w:r>
      <w:r w:rsidR="00FD5A86" w:rsidRPr="00821EB0">
        <w:rPr>
          <w:lang w:val="en-US"/>
        </w:rPr>
        <w:t xml:space="preserve">is a permanent or </w:t>
      </w:r>
      <w:proofErr w:type="spellStart"/>
      <w:r w:rsidR="00FD5A86" w:rsidRPr="00821EB0">
        <w:rPr>
          <w:lang w:val="en-US"/>
        </w:rPr>
        <w:t>long</w:t>
      </w:r>
      <w:r w:rsidR="00FD5A86">
        <w:rPr>
          <w:lang w:val="en-US"/>
        </w:rPr>
        <w:noBreakHyphen/>
      </w:r>
      <w:r w:rsidR="00FD5A86" w:rsidRPr="00821EB0">
        <w:rPr>
          <w:lang w:val="en-US"/>
        </w:rPr>
        <w:t>term</w:t>
      </w:r>
      <w:proofErr w:type="spellEnd"/>
      <w:r w:rsidR="00FD5A86" w:rsidRPr="00821EB0">
        <w:rPr>
          <w:lang w:val="en-US"/>
        </w:rPr>
        <w:t xml:space="preserve"> resident of the caravan park; or</w:t>
      </w:r>
    </w:p>
    <w:p w:rsidR="00FD5A86" w:rsidRPr="00821EB0" w:rsidRDefault="004B55CA" w:rsidP="004B55CA">
      <w:pPr>
        <w:pStyle w:val="P1"/>
        <w:rPr>
          <w:lang w:val="en-US"/>
        </w:rPr>
      </w:pPr>
      <w:r>
        <w:rPr>
          <w:lang w:val="en-US"/>
        </w:rPr>
        <w:tab/>
      </w:r>
      <w:r w:rsidR="00FD5A86" w:rsidRPr="00821EB0">
        <w:rPr>
          <w:lang w:val="en-US"/>
        </w:rPr>
        <w:t>(f)</w:t>
      </w:r>
      <w:r w:rsidR="00FD5A86" w:rsidRPr="00821EB0">
        <w:rPr>
          <w:lang w:val="en-US"/>
        </w:rPr>
        <w:tab/>
        <w:t xml:space="preserve">a caravan, </w:t>
      </w:r>
      <w:proofErr w:type="spellStart"/>
      <w:r w:rsidR="00FD5A86" w:rsidRPr="00821EB0">
        <w:rPr>
          <w:lang w:val="en-US"/>
        </w:rPr>
        <w:t>motorhome</w:t>
      </w:r>
      <w:proofErr w:type="spellEnd"/>
      <w:r w:rsidR="00FD5A86" w:rsidRPr="00821EB0">
        <w:rPr>
          <w:lang w:val="en-US"/>
        </w:rPr>
        <w:t xml:space="preserve">, or cabin situated on owner occupied land or leased land, provided the person making the request has resided, or intends to reside, in the caravan, </w:t>
      </w:r>
      <w:proofErr w:type="spellStart"/>
      <w:r w:rsidR="00FD5A86" w:rsidRPr="00821EB0">
        <w:rPr>
          <w:lang w:val="en-US"/>
        </w:rPr>
        <w:t>motorhome</w:t>
      </w:r>
      <w:proofErr w:type="spellEnd"/>
      <w:r w:rsidR="00FD5A86" w:rsidRPr="00821EB0">
        <w:rPr>
          <w:lang w:val="en-US"/>
        </w:rPr>
        <w:t>,</w:t>
      </w:r>
      <w:r w:rsidR="00FD5A86">
        <w:rPr>
          <w:lang w:val="en-US"/>
        </w:rPr>
        <w:t xml:space="preserve"> </w:t>
      </w:r>
      <w:r w:rsidR="00FD5A86" w:rsidRPr="00821EB0">
        <w:rPr>
          <w:lang w:val="en-US"/>
        </w:rPr>
        <w:t>or cabin at that site for 183 days or more per annum; or</w:t>
      </w:r>
    </w:p>
    <w:p w:rsidR="00FD5A86" w:rsidRPr="00821EB0" w:rsidRDefault="004B55CA" w:rsidP="004B55CA">
      <w:pPr>
        <w:pStyle w:val="P1"/>
        <w:rPr>
          <w:lang w:val="en-US"/>
        </w:rPr>
      </w:pPr>
      <w:r>
        <w:rPr>
          <w:lang w:val="en-US"/>
        </w:rPr>
        <w:tab/>
      </w:r>
      <w:r w:rsidR="00FD5A86" w:rsidRPr="00821EB0">
        <w:rPr>
          <w:lang w:val="en-US"/>
        </w:rPr>
        <w:t>(g)</w:t>
      </w:r>
      <w:r w:rsidR="00FD5A86" w:rsidRPr="00821EB0">
        <w:rPr>
          <w:lang w:val="en-US"/>
        </w:rPr>
        <w:tab/>
        <w:t xml:space="preserve">a permanently moored boat; or </w:t>
      </w:r>
    </w:p>
    <w:p w:rsidR="00FD5A86" w:rsidRPr="00821EB0" w:rsidRDefault="004B55CA" w:rsidP="004B55CA">
      <w:pPr>
        <w:pStyle w:val="P1"/>
        <w:rPr>
          <w:lang w:val="en-US"/>
        </w:rPr>
      </w:pPr>
      <w:r>
        <w:rPr>
          <w:lang w:val="en-US"/>
        </w:rPr>
        <w:tab/>
      </w:r>
      <w:r w:rsidR="00FD5A86" w:rsidRPr="00821EB0">
        <w:rPr>
          <w:lang w:val="en-US"/>
        </w:rPr>
        <w:t>(h)</w:t>
      </w:r>
      <w:r w:rsidR="00FD5A86" w:rsidRPr="00821EB0">
        <w:rPr>
          <w:lang w:val="en-US"/>
        </w:rPr>
        <w:tab/>
        <w:t xml:space="preserve">a distinct residence in a mining or isolated community occupied, or intended to be occupied, for </w:t>
      </w:r>
      <w:r w:rsidR="00FD5A86">
        <w:rPr>
          <w:lang w:val="en-US"/>
        </w:rPr>
        <w:t xml:space="preserve">183 days or </w:t>
      </w:r>
      <w:r w:rsidR="00FD5A86" w:rsidRPr="00821EB0">
        <w:rPr>
          <w:lang w:val="en-US"/>
        </w:rPr>
        <w:t xml:space="preserve">more </w:t>
      </w:r>
      <w:r w:rsidR="00FD5A86">
        <w:rPr>
          <w:lang w:val="en-US"/>
        </w:rPr>
        <w:t>per annum</w:t>
      </w:r>
      <w:r w:rsidR="00FD5A86" w:rsidRPr="00821EB0">
        <w:rPr>
          <w:lang w:val="en-US"/>
        </w:rPr>
        <w:t xml:space="preserve">. </w:t>
      </w:r>
    </w:p>
    <w:p w:rsidR="00FD5A86" w:rsidRPr="003F2B22" w:rsidRDefault="00FD5A86" w:rsidP="00C0588A">
      <w:pPr>
        <w:pStyle w:val="Note"/>
      </w:pPr>
      <w:r w:rsidRPr="008433A5">
        <w:rPr>
          <w:i/>
        </w:rPr>
        <w:t>Note</w:t>
      </w:r>
      <w:r w:rsidR="004B55CA">
        <w:t>   </w:t>
      </w:r>
      <w:r w:rsidRPr="003F2B22">
        <w:t xml:space="preserve">The following expressions used in this determination have the same meaning as in the Act: </w:t>
      </w:r>
    </w:p>
    <w:p w:rsidR="00FD5A86" w:rsidRPr="003F2B22" w:rsidRDefault="00FD5A86" w:rsidP="00FA7BB3">
      <w:pPr>
        <w:pStyle w:val="Notepara"/>
      </w:pPr>
      <w:r w:rsidRPr="003F2B22">
        <w:rPr>
          <w:rFonts w:ascii="Symbol" w:hAnsi="Symbol"/>
        </w:rPr>
        <w:t></w:t>
      </w:r>
      <w:r w:rsidRPr="003F2B22">
        <w:rPr>
          <w:rFonts w:ascii="Symbol" w:hAnsi="Symbol"/>
        </w:rPr>
        <w:tab/>
      </w:r>
      <w:r w:rsidRPr="003F2B22">
        <w:t>carriage service provider</w:t>
      </w:r>
    </w:p>
    <w:p w:rsidR="00FD5A86" w:rsidRDefault="00FD5A86" w:rsidP="00FA7BB3">
      <w:pPr>
        <w:pStyle w:val="Notepara"/>
        <w:rPr>
          <w:sz w:val="24"/>
        </w:rPr>
      </w:pPr>
      <w:r>
        <w:rPr>
          <w:rFonts w:ascii="Symbol" w:hAnsi="Symbol"/>
        </w:rPr>
        <w:t></w:t>
      </w:r>
      <w:r>
        <w:rPr>
          <w:rFonts w:ascii="Symbol" w:hAnsi="Symbol"/>
        </w:rPr>
        <w:tab/>
      </w:r>
      <w:r w:rsidRPr="003F2B22">
        <w:rPr>
          <w:sz w:val="24"/>
        </w:rPr>
        <w:t xml:space="preserve">standard </w:t>
      </w:r>
      <w:r w:rsidRPr="00FA7BB3">
        <w:t>telephone</w:t>
      </w:r>
      <w:r w:rsidRPr="003F2B22">
        <w:rPr>
          <w:sz w:val="24"/>
        </w:rPr>
        <w:t xml:space="preserve"> service</w:t>
      </w:r>
    </w:p>
    <w:p w:rsidR="00FD5A86" w:rsidRPr="008E7AE4" w:rsidRDefault="00FD5A86" w:rsidP="00FA7BB3">
      <w:pPr>
        <w:pStyle w:val="Notepara"/>
      </w:pPr>
      <w:r w:rsidRPr="003F2B22">
        <w:rPr>
          <w:rFonts w:ascii="Symbol" w:hAnsi="Symbol"/>
        </w:rPr>
        <w:t></w:t>
      </w:r>
      <w:r w:rsidRPr="003F2B22">
        <w:rPr>
          <w:rFonts w:ascii="Symbol" w:hAnsi="Symbol"/>
        </w:rPr>
        <w:tab/>
      </w:r>
      <w:r w:rsidRPr="00FA7BB3">
        <w:t>Telecommunications</w:t>
      </w:r>
      <w:r w:rsidRPr="008E7AE4">
        <w:t xml:space="preserve"> Industry Ombudsman. </w:t>
      </w:r>
    </w:p>
    <w:p w:rsidR="004B55CA" w:rsidRDefault="004B55CA" w:rsidP="004B55CA">
      <w:pPr>
        <w:pStyle w:val="HR"/>
        <w:tabs>
          <w:tab w:val="left" w:pos="960"/>
        </w:tabs>
        <w:spacing w:before="480" w:line="240" w:lineRule="atLeast"/>
        <w:ind w:left="0" w:firstLine="0"/>
      </w:pPr>
      <w:bookmarkStart w:id="6" w:name="_Toc326573986"/>
      <w:r w:rsidRPr="004B55CA">
        <w:rPr>
          <w:rStyle w:val="CharSectno"/>
        </w:rPr>
        <w:t>4</w:t>
      </w:r>
      <w:r>
        <w:rPr>
          <w:rFonts w:ascii="Times New Roman" w:hAnsi="Times New Roman"/>
        </w:rPr>
        <w:tab/>
      </w:r>
      <w:r w:rsidR="00FD5A86" w:rsidRPr="004B55CA">
        <w:rPr>
          <w:rFonts w:cs="Arial"/>
        </w:rPr>
        <w:t>Requests from a person on behalf of the requestor</w:t>
      </w:r>
      <w:bookmarkEnd w:id="6"/>
    </w:p>
    <w:p w:rsidR="00FD5A86" w:rsidRPr="00821EB0" w:rsidRDefault="004B55CA" w:rsidP="004B55CA">
      <w:pPr>
        <w:pStyle w:val="R1"/>
      </w:pPr>
      <w:r>
        <w:tab/>
      </w:r>
      <w:r>
        <w:tab/>
      </w:r>
      <w:r w:rsidR="00FD5A86" w:rsidRPr="00821EB0">
        <w:t xml:space="preserve">For the purposes of this Instrument, where a person is authorised to make a request for a standard telephone service on behalf of another person, the request is deemed to have been made by the </w:t>
      </w:r>
      <w:r w:rsidR="00FD5A86">
        <w:t>person on whose behalf the request was made</w:t>
      </w:r>
      <w:r w:rsidR="00FD5A86" w:rsidRPr="00821EB0">
        <w:t>.</w:t>
      </w:r>
    </w:p>
    <w:p w:rsidR="00FD5A86" w:rsidRDefault="004B55CA" w:rsidP="004B55CA">
      <w:pPr>
        <w:pStyle w:val="HR"/>
        <w:tabs>
          <w:tab w:val="left" w:pos="960"/>
        </w:tabs>
        <w:spacing w:before="480" w:line="240" w:lineRule="atLeast"/>
        <w:ind w:left="0" w:firstLine="0"/>
        <w:rPr>
          <w:rFonts w:ascii="Times New Roman" w:hAnsi="Times New Roman"/>
        </w:rPr>
      </w:pPr>
      <w:bookmarkStart w:id="7" w:name="_Toc326573987"/>
      <w:r w:rsidRPr="004B55CA">
        <w:rPr>
          <w:rStyle w:val="CharSectno"/>
        </w:rPr>
        <w:t>5</w:t>
      </w:r>
      <w:r>
        <w:rPr>
          <w:rFonts w:ascii="Times New Roman" w:hAnsi="Times New Roman"/>
        </w:rPr>
        <w:tab/>
      </w:r>
      <w:r w:rsidR="00FD5A86" w:rsidRPr="004B55CA">
        <w:rPr>
          <w:rFonts w:cs="Arial"/>
        </w:rPr>
        <w:t>Objects of Part 2 of the Act</w:t>
      </w:r>
      <w:bookmarkEnd w:id="7"/>
    </w:p>
    <w:p w:rsidR="00FD5A86" w:rsidRPr="00821EB0" w:rsidRDefault="004B55CA" w:rsidP="004B55CA">
      <w:pPr>
        <w:pStyle w:val="R1"/>
      </w:pPr>
      <w:r>
        <w:tab/>
      </w:r>
      <w:r>
        <w:tab/>
      </w:r>
      <w:r w:rsidR="00FD5A86">
        <w:t>In interpreting the provisions of this Instrument, regard should be had to the objects of Part 2 of the Act.</w:t>
      </w:r>
    </w:p>
    <w:p w:rsidR="004B55CA" w:rsidRPr="00D553B3" w:rsidRDefault="00FD5A86" w:rsidP="00D553B3">
      <w:pPr>
        <w:pStyle w:val="HP"/>
        <w:keepLines/>
        <w:pageBreakBefore/>
      </w:pPr>
      <w:bookmarkStart w:id="8" w:name="_Toc326573988"/>
      <w:r w:rsidRPr="004B55CA">
        <w:rPr>
          <w:rStyle w:val="CharPartNo"/>
          <w:szCs w:val="32"/>
        </w:rPr>
        <w:lastRenderedPageBreak/>
        <w:t>Part 2</w:t>
      </w:r>
      <w:r w:rsidRPr="003F2B22">
        <w:rPr>
          <w:rFonts w:ascii="Times New Roman" w:hAnsi="Times New Roman"/>
          <w:sz w:val="36"/>
          <w:szCs w:val="36"/>
        </w:rPr>
        <w:tab/>
      </w:r>
      <w:r w:rsidR="004B55CA">
        <w:rPr>
          <w:rStyle w:val="CharPartText"/>
          <w:sz w:val="28"/>
          <w:szCs w:val="28"/>
        </w:rPr>
        <w:t>Requirements and Circumstances</w:t>
      </w:r>
      <w:bookmarkEnd w:id="8"/>
    </w:p>
    <w:p w:rsidR="004B55CA" w:rsidRPr="00616C63" w:rsidRDefault="00FD5A86" w:rsidP="00031779">
      <w:pPr>
        <w:pStyle w:val="HD"/>
        <w:tabs>
          <w:tab w:val="left" w:pos="2268"/>
        </w:tabs>
        <w:spacing w:before="240"/>
        <w:ind w:left="2268" w:hanging="2268"/>
      </w:pPr>
      <w:bookmarkStart w:id="9" w:name="_Toc326573989"/>
      <w:r w:rsidRPr="004B55CA">
        <w:rPr>
          <w:rStyle w:val="CharDivNo"/>
        </w:rPr>
        <w:t>Division 1</w:t>
      </w:r>
      <w:r w:rsidRPr="003F2B22">
        <w:rPr>
          <w:rFonts w:ascii="Times New Roman" w:hAnsi="Times New Roman"/>
          <w:szCs w:val="28"/>
        </w:rPr>
        <w:tab/>
      </w:r>
      <w:r w:rsidRPr="004B55CA">
        <w:rPr>
          <w:rStyle w:val="CharDivText"/>
        </w:rPr>
        <w:t xml:space="preserve">Requirements for a request for supply </w:t>
      </w:r>
      <w:r w:rsidR="00031779">
        <w:rPr>
          <w:rStyle w:val="CharDivText"/>
        </w:rPr>
        <w:t>of a standard telephone service</w:t>
      </w:r>
      <w:bookmarkEnd w:id="9"/>
    </w:p>
    <w:p w:rsidR="00031779" w:rsidRPr="00031779" w:rsidRDefault="00031779" w:rsidP="00031779">
      <w:pPr>
        <w:pStyle w:val="HR"/>
        <w:tabs>
          <w:tab w:val="left" w:pos="960"/>
          <w:tab w:val="left" w:pos="1134"/>
        </w:tabs>
        <w:rPr>
          <w:rFonts w:cs="Arial"/>
        </w:rPr>
      </w:pPr>
      <w:bookmarkStart w:id="10" w:name="_Toc326573990"/>
      <w:r w:rsidRPr="00031779">
        <w:rPr>
          <w:rStyle w:val="CharSectno"/>
          <w:rFonts w:cs="Arial"/>
        </w:rPr>
        <w:t>6</w:t>
      </w:r>
      <w:r w:rsidRPr="00031779">
        <w:rPr>
          <w:rFonts w:cs="Arial"/>
        </w:rPr>
        <w:tab/>
      </w:r>
      <w:r w:rsidR="00FD5A86" w:rsidRPr="00031779">
        <w:rPr>
          <w:rFonts w:cs="Arial"/>
        </w:rPr>
        <w:t>Request requirements</w:t>
      </w:r>
      <w:bookmarkEnd w:id="10"/>
    </w:p>
    <w:p w:rsidR="00FD5A86" w:rsidRPr="003F2B22" w:rsidRDefault="00031779" w:rsidP="00031779">
      <w:pPr>
        <w:pStyle w:val="R1"/>
      </w:pPr>
      <w:r>
        <w:tab/>
      </w:r>
      <w:r>
        <w:tab/>
      </w:r>
      <w:r w:rsidR="00FD5A86" w:rsidRPr="003F2B22">
        <w:t xml:space="preserve">For the purposes of subsection 9(2C) of the Act, a request for the supply of a standard telephone service </w:t>
      </w:r>
      <w:r w:rsidR="00FD5A86" w:rsidRPr="003F2B22">
        <w:rPr>
          <w:lang w:val="en-US"/>
        </w:rPr>
        <w:t>(whether or not bundled with other products or services)</w:t>
      </w:r>
      <w:r w:rsidR="00FD5A86">
        <w:rPr>
          <w:lang w:val="en-US"/>
        </w:rPr>
        <w:t xml:space="preserve"> </w:t>
      </w:r>
      <w:r w:rsidR="00FD5A86" w:rsidRPr="003F2B22">
        <w:t>must comply with the following requirements:</w:t>
      </w:r>
    </w:p>
    <w:p w:rsidR="00FD5A86" w:rsidRPr="003F2B22" w:rsidRDefault="00031779" w:rsidP="00031779">
      <w:pPr>
        <w:pStyle w:val="P1"/>
        <w:rPr>
          <w:lang w:val="en-US"/>
        </w:rPr>
      </w:pPr>
      <w:r>
        <w:rPr>
          <w:lang w:val="en-US"/>
        </w:rPr>
        <w:tab/>
      </w:r>
      <w:r w:rsidR="00FD5A86" w:rsidRPr="003F2B22">
        <w:rPr>
          <w:lang w:val="en-US"/>
        </w:rPr>
        <w:t>(a)</w:t>
      </w:r>
      <w:r w:rsidR="00FD5A86" w:rsidRPr="003F2B22">
        <w:rPr>
          <w:lang w:val="en-US"/>
        </w:rPr>
        <w:tab/>
        <w:t xml:space="preserve">the request must include the full name of the person making the request; </w:t>
      </w:r>
    </w:p>
    <w:p w:rsidR="00FD5A86" w:rsidRPr="003F2B22" w:rsidRDefault="00031779" w:rsidP="00031779">
      <w:pPr>
        <w:pStyle w:val="P1"/>
        <w:rPr>
          <w:lang w:val="en-US"/>
        </w:rPr>
      </w:pPr>
      <w:r>
        <w:rPr>
          <w:lang w:val="en-US"/>
        </w:rPr>
        <w:tab/>
      </w:r>
      <w:r w:rsidR="00FD5A86" w:rsidRPr="003F2B22">
        <w:rPr>
          <w:lang w:val="en-US"/>
        </w:rPr>
        <w:t>(b)</w:t>
      </w:r>
      <w:r w:rsidR="00FD5A86" w:rsidRPr="003F2B22">
        <w:rPr>
          <w:lang w:val="en-US"/>
        </w:rPr>
        <w:tab/>
        <w:t xml:space="preserve">the request must include the location of the premises where the standard telephone service is to be supplied; </w:t>
      </w:r>
    </w:p>
    <w:p w:rsidR="00FD5A86" w:rsidRPr="003F2B22" w:rsidRDefault="00031779" w:rsidP="00031779">
      <w:pPr>
        <w:pStyle w:val="P1"/>
        <w:rPr>
          <w:lang w:val="en-US"/>
        </w:rPr>
      </w:pPr>
      <w:r>
        <w:rPr>
          <w:lang w:val="en-US"/>
        </w:rPr>
        <w:tab/>
      </w:r>
      <w:r w:rsidR="00FD5A86" w:rsidRPr="003F2B22">
        <w:rPr>
          <w:lang w:val="en-US"/>
        </w:rPr>
        <w:t>(c)</w:t>
      </w:r>
      <w:r w:rsidR="00FD5A86" w:rsidRPr="003F2B22">
        <w:rPr>
          <w:lang w:val="en-US"/>
        </w:rPr>
        <w:tab/>
        <w:t xml:space="preserve">the request must state the date upon which the person making the request requires the standard telephone service at the premises; </w:t>
      </w:r>
    </w:p>
    <w:p w:rsidR="00FD5A86" w:rsidRPr="003F2B22" w:rsidRDefault="00031779" w:rsidP="00031779">
      <w:pPr>
        <w:pStyle w:val="P1"/>
        <w:rPr>
          <w:lang w:val="en-US"/>
        </w:rPr>
      </w:pPr>
      <w:r>
        <w:rPr>
          <w:lang w:val="en-US"/>
        </w:rPr>
        <w:tab/>
      </w:r>
      <w:r w:rsidR="00FD5A86" w:rsidRPr="003F2B22">
        <w:rPr>
          <w:lang w:val="en-US"/>
        </w:rPr>
        <w:t>(d)</w:t>
      </w:r>
      <w:r w:rsidR="00FD5A86" w:rsidRPr="003F2B22">
        <w:rPr>
          <w:lang w:val="en-US"/>
        </w:rPr>
        <w:tab/>
        <w:t xml:space="preserve">if the request relates to the supply of a standard telephone service to business premises, where reasonably required by the primary universal service provider, the request must be accompanied by written documentation verifying that a business is carried on permanently at the premises specified in the request; </w:t>
      </w:r>
    </w:p>
    <w:p w:rsidR="00FD5A86" w:rsidRPr="003F2B22" w:rsidRDefault="00031779" w:rsidP="00031779">
      <w:pPr>
        <w:pStyle w:val="P1"/>
        <w:rPr>
          <w:lang w:val="en-US"/>
        </w:rPr>
      </w:pPr>
      <w:r>
        <w:rPr>
          <w:lang w:val="en-US"/>
        </w:rPr>
        <w:tab/>
      </w:r>
      <w:r w:rsidR="00FD5A86" w:rsidRPr="003F2B22">
        <w:rPr>
          <w:lang w:val="en-US"/>
        </w:rPr>
        <w:t>(e)</w:t>
      </w:r>
      <w:r w:rsidR="00FD5A86" w:rsidRPr="003F2B22">
        <w:rPr>
          <w:lang w:val="en-US"/>
        </w:rPr>
        <w:tab/>
        <w:t xml:space="preserve">the request must be accompanied by all other information the primary universal service provider has requested that it reasonably requires for the purpose of supplying a standard telephone service and a service connection for that standard telephone service; </w:t>
      </w:r>
    </w:p>
    <w:p w:rsidR="00FD5A86" w:rsidRPr="003F2B22" w:rsidRDefault="00031779" w:rsidP="00031779">
      <w:pPr>
        <w:pStyle w:val="P1"/>
        <w:rPr>
          <w:lang w:val="en-US"/>
        </w:rPr>
      </w:pPr>
      <w:r>
        <w:rPr>
          <w:lang w:val="en-US"/>
        </w:rPr>
        <w:tab/>
      </w:r>
      <w:r w:rsidR="00FD5A86" w:rsidRPr="003F2B22">
        <w:rPr>
          <w:lang w:val="en-US"/>
        </w:rPr>
        <w:t>(f)</w:t>
      </w:r>
      <w:r w:rsidR="00FD5A86" w:rsidRPr="003F2B22">
        <w:rPr>
          <w:lang w:val="en-US"/>
        </w:rPr>
        <w:tab/>
        <w:t>the request must be accompanied by all other information the primary universal service provider has requested that it reasonably requires to be satisfied that the circumstances specified in s</w:t>
      </w:r>
      <w:r w:rsidR="00FD5A86">
        <w:rPr>
          <w:lang w:val="en-US"/>
        </w:rPr>
        <w:t>ubs</w:t>
      </w:r>
      <w:r w:rsidR="00FD5A86" w:rsidRPr="003F2B22">
        <w:rPr>
          <w:lang w:val="en-US"/>
        </w:rPr>
        <w:t>ection</w:t>
      </w:r>
      <w:r w:rsidR="00FD5A86">
        <w:rPr>
          <w:lang w:val="en-US"/>
        </w:rPr>
        <w:t>s</w:t>
      </w:r>
      <w:r w:rsidR="00FD5A86" w:rsidRPr="003F2B22">
        <w:rPr>
          <w:lang w:val="en-US"/>
        </w:rPr>
        <w:t xml:space="preserve"> </w:t>
      </w:r>
      <w:r w:rsidR="00FD5A86">
        <w:rPr>
          <w:lang w:val="en-US"/>
        </w:rPr>
        <w:t>7(1) and (4)</w:t>
      </w:r>
      <w:r w:rsidR="00FD5A86" w:rsidRPr="003F2B22">
        <w:rPr>
          <w:lang w:val="en-US"/>
        </w:rPr>
        <w:t xml:space="preserve"> do not apply.</w:t>
      </w:r>
    </w:p>
    <w:p w:rsidR="00FD5A86" w:rsidRPr="00031779" w:rsidRDefault="00FD5A86" w:rsidP="00FA7BB3">
      <w:pPr>
        <w:pStyle w:val="HD"/>
        <w:tabs>
          <w:tab w:val="left" w:pos="2268"/>
        </w:tabs>
        <w:spacing w:before="240"/>
        <w:ind w:left="2268" w:hanging="2268"/>
        <w:rPr>
          <w:rFonts w:ascii="Times New Roman" w:hAnsi="Times New Roman"/>
          <w:szCs w:val="28"/>
        </w:rPr>
      </w:pPr>
      <w:bookmarkStart w:id="11" w:name="_Toc326573991"/>
      <w:r w:rsidRPr="00031779">
        <w:rPr>
          <w:rStyle w:val="CharDivNo"/>
          <w:szCs w:val="28"/>
        </w:rPr>
        <w:t>Division 2</w:t>
      </w:r>
      <w:r w:rsidRPr="00031779">
        <w:rPr>
          <w:rFonts w:ascii="Times New Roman" w:hAnsi="Times New Roman"/>
          <w:szCs w:val="28"/>
        </w:rPr>
        <w:tab/>
      </w:r>
      <w:r w:rsidRPr="00FA7BB3">
        <w:rPr>
          <w:rStyle w:val="CharDivText"/>
        </w:rPr>
        <w:t>Circumstances</w:t>
      </w:r>
      <w:r w:rsidRPr="00031779">
        <w:rPr>
          <w:rStyle w:val="CharDivText"/>
          <w:szCs w:val="28"/>
        </w:rPr>
        <w:t xml:space="preserve"> in which the obligation to supply standard telephone services on request does not apply</w:t>
      </w:r>
      <w:bookmarkEnd w:id="11"/>
    </w:p>
    <w:p w:rsidR="00FD5A86" w:rsidRPr="003F2B22" w:rsidRDefault="009F30C4" w:rsidP="00031779">
      <w:pPr>
        <w:pStyle w:val="HR"/>
        <w:tabs>
          <w:tab w:val="left" w:pos="960"/>
          <w:tab w:val="left" w:pos="1134"/>
        </w:tabs>
        <w:rPr>
          <w:rFonts w:ascii="Times New Roman" w:hAnsi="Times New Roman"/>
        </w:rPr>
      </w:pPr>
      <w:bookmarkStart w:id="12" w:name="_Ref285620057"/>
      <w:bookmarkStart w:id="13" w:name="_Toc326573992"/>
      <w:r w:rsidRPr="00031779">
        <w:rPr>
          <w:rStyle w:val="CharSectno"/>
          <w:rFonts w:cs="Arial"/>
        </w:rPr>
        <w:t>7</w:t>
      </w:r>
      <w:r w:rsidR="00031779">
        <w:rPr>
          <w:rStyle w:val="CharSectno"/>
          <w:rFonts w:cs="Arial"/>
        </w:rPr>
        <w:tab/>
      </w:r>
      <w:r w:rsidR="00FD5A86" w:rsidRPr="00031779">
        <w:rPr>
          <w:rFonts w:cs="Arial"/>
        </w:rPr>
        <w:t>No obligation to supply a standard telephone service in certain circumstances</w:t>
      </w:r>
      <w:bookmarkEnd w:id="12"/>
      <w:bookmarkEnd w:id="13"/>
    </w:p>
    <w:p w:rsidR="00FD5A86" w:rsidRPr="003F2B22" w:rsidRDefault="00031779" w:rsidP="00031779">
      <w:pPr>
        <w:pStyle w:val="R1"/>
      </w:pPr>
      <w:bookmarkStart w:id="14" w:name="_Ref287339636"/>
      <w:r>
        <w:tab/>
      </w:r>
      <w:r w:rsidR="00FD5A86" w:rsidRPr="003F2B22">
        <w:t>(1)</w:t>
      </w:r>
      <w:r w:rsidR="00FD5A86" w:rsidRPr="003F2B22">
        <w:tab/>
      </w:r>
      <w:r w:rsidR="00FD5A86">
        <w:t>Fo</w:t>
      </w:r>
      <w:r w:rsidR="00FD5A86" w:rsidRPr="003F2B22">
        <w:t xml:space="preserve">r the purposes of subsection 9(2E) of the Act, an obligation to </w:t>
      </w:r>
      <w:r w:rsidR="00164110">
        <w:br/>
      </w:r>
      <w:r w:rsidR="00FD5A86" w:rsidRPr="003F2B22">
        <w:t xml:space="preserve">supply a </w:t>
      </w:r>
      <w:r w:rsidR="00FD5A86" w:rsidRPr="003F2B22">
        <w:rPr>
          <w:lang w:val="en-US"/>
        </w:rPr>
        <w:t>standard telephone service</w:t>
      </w:r>
      <w:r w:rsidR="00FD5A86" w:rsidRPr="003F2B22">
        <w:t xml:space="preserve"> on request does not arise under subsections 9(1)(a) or 9(2) of the Act if:</w:t>
      </w:r>
      <w:bookmarkEnd w:id="14"/>
    </w:p>
    <w:p w:rsidR="00FD5A86" w:rsidRDefault="00031779" w:rsidP="00031779">
      <w:pPr>
        <w:pStyle w:val="P1"/>
        <w:rPr>
          <w:lang w:val="en-US"/>
        </w:rPr>
      </w:pPr>
      <w:r>
        <w:rPr>
          <w:lang w:val="en-US"/>
        </w:rPr>
        <w:tab/>
      </w:r>
      <w:r w:rsidR="00FD5A86">
        <w:rPr>
          <w:lang w:val="en-US"/>
        </w:rPr>
        <w:t>(a)</w:t>
      </w:r>
      <w:r w:rsidR="00FD5A86">
        <w:rPr>
          <w:lang w:val="en-US"/>
        </w:rPr>
        <w:tab/>
      </w:r>
      <w:r w:rsidR="00FD5A86" w:rsidRPr="000210B4">
        <w:rPr>
          <w:lang w:val="en-US"/>
        </w:rPr>
        <w:t>any of the following circumstances applies to a request</w:t>
      </w:r>
      <w:r w:rsidR="00FD5A86">
        <w:rPr>
          <w:lang w:val="en-US"/>
        </w:rPr>
        <w:t>:</w:t>
      </w:r>
    </w:p>
    <w:p w:rsidR="00FD5A86" w:rsidRDefault="00031779" w:rsidP="00031779">
      <w:pPr>
        <w:pStyle w:val="P2"/>
        <w:rPr>
          <w:lang w:val="en-US"/>
        </w:rPr>
      </w:pPr>
      <w:r>
        <w:rPr>
          <w:lang w:val="en-US"/>
        </w:rPr>
        <w:tab/>
      </w:r>
      <w:r w:rsidR="00FD5A86">
        <w:rPr>
          <w:lang w:val="en-US"/>
        </w:rPr>
        <w:t>(</w:t>
      </w:r>
      <w:proofErr w:type="spellStart"/>
      <w:r w:rsidR="00FD5A86">
        <w:rPr>
          <w:lang w:val="en-US"/>
        </w:rPr>
        <w:t>i</w:t>
      </w:r>
      <w:proofErr w:type="spellEnd"/>
      <w:r w:rsidR="00FD5A86">
        <w:rPr>
          <w:lang w:val="en-US"/>
        </w:rPr>
        <w:t>)</w:t>
      </w:r>
      <w:r w:rsidR="00FD5A86">
        <w:rPr>
          <w:lang w:val="en-US"/>
        </w:rPr>
        <w:tab/>
      </w:r>
      <w:r w:rsidR="00FD5A86" w:rsidRPr="00EC1A96">
        <w:rPr>
          <w:lang w:val="en-US"/>
        </w:rPr>
        <w:t xml:space="preserve">the </w:t>
      </w:r>
      <w:r w:rsidR="00FD5A86" w:rsidRPr="00821EB0">
        <w:rPr>
          <w:spacing w:val="-3"/>
          <w:lang w:val="en-US"/>
        </w:rPr>
        <w:t>premises</w:t>
      </w:r>
      <w:r w:rsidR="00FD5A86" w:rsidRPr="00EC1A96">
        <w:rPr>
          <w:lang w:val="en-US"/>
        </w:rPr>
        <w:t xml:space="preserve"> specified in the request at which the standard telephone service is to be supplied </w:t>
      </w:r>
      <w:r w:rsidR="000A7661" w:rsidRPr="000A7661">
        <w:rPr>
          <w:lang w:val="en-US"/>
        </w:rPr>
        <w:t>are excluded</w:t>
      </w:r>
      <w:r w:rsidR="00F02964" w:rsidRPr="00EC1A96">
        <w:rPr>
          <w:lang w:val="en-US"/>
        </w:rPr>
        <w:t xml:space="preserve"> </w:t>
      </w:r>
      <w:r w:rsidR="00FD5A86" w:rsidRPr="00EC1A96">
        <w:rPr>
          <w:lang w:val="en-US"/>
        </w:rPr>
        <w:t xml:space="preserve">premises; </w:t>
      </w:r>
    </w:p>
    <w:p w:rsidR="00FD5A86" w:rsidRDefault="00031779" w:rsidP="00164110">
      <w:pPr>
        <w:pStyle w:val="P2"/>
        <w:keepNext/>
        <w:keepLines/>
        <w:rPr>
          <w:lang w:val="en-US"/>
        </w:rPr>
      </w:pPr>
      <w:r>
        <w:rPr>
          <w:lang w:val="en-US"/>
        </w:rPr>
        <w:lastRenderedPageBreak/>
        <w:tab/>
      </w:r>
      <w:r w:rsidR="00FD5A86">
        <w:rPr>
          <w:lang w:val="en-US"/>
        </w:rPr>
        <w:t>(ii)</w:t>
      </w:r>
      <w:r w:rsidR="00FD5A86">
        <w:rPr>
          <w:lang w:val="en-US"/>
        </w:rPr>
        <w:tab/>
        <w:t xml:space="preserve">subject </w:t>
      </w:r>
      <w:r w:rsidR="00FD5A86" w:rsidRPr="00031779">
        <w:rPr>
          <w:spacing w:val="-3"/>
          <w:lang w:val="en-US"/>
        </w:rPr>
        <w:t>to</w:t>
      </w:r>
      <w:r w:rsidR="00FD5A86">
        <w:rPr>
          <w:lang w:val="en-US"/>
        </w:rPr>
        <w:t xml:space="preserve"> subsection (2), </w:t>
      </w:r>
      <w:r w:rsidR="00FD5A86" w:rsidRPr="00EC1A96">
        <w:rPr>
          <w:lang w:val="en-US"/>
        </w:rPr>
        <w:t xml:space="preserve">at the time the request </w:t>
      </w:r>
      <w:r w:rsidR="00FD5A86">
        <w:rPr>
          <w:lang w:val="en-US"/>
        </w:rPr>
        <w:t xml:space="preserve">(the </w:t>
      </w:r>
      <w:r w:rsidR="00FD5A86" w:rsidRPr="00821EB0">
        <w:rPr>
          <w:b/>
          <w:i/>
          <w:lang w:val="en-US"/>
        </w:rPr>
        <w:t>subsequent request</w:t>
      </w:r>
      <w:r w:rsidR="00FD5A86">
        <w:rPr>
          <w:lang w:val="en-US"/>
        </w:rPr>
        <w:t xml:space="preserve">) </w:t>
      </w:r>
      <w:r w:rsidR="00FD5A86" w:rsidRPr="00EC1A96">
        <w:rPr>
          <w:lang w:val="en-US"/>
        </w:rPr>
        <w:t>is made, there is a request which is pending</w:t>
      </w:r>
      <w:r w:rsidR="00FD5A86">
        <w:rPr>
          <w:lang w:val="en-US"/>
        </w:rPr>
        <w:t xml:space="preserve"> (the </w:t>
      </w:r>
      <w:r w:rsidR="00FD5A86" w:rsidRPr="00821EB0">
        <w:rPr>
          <w:b/>
          <w:i/>
          <w:lang w:val="en-US"/>
        </w:rPr>
        <w:t>pending request</w:t>
      </w:r>
      <w:r w:rsidR="00FD5A86">
        <w:rPr>
          <w:lang w:val="en-US"/>
        </w:rPr>
        <w:t>)</w:t>
      </w:r>
      <w:r w:rsidR="00FD5A86" w:rsidRPr="00EC1A96">
        <w:rPr>
          <w:lang w:val="en-US"/>
        </w:rPr>
        <w:t xml:space="preserve"> for the supply of a standard telephone service at the same premises, whether the pending request is with the primary universal service provider or another carriage service provider, and whether it was made by the person making the </w:t>
      </w:r>
      <w:proofErr w:type="spellStart"/>
      <w:r w:rsidR="00FD5A86" w:rsidRPr="00EC1A96">
        <w:rPr>
          <w:lang w:val="en-US"/>
        </w:rPr>
        <w:t>first</w:t>
      </w:r>
      <w:r w:rsidR="00FD5A86">
        <w:rPr>
          <w:lang w:val="en-US"/>
        </w:rPr>
        <w:noBreakHyphen/>
      </w:r>
      <w:r w:rsidR="00FD5A86" w:rsidRPr="00EC1A96">
        <w:rPr>
          <w:lang w:val="en-US"/>
        </w:rPr>
        <w:t>mentioned</w:t>
      </w:r>
      <w:proofErr w:type="spellEnd"/>
      <w:r w:rsidR="00FD5A86" w:rsidRPr="00EC1A96">
        <w:rPr>
          <w:lang w:val="en-US"/>
        </w:rPr>
        <w:t xml:space="preserve"> request or a third party; </w:t>
      </w:r>
    </w:p>
    <w:p w:rsidR="00FD5A86" w:rsidRDefault="00031779" w:rsidP="00031779">
      <w:pPr>
        <w:pStyle w:val="P2"/>
        <w:rPr>
          <w:lang w:val="en-US"/>
        </w:rPr>
      </w:pPr>
      <w:r>
        <w:rPr>
          <w:lang w:val="en-US"/>
        </w:rPr>
        <w:tab/>
      </w:r>
      <w:r w:rsidR="00FD5A86">
        <w:rPr>
          <w:lang w:val="en-US"/>
        </w:rPr>
        <w:t>(iii)</w:t>
      </w:r>
      <w:r w:rsidR="00FD5A86">
        <w:rPr>
          <w:lang w:val="en-US"/>
        </w:rPr>
        <w:tab/>
      </w:r>
      <w:r w:rsidR="00FD5A86" w:rsidRPr="00EC1A96">
        <w:rPr>
          <w:lang w:val="en-US"/>
        </w:rPr>
        <w:t xml:space="preserve">the person making the request does not have the legal right to occupy the premises specified in the request; </w:t>
      </w:r>
    </w:p>
    <w:p w:rsidR="00FD5A86" w:rsidRDefault="00031779" w:rsidP="00031779">
      <w:pPr>
        <w:pStyle w:val="P2"/>
        <w:rPr>
          <w:lang w:val="en-US"/>
        </w:rPr>
      </w:pPr>
      <w:r>
        <w:rPr>
          <w:lang w:val="en-US"/>
        </w:rPr>
        <w:tab/>
      </w:r>
      <w:r w:rsidR="00FD5A86">
        <w:rPr>
          <w:lang w:val="en-US"/>
        </w:rPr>
        <w:t>(iv)</w:t>
      </w:r>
      <w:r w:rsidR="00FD5A86">
        <w:rPr>
          <w:lang w:val="en-US"/>
        </w:rPr>
        <w:tab/>
      </w:r>
      <w:r w:rsidR="00FD5A86" w:rsidRPr="00EC1A96">
        <w:rPr>
          <w:lang w:val="en-US"/>
        </w:rPr>
        <w:t>both:</w:t>
      </w:r>
    </w:p>
    <w:p w:rsidR="00FD5A86" w:rsidRDefault="00FA7BB3" w:rsidP="00FA7BB3">
      <w:pPr>
        <w:pStyle w:val="P3"/>
        <w:rPr>
          <w:lang w:val="en-US"/>
        </w:rPr>
      </w:pPr>
      <w:r>
        <w:rPr>
          <w:lang w:val="en-US"/>
        </w:rPr>
        <w:tab/>
      </w:r>
      <w:r w:rsidR="00FD5A86">
        <w:rPr>
          <w:lang w:val="en-US"/>
        </w:rPr>
        <w:t>(A)</w:t>
      </w:r>
      <w:r w:rsidR="00FD5A86">
        <w:rPr>
          <w:lang w:val="en-US"/>
        </w:rPr>
        <w:tab/>
      </w:r>
      <w:r w:rsidR="00FD5A86" w:rsidRPr="00EC1A96">
        <w:rPr>
          <w:lang w:val="en-US"/>
        </w:rPr>
        <w:t>the guaranteed maximum connection periods in Division 2 of Part 2 of the CSG Standard apply to the primary universal service provider in relation to the request; and</w:t>
      </w:r>
    </w:p>
    <w:p w:rsidR="00FD5A86" w:rsidRDefault="00FA7BB3" w:rsidP="00FA7BB3">
      <w:pPr>
        <w:pStyle w:val="P3"/>
        <w:rPr>
          <w:lang w:val="en-US"/>
        </w:rPr>
      </w:pPr>
      <w:r>
        <w:rPr>
          <w:lang w:val="en-US"/>
        </w:rPr>
        <w:tab/>
      </w:r>
      <w:r w:rsidR="00FD5A86">
        <w:rPr>
          <w:lang w:val="en-US"/>
        </w:rPr>
        <w:t>(B)</w:t>
      </w:r>
      <w:r w:rsidR="00FD5A86">
        <w:rPr>
          <w:lang w:val="en-US"/>
        </w:rPr>
        <w:tab/>
      </w:r>
      <w:r w:rsidR="00FD5A86" w:rsidRPr="00EC1A96">
        <w:rPr>
          <w:lang w:val="en-US"/>
        </w:rPr>
        <w:t>the primary universal service provider is exempt from complying with the guaranteed maximum connection periods  under section 20 of the CSG Standard;</w:t>
      </w:r>
    </w:p>
    <w:p w:rsidR="00FD5A86" w:rsidRPr="00821EB0" w:rsidRDefault="00031779" w:rsidP="00031779">
      <w:pPr>
        <w:pStyle w:val="P2"/>
        <w:rPr>
          <w:lang w:val="en-US"/>
        </w:rPr>
      </w:pPr>
      <w:r>
        <w:rPr>
          <w:lang w:val="en-US"/>
        </w:rPr>
        <w:tab/>
      </w:r>
      <w:r w:rsidR="00FD5A86" w:rsidRPr="00821EB0">
        <w:rPr>
          <w:lang w:val="en-US"/>
        </w:rPr>
        <w:t>(v)</w:t>
      </w:r>
      <w:r w:rsidR="00FD5A86" w:rsidRPr="00821EB0">
        <w:rPr>
          <w:lang w:val="en-US"/>
        </w:rPr>
        <w:tab/>
        <w:t>the primary universal service provider believes, on reasonable grounds, that the request for the standard telephone service is fraudulent;</w:t>
      </w:r>
    </w:p>
    <w:p w:rsidR="00FD5A86" w:rsidRDefault="00031779" w:rsidP="00031779">
      <w:pPr>
        <w:pStyle w:val="P2"/>
        <w:rPr>
          <w:spacing w:val="-3"/>
          <w:lang w:val="en-US"/>
        </w:rPr>
      </w:pPr>
      <w:r>
        <w:rPr>
          <w:spacing w:val="-3"/>
          <w:lang w:val="en-US"/>
        </w:rPr>
        <w:tab/>
      </w:r>
      <w:r w:rsidR="00FD5A86">
        <w:rPr>
          <w:spacing w:val="-3"/>
          <w:lang w:val="en-US"/>
        </w:rPr>
        <w:t>(vi)</w:t>
      </w:r>
      <w:r w:rsidR="00FD5A86">
        <w:rPr>
          <w:spacing w:val="-3"/>
          <w:lang w:val="en-US"/>
        </w:rPr>
        <w:tab/>
      </w:r>
      <w:r w:rsidR="00FD5A86" w:rsidRPr="00EC1A96">
        <w:rPr>
          <w:lang w:val="en-US"/>
        </w:rPr>
        <w:t>the person making the request</w:t>
      </w:r>
      <w:r w:rsidR="00FD5A86" w:rsidRPr="00EC1A96">
        <w:rPr>
          <w:spacing w:val="-3"/>
          <w:lang w:val="en-US"/>
        </w:rPr>
        <w:t xml:space="preserve"> is under 18 years of age and is not the legal owner or lessee of the premises specified in the request for the </w:t>
      </w:r>
      <w:r w:rsidR="00FD5A86" w:rsidRPr="00EC1A96">
        <w:rPr>
          <w:lang w:val="en-US"/>
        </w:rPr>
        <w:t>standard telephone service</w:t>
      </w:r>
      <w:r w:rsidR="00FD5A86" w:rsidRPr="00EC1A96">
        <w:rPr>
          <w:spacing w:val="-3"/>
          <w:lang w:val="en-US"/>
        </w:rPr>
        <w:t xml:space="preserve">;  </w:t>
      </w:r>
    </w:p>
    <w:p w:rsidR="00FD5A86" w:rsidRDefault="00031779" w:rsidP="00031779">
      <w:pPr>
        <w:pStyle w:val="P2"/>
        <w:rPr>
          <w:lang w:val="en-US"/>
        </w:rPr>
      </w:pPr>
      <w:r>
        <w:rPr>
          <w:lang w:val="en-US"/>
        </w:rPr>
        <w:tab/>
      </w:r>
      <w:r w:rsidR="00FD5A86">
        <w:rPr>
          <w:lang w:val="en-US"/>
        </w:rPr>
        <w:t>(vii)</w:t>
      </w:r>
      <w:r w:rsidR="00FD5A86">
        <w:rPr>
          <w:lang w:val="en-US"/>
        </w:rPr>
        <w:tab/>
      </w:r>
      <w:r w:rsidR="00FD5A86" w:rsidRPr="00EC1A96">
        <w:rPr>
          <w:lang w:val="en-US"/>
        </w:rPr>
        <w:t xml:space="preserve">the request is a request by a carriage service provider other than the primary universal service provider for the supply of a standard telephone service for the purpose of that carriage service provider supplying a standard telephone service to its customer; </w:t>
      </w:r>
    </w:p>
    <w:p w:rsidR="00FD5A86" w:rsidRDefault="00031779" w:rsidP="00031779">
      <w:pPr>
        <w:pStyle w:val="P2"/>
        <w:rPr>
          <w:lang w:val="en-US"/>
        </w:rPr>
      </w:pPr>
      <w:r>
        <w:rPr>
          <w:lang w:val="en-US"/>
        </w:rPr>
        <w:tab/>
      </w:r>
      <w:r w:rsidR="00FD5A86">
        <w:rPr>
          <w:lang w:val="en-US"/>
        </w:rPr>
        <w:t>(viii)</w:t>
      </w:r>
      <w:r w:rsidR="00FD5A86">
        <w:rPr>
          <w:lang w:val="en-US"/>
        </w:rPr>
        <w:tab/>
      </w:r>
      <w:r w:rsidR="00FD5A86" w:rsidRPr="00EC1A96">
        <w:rPr>
          <w:lang w:val="en-US"/>
        </w:rPr>
        <w:t>the installation or supply of the standard telephone service would contravene a law of the Commonwealth, or the applicable State or Territory;</w:t>
      </w:r>
    </w:p>
    <w:p w:rsidR="00FD5A86" w:rsidRDefault="00031779" w:rsidP="00031779">
      <w:pPr>
        <w:pStyle w:val="P2"/>
        <w:rPr>
          <w:lang w:val="en-US"/>
        </w:rPr>
      </w:pPr>
      <w:bookmarkStart w:id="15" w:name="_Ref287350387"/>
      <w:r>
        <w:rPr>
          <w:lang w:val="en-US"/>
        </w:rPr>
        <w:tab/>
      </w:r>
      <w:r w:rsidR="00FD5A86">
        <w:rPr>
          <w:lang w:val="en-US"/>
        </w:rPr>
        <w:t>(ix)</w:t>
      </w:r>
      <w:r w:rsidR="00FD5A86">
        <w:rPr>
          <w:lang w:val="en-US"/>
        </w:rPr>
        <w:tab/>
      </w:r>
      <w:r w:rsidR="00FD5A86" w:rsidRPr="00EC1A96">
        <w:rPr>
          <w:lang w:val="en-US"/>
        </w:rPr>
        <w:t xml:space="preserve">subject to subsection </w:t>
      </w:r>
      <w:r w:rsidR="00FD5A86">
        <w:rPr>
          <w:lang w:val="en-US"/>
        </w:rPr>
        <w:t xml:space="preserve">(3) </w:t>
      </w:r>
      <w:r w:rsidR="00FD5A86" w:rsidRPr="00EC1A96">
        <w:rPr>
          <w:lang w:val="en-US"/>
        </w:rPr>
        <w:t>the primary universal service provider has made a reasonable offer to supply the standard telephone service to the premises and the person making the request has refused to accept the supply of the standard telephone service</w:t>
      </w:r>
      <w:r w:rsidR="00FD5A86">
        <w:rPr>
          <w:lang w:val="en-US"/>
        </w:rPr>
        <w:t>; and</w:t>
      </w:r>
    </w:p>
    <w:bookmarkEnd w:id="15"/>
    <w:p w:rsidR="00422293" w:rsidRDefault="00F02964">
      <w:pPr>
        <w:pStyle w:val="P1"/>
        <w:rPr>
          <w:lang w:val="en-US"/>
        </w:rPr>
      </w:pPr>
      <w:r>
        <w:rPr>
          <w:lang w:val="en-US"/>
        </w:rPr>
        <w:tab/>
      </w:r>
      <w:r w:rsidR="000A7661" w:rsidRPr="000A7661">
        <w:rPr>
          <w:lang w:val="en-US"/>
        </w:rPr>
        <w:t>(b)</w:t>
      </w:r>
      <w:r w:rsidR="000A7661" w:rsidRPr="000A7661">
        <w:rPr>
          <w:lang w:val="en-US"/>
        </w:rPr>
        <w:tab/>
        <w:t>except where subparagraphs (1)(a)(iv) or (1)(a)(v) apply, the primary universal service provider complies with the notification requirements at subsection 8(3); and</w:t>
      </w:r>
    </w:p>
    <w:p w:rsidR="00422293" w:rsidRDefault="00F02964">
      <w:pPr>
        <w:pStyle w:val="P1"/>
        <w:rPr>
          <w:lang w:val="en-US"/>
        </w:rPr>
      </w:pPr>
      <w:r>
        <w:rPr>
          <w:lang w:val="en-US"/>
        </w:rPr>
        <w:tab/>
      </w:r>
      <w:r w:rsidR="000A7661" w:rsidRPr="000A7661">
        <w:rPr>
          <w:lang w:val="en-US"/>
        </w:rPr>
        <w:t>(c)</w:t>
      </w:r>
      <w:r w:rsidR="000A7661" w:rsidRPr="000A7661">
        <w:rPr>
          <w:lang w:val="en-US"/>
        </w:rPr>
        <w:tab/>
        <w:t>where subparagraph (1)(a)(iv) applies, the primary universal service provider complies with the notification requirements at subsections 8(3A) and (3B); and</w:t>
      </w:r>
    </w:p>
    <w:p w:rsidR="00422293" w:rsidRDefault="00F02964">
      <w:pPr>
        <w:pStyle w:val="P1"/>
        <w:rPr>
          <w:lang w:val="en-US"/>
        </w:rPr>
      </w:pPr>
      <w:r>
        <w:rPr>
          <w:lang w:val="en-US"/>
        </w:rPr>
        <w:tab/>
      </w:r>
      <w:r w:rsidR="000A7661">
        <w:rPr>
          <w:lang w:val="en-US"/>
        </w:rPr>
        <w:t>(d)</w:t>
      </w:r>
      <w:r w:rsidR="000A7661" w:rsidRPr="000A7661">
        <w:rPr>
          <w:lang w:val="en-US"/>
        </w:rPr>
        <w:tab/>
        <w:t>where subparagraph (1)(a)(v) applies, the primary universal service provider complies with the notification requirements at subsection 8(3C).</w:t>
      </w:r>
    </w:p>
    <w:p w:rsidR="00FD5A86" w:rsidRDefault="00031779" w:rsidP="00D044E4">
      <w:pPr>
        <w:pStyle w:val="R1"/>
        <w:keepNext/>
      </w:pPr>
      <w:r>
        <w:lastRenderedPageBreak/>
        <w:tab/>
      </w:r>
      <w:r w:rsidR="00FD5A86">
        <w:t>(2)</w:t>
      </w:r>
      <w:r w:rsidR="00FD5A86">
        <w:tab/>
        <w:t>Subparagraph (1)(a)(ii) does not apply where:</w:t>
      </w:r>
    </w:p>
    <w:p w:rsidR="00FD5A86" w:rsidRDefault="00031779" w:rsidP="00031779">
      <w:pPr>
        <w:pStyle w:val="P1"/>
        <w:rPr>
          <w:lang w:val="en-US"/>
        </w:rPr>
      </w:pPr>
      <w:r>
        <w:rPr>
          <w:lang w:val="en-US"/>
        </w:rPr>
        <w:tab/>
      </w:r>
      <w:r w:rsidR="00FD5A86">
        <w:rPr>
          <w:lang w:val="en-US"/>
        </w:rPr>
        <w:t>(a)</w:t>
      </w:r>
      <w:r w:rsidR="00FD5A86">
        <w:rPr>
          <w:lang w:val="en-US"/>
        </w:rPr>
        <w:tab/>
        <w:t xml:space="preserve">the subsequent request would require </w:t>
      </w:r>
      <w:r w:rsidR="00FD5A86" w:rsidRPr="00FA688D">
        <w:rPr>
          <w:lang w:val="en-US"/>
        </w:rPr>
        <w:t>the supply of equipment, or other goods or services</w:t>
      </w:r>
      <w:r w:rsidR="00FD5A86">
        <w:rPr>
          <w:lang w:val="en-US"/>
        </w:rPr>
        <w:t>,</w:t>
      </w:r>
      <w:r w:rsidR="00FD5A86" w:rsidRPr="00FA688D">
        <w:rPr>
          <w:lang w:val="en-US"/>
        </w:rPr>
        <w:t xml:space="preserve"> under subsection 9E(1) of the Act in order to comply with the </w:t>
      </w:r>
      <w:r w:rsidR="00FD5A86" w:rsidRPr="00FA688D">
        <w:rPr>
          <w:i/>
          <w:lang w:val="en-US"/>
        </w:rPr>
        <w:t>Disability Discrimination Act 1992</w:t>
      </w:r>
      <w:r w:rsidR="00FD5A86">
        <w:rPr>
          <w:lang w:val="en-US"/>
        </w:rPr>
        <w:t>; and</w:t>
      </w:r>
    </w:p>
    <w:p w:rsidR="00FD5A86" w:rsidRPr="00821EB0" w:rsidRDefault="00031779" w:rsidP="00031779">
      <w:pPr>
        <w:pStyle w:val="P1"/>
      </w:pPr>
      <w:r>
        <w:tab/>
      </w:r>
      <w:r w:rsidR="00FD5A86" w:rsidRPr="00821EB0">
        <w:t>(b)</w:t>
      </w:r>
      <w:r w:rsidR="00FD5A86" w:rsidRPr="00821EB0">
        <w:tab/>
      </w:r>
      <w:r w:rsidR="00FD5A86">
        <w:rPr>
          <w:lang w:val="en-US"/>
        </w:rPr>
        <w:t>the pending request would</w:t>
      </w:r>
      <w:r w:rsidR="00FD5A86" w:rsidRPr="00FA688D">
        <w:rPr>
          <w:lang w:val="en-US"/>
        </w:rPr>
        <w:t xml:space="preserve"> not </w:t>
      </w:r>
      <w:r w:rsidR="00FD5A86">
        <w:rPr>
          <w:lang w:val="en-US"/>
        </w:rPr>
        <w:t>require the supply of such equipment, or such goods or services.</w:t>
      </w:r>
    </w:p>
    <w:p w:rsidR="00FD5A86" w:rsidRPr="00821EB0" w:rsidRDefault="00031779" w:rsidP="00031779">
      <w:pPr>
        <w:pStyle w:val="R1"/>
      </w:pPr>
      <w:bookmarkStart w:id="16" w:name="_Ref287350357"/>
      <w:r>
        <w:tab/>
      </w:r>
      <w:r w:rsidR="00FD5A86" w:rsidRPr="00821EB0">
        <w:t>(3)</w:t>
      </w:r>
      <w:r w:rsidR="00FD5A86" w:rsidRPr="00821EB0">
        <w:tab/>
      </w:r>
      <w:r w:rsidR="00FD5A86">
        <w:t>A</w:t>
      </w:r>
      <w:r w:rsidR="00FD5A86" w:rsidRPr="00821EB0">
        <w:t>n offer is not</w:t>
      </w:r>
      <w:r w:rsidR="00FD5A86">
        <w:t xml:space="preserve"> a </w:t>
      </w:r>
      <w:r w:rsidR="00FD5A86" w:rsidRPr="00821EB0">
        <w:t xml:space="preserve">reasonable </w:t>
      </w:r>
      <w:r w:rsidR="00FD5A86">
        <w:t xml:space="preserve">offer for the purposes of subparagraph (1)(a)(ix) </w:t>
      </w:r>
      <w:r w:rsidR="00FD5A86" w:rsidRPr="00821EB0">
        <w:t xml:space="preserve">if the primary universal service provider </w:t>
      </w:r>
      <w:r w:rsidR="00FD5A86">
        <w:t>would be</w:t>
      </w:r>
      <w:r w:rsidR="00FD5A86" w:rsidRPr="00821EB0">
        <w:t xml:space="preserve"> required to supply equipment, or other goods or services</w:t>
      </w:r>
      <w:r w:rsidR="00FD5A86">
        <w:t>,</w:t>
      </w:r>
      <w:r w:rsidR="00FD5A86" w:rsidRPr="00821EB0">
        <w:t xml:space="preserve"> under subsection 9E(1) of the Act in order to comply with the </w:t>
      </w:r>
      <w:r w:rsidR="00FD5A86" w:rsidRPr="00821EB0">
        <w:rPr>
          <w:i/>
        </w:rPr>
        <w:t>Disability Discrimination Act 1992</w:t>
      </w:r>
      <w:r w:rsidR="00FD5A86" w:rsidRPr="00821EB0">
        <w:t xml:space="preserve">, and the offer does not include an offer to supply such equipment, or </w:t>
      </w:r>
      <w:r w:rsidR="00FD5A86">
        <w:t xml:space="preserve">such </w:t>
      </w:r>
      <w:r w:rsidR="00FD5A86" w:rsidRPr="00821EB0">
        <w:t>goods or services.</w:t>
      </w:r>
      <w:bookmarkEnd w:id="16"/>
      <w:r w:rsidR="00FD5A86" w:rsidRPr="00821EB0">
        <w:t xml:space="preserve"> </w:t>
      </w:r>
    </w:p>
    <w:p w:rsidR="00FD5A86" w:rsidRPr="003F2B22" w:rsidRDefault="00031779" w:rsidP="00031779">
      <w:pPr>
        <w:pStyle w:val="R1"/>
      </w:pPr>
      <w:bookmarkStart w:id="17" w:name="_Ref287339654"/>
      <w:r>
        <w:tab/>
      </w:r>
      <w:r w:rsidR="00FD5A86" w:rsidRPr="003F2B22">
        <w:t>(4)</w:t>
      </w:r>
      <w:r w:rsidR="00FD5A86" w:rsidRPr="003F2B22">
        <w:tab/>
      </w:r>
      <w:r w:rsidR="00FD5A86">
        <w:t>Fo</w:t>
      </w:r>
      <w:r w:rsidR="00FD5A86" w:rsidRPr="003F2B22">
        <w:t xml:space="preserve">r the purposes of subsection 9(2E) of the Act, </w:t>
      </w:r>
      <w:r w:rsidR="00FD5A86">
        <w:t xml:space="preserve">if the primary universal service provider complies with the notification requirements at subsection 8(4), </w:t>
      </w:r>
      <w:r w:rsidR="00FD5A86" w:rsidRPr="003F2B22">
        <w:t xml:space="preserve">an obligation to supply a </w:t>
      </w:r>
      <w:r w:rsidR="00FD5A86" w:rsidRPr="003F2B22">
        <w:rPr>
          <w:lang w:val="en-US"/>
        </w:rPr>
        <w:t>standard telephone service</w:t>
      </w:r>
      <w:r w:rsidR="00FD5A86" w:rsidRPr="003F2B22">
        <w:t xml:space="preserve"> on request does not arise under subsections 9(1)(a) or 9(2) of the Act for any period during which any of the following circumstances applies to a request:</w:t>
      </w:r>
      <w:bookmarkEnd w:id="17"/>
    </w:p>
    <w:p w:rsidR="00FD5A86" w:rsidRPr="003F2B22" w:rsidRDefault="00031779" w:rsidP="00031779">
      <w:pPr>
        <w:pStyle w:val="P1"/>
        <w:rPr>
          <w:lang w:val="en-US"/>
        </w:rPr>
      </w:pPr>
      <w:r>
        <w:rPr>
          <w:lang w:val="en-US"/>
        </w:rPr>
        <w:tab/>
      </w:r>
      <w:r w:rsidR="00FD5A86" w:rsidRPr="003F2B22">
        <w:rPr>
          <w:lang w:val="en-US"/>
        </w:rPr>
        <w:t>(a)</w:t>
      </w:r>
      <w:r w:rsidR="00FD5A86" w:rsidRPr="003F2B22">
        <w:rPr>
          <w:lang w:val="en-US"/>
        </w:rPr>
        <w:tab/>
        <w:t xml:space="preserve">the person making the request does not make available, at the expense of the person making the request, an electricity supply sufficient for the technology used to provide the standard telephone service at the premises; </w:t>
      </w:r>
    </w:p>
    <w:p w:rsidR="00FD5A86" w:rsidRPr="003F2B22" w:rsidRDefault="00031779" w:rsidP="00031779">
      <w:pPr>
        <w:pStyle w:val="P1"/>
        <w:rPr>
          <w:lang w:val="en-US"/>
        </w:rPr>
      </w:pPr>
      <w:r>
        <w:rPr>
          <w:lang w:val="en-US"/>
        </w:rPr>
        <w:tab/>
      </w:r>
      <w:r w:rsidR="00FD5A86" w:rsidRPr="003F2B22">
        <w:rPr>
          <w:lang w:val="en-US"/>
        </w:rPr>
        <w:t>(b)</w:t>
      </w:r>
      <w:r w:rsidR="00FD5A86" w:rsidRPr="003F2B22">
        <w:rPr>
          <w:lang w:val="en-US"/>
        </w:rPr>
        <w:tab/>
      </w:r>
      <w:r w:rsidR="00FD5A86">
        <w:rPr>
          <w:lang w:val="en-US"/>
        </w:rPr>
        <w:t xml:space="preserve">where </w:t>
      </w:r>
      <w:proofErr w:type="spellStart"/>
      <w:r w:rsidR="00FD5A86" w:rsidRPr="00031779">
        <w:rPr>
          <w:lang w:val="en-US"/>
        </w:rPr>
        <w:t>lead</w:t>
      </w:r>
      <w:r w:rsidR="00FD5A86">
        <w:rPr>
          <w:lang w:val="en-US"/>
        </w:rPr>
        <w:noBreakHyphen/>
        <w:t>in</w:t>
      </w:r>
      <w:proofErr w:type="spellEnd"/>
      <w:r w:rsidR="00FD5A86">
        <w:rPr>
          <w:lang w:val="en-US"/>
        </w:rPr>
        <w:t xml:space="preserve"> cabling is required to be installed to permit the primary universal service provider to supply a standard telephone service in response to the request, </w:t>
      </w:r>
      <w:r w:rsidR="00FD5A86" w:rsidRPr="003F2B22">
        <w:rPr>
          <w:lang w:val="en-US"/>
        </w:rPr>
        <w:t>the person making the request does not:</w:t>
      </w:r>
    </w:p>
    <w:p w:rsidR="00FD5A86" w:rsidRPr="003F2B22" w:rsidRDefault="00031779" w:rsidP="00031779">
      <w:pPr>
        <w:pStyle w:val="P2"/>
        <w:rPr>
          <w:lang w:val="en-US"/>
        </w:rPr>
      </w:pPr>
      <w:r>
        <w:rPr>
          <w:lang w:val="en-US"/>
        </w:rPr>
        <w:tab/>
      </w:r>
      <w:r w:rsidR="00FD5A86" w:rsidRPr="003F2B22">
        <w:rPr>
          <w:lang w:val="en-US"/>
        </w:rPr>
        <w:t>(</w:t>
      </w:r>
      <w:proofErr w:type="spellStart"/>
      <w:r w:rsidR="00FD5A86" w:rsidRPr="003F2B22">
        <w:rPr>
          <w:lang w:val="en-US"/>
        </w:rPr>
        <w:t>i</w:t>
      </w:r>
      <w:proofErr w:type="spellEnd"/>
      <w:r w:rsidR="00FD5A86" w:rsidRPr="003F2B22">
        <w:rPr>
          <w:lang w:val="en-US"/>
        </w:rPr>
        <w:t>)</w:t>
      </w:r>
      <w:r w:rsidR="00FD5A86" w:rsidRPr="003F2B22">
        <w:rPr>
          <w:lang w:val="en-US"/>
        </w:rPr>
        <w:tab/>
        <w:t>supply, agree to pay the</w:t>
      </w:r>
      <w:r w:rsidR="00FD5A86">
        <w:rPr>
          <w:lang w:val="en-US"/>
        </w:rPr>
        <w:t xml:space="preserve"> reasonable</w:t>
      </w:r>
      <w:r w:rsidR="00FD5A86" w:rsidRPr="003F2B22">
        <w:rPr>
          <w:lang w:val="en-US"/>
        </w:rPr>
        <w:t xml:space="preserve"> costs of supplying, or arrange for the payment of the costs of supplying, suitable trenching to house underground cabling between the point that the cable enters the property and the point that the cable enters the building; or </w:t>
      </w:r>
    </w:p>
    <w:p w:rsidR="00FD5A86" w:rsidRPr="003F2B22" w:rsidRDefault="00031779" w:rsidP="00031779">
      <w:pPr>
        <w:pStyle w:val="P2"/>
        <w:rPr>
          <w:lang w:val="en-US"/>
        </w:rPr>
      </w:pPr>
      <w:r>
        <w:rPr>
          <w:lang w:val="en-US"/>
        </w:rPr>
        <w:tab/>
      </w:r>
      <w:r w:rsidR="00FD5A86" w:rsidRPr="003F2B22">
        <w:rPr>
          <w:lang w:val="en-US"/>
        </w:rPr>
        <w:t>(ii)</w:t>
      </w:r>
      <w:r w:rsidR="00FD5A86" w:rsidRPr="003F2B22">
        <w:rPr>
          <w:lang w:val="en-US"/>
        </w:rPr>
        <w:tab/>
        <w:t xml:space="preserve">erect, agree to pay the </w:t>
      </w:r>
      <w:r w:rsidR="00FD5A86">
        <w:rPr>
          <w:lang w:val="en-US"/>
        </w:rPr>
        <w:t xml:space="preserve">reasonable </w:t>
      </w:r>
      <w:r w:rsidR="00FD5A86" w:rsidRPr="003F2B22">
        <w:rPr>
          <w:lang w:val="en-US"/>
        </w:rPr>
        <w:t>costs of erecting, or arrange for the payment of the</w:t>
      </w:r>
      <w:r w:rsidR="00FD5A86">
        <w:rPr>
          <w:lang w:val="en-US"/>
        </w:rPr>
        <w:t xml:space="preserve"> </w:t>
      </w:r>
      <w:r w:rsidR="00FD5A86" w:rsidRPr="003F2B22">
        <w:rPr>
          <w:lang w:val="en-US"/>
        </w:rPr>
        <w:t xml:space="preserve">costs of erecting, poles at the premises if it is not reasonably feasible to have underground cables; </w:t>
      </w:r>
    </w:p>
    <w:p w:rsidR="00FD5A86" w:rsidRPr="00EC1A96" w:rsidRDefault="00031779" w:rsidP="00031779">
      <w:pPr>
        <w:pStyle w:val="P1"/>
        <w:rPr>
          <w:spacing w:val="-3"/>
          <w:lang w:val="en-US"/>
        </w:rPr>
      </w:pPr>
      <w:r>
        <w:rPr>
          <w:spacing w:val="-3"/>
          <w:lang w:val="en-US"/>
        </w:rPr>
        <w:tab/>
      </w:r>
      <w:r w:rsidR="00FD5A86" w:rsidRPr="00EC1A96">
        <w:rPr>
          <w:spacing w:val="-3"/>
          <w:lang w:val="en-US"/>
        </w:rPr>
        <w:t>(c)</w:t>
      </w:r>
      <w:r w:rsidR="00FD5A86" w:rsidRPr="00EC1A96">
        <w:rPr>
          <w:spacing w:val="-3"/>
          <w:lang w:val="en-US"/>
        </w:rPr>
        <w:tab/>
      </w:r>
      <w:r w:rsidR="00FD5A86" w:rsidRPr="003F2B22">
        <w:rPr>
          <w:spacing w:val="-3"/>
          <w:lang w:val="en-US"/>
        </w:rPr>
        <w:t xml:space="preserve">the </w:t>
      </w:r>
      <w:r w:rsidR="00FD5A86" w:rsidRPr="00031779">
        <w:rPr>
          <w:lang w:val="en-US"/>
        </w:rPr>
        <w:t>person</w:t>
      </w:r>
      <w:r w:rsidR="00FD5A86" w:rsidRPr="003F2B22">
        <w:rPr>
          <w:spacing w:val="-3"/>
          <w:lang w:val="en-US"/>
        </w:rPr>
        <w:t xml:space="preserve"> making the request does not agree to the primary universal service provider’s standard form of agreement for the installation and </w:t>
      </w:r>
      <w:r w:rsidR="00FD5A86" w:rsidRPr="00EC1A96">
        <w:rPr>
          <w:spacing w:val="-3"/>
          <w:lang w:val="en-US"/>
        </w:rPr>
        <w:t xml:space="preserve">supply of the standard telephone service; </w:t>
      </w:r>
    </w:p>
    <w:p w:rsidR="00FD5A86" w:rsidRPr="00EC1A96" w:rsidRDefault="00031779" w:rsidP="00031779">
      <w:pPr>
        <w:pStyle w:val="P1"/>
        <w:rPr>
          <w:spacing w:val="-3"/>
          <w:lang w:val="en-US"/>
        </w:rPr>
      </w:pPr>
      <w:r>
        <w:rPr>
          <w:spacing w:val="-3"/>
          <w:lang w:val="en-US"/>
        </w:rPr>
        <w:tab/>
      </w:r>
      <w:r w:rsidR="00FD5A86" w:rsidRPr="00EC1A96">
        <w:rPr>
          <w:spacing w:val="-3"/>
          <w:lang w:val="en-US"/>
        </w:rPr>
        <w:t>(d)</w:t>
      </w:r>
      <w:r w:rsidR="00FD5A86" w:rsidRPr="00EC1A96">
        <w:rPr>
          <w:spacing w:val="-3"/>
          <w:lang w:val="en-US"/>
        </w:rPr>
        <w:tab/>
        <w:t xml:space="preserve">the </w:t>
      </w:r>
      <w:r w:rsidR="00FD5A86" w:rsidRPr="00031779">
        <w:rPr>
          <w:lang w:val="en-US"/>
        </w:rPr>
        <w:t>person</w:t>
      </w:r>
      <w:r w:rsidR="00FD5A86" w:rsidRPr="00EC1A96">
        <w:rPr>
          <w:spacing w:val="-3"/>
          <w:lang w:val="en-US"/>
        </w:rPr>
        <w:t xml:space="preserve"> making the request does not provide identification; </w:t>
      </w:r>
    </w:p>
    <w:p w:rsidR="00FD5A86" w:rsidRPr="00EC1A96" w:rsidRDefault="00031779" w:rsidP="00031779">
      <w:pPr>
        <w:pStyle w:val="P1"/>
        <w:rPr>
          <w:spacing w:val="-3"/>
          <w:lang w:val="en-US"/>
        </w:rPr>
      </w:pPr>
      <w:r>
        <w:rPr>
          <w:spacing w:val="-3"/>
          <w:lang w:val="en-US"/>
        </w:rPr>
        <w:tab/>
      </w:r>
      <w:r w:rsidR="00FD5A86" w:rsidRPr="00EC1A96">
        <w:rPr>
          <w:spacing w:val="-3"/>
          <w:lang w:val="en-US"/>
        </w:rPr>
        <w:t>(e)</w:t>
      </w:r>
      <w:r w:rsidR="00FD5A86" w:rsidRPr="00EC1A96">
        <w:rPr>
          <w:spacing w:val="-3"/>
          <w:lang w:val="en-US"/>
        </w:rPr>
        <w:tab/>
      </w:r>
      <w:r w:rsidR="00FD5A86" w:rsidRPr="00031779">
        <w:rPr>
          <w:lang w:val="en-US"/>
        </w:rPr>
        <w:t>unimpeded</w:t>
      </w:r>
      <w:r w:rsidR="00FD5A86" w:rsidRPr="00EC1A96">
        <w:rPr>
          <w:spacing w:val="-3"/>
          <w:lang w:val="en-US"/>
        </w:rPr>
        <w:t xml:space="preserve"> ingress and egress to the premises or the land leading to the premises is not available to enable the </w:t>
      </w:r>
      <w:r w:rsidR="00FD5A86" w:rsidRPr="00EC1A96">
        <w:rPr>
          <w:lang w:val="en-US"/>
        </w:rPr>
        <w:t>primary universal service provider</w:t>
      </w:r>
      <w:r w:rsidR="00FD5A86" w:rsidRPr="00EC1A96">
        <w:rPr>
          <w:spacing w:val="-3"/>
          <w:lang w:val="en-US"/>
        </w:rPr>
        <w:t xml:space="preserve"> to access power or infrastructure as necessary for the installation of a </w:t>
      </w:r>
      <w:r w:rsidR="00FD5A86" w:rsidRPr="00EC1A96">
        <w:rPr>
          <w:lang w:val="en-US"/>
        </w:rPr>
        <w:t>standard telephone service</w:t>
      </w:r>
      <w:r w:rsidR="00FD5A86" w:rsidRPr="00EC1A96">
        <w:rPr>
          <w:spacing w:val="-3"/>
          <w:lang w:val="en-US"/>
        </w:rPr>
        <w:t>,</w:t>
      </w:r>
    </w:p>
    <w:p w:rsidR="00422293" w:rsidRDefault="00D326CF">
      <w:pPr>
        <w:pStyle w:val="P1"/>
        <w:rPr>
          <w:spacing w:val="-3"/>
          <w:lang w:val="en-US"/>
        </w:rPr>
      </w:pPr>
      <w:r>
        <w:rPr>
          <w:spacing w:val="-3"/>
          <w:lang w:val="en-US"/>
        </w:rPr>
        <w:tab/>
      </w:r>
      <w:r w:rsidR="000A7661" w:rsidRPr="000A7661">
        <w:rPr>
          <w:spacing w:val="-3"/>
          <w:lang w:val="en-US"/>
        </w:rPr>
        <w:t>(f)</w:t>
      </w:r>
      <w:r w:rsidR="000A7661" w:rsidRPr="000A7661">
        <w:rPr>
          <w:spacing w:val="-3"/>
          <w:lang w:val="en-US"/>
        </w:rPr>
        <w:tab/>
        <w:t>the premises specified in the request for the standard telephone service are not sufficiently secure for the housing of telecommunications equipment, taking into consideration the nature of the premises (including whether the premises are in a remote area and whether the premises are permanently occupied);</w:t>
      </w:r>
    </w:p>
    <w:p w:rsidR="00FD5A86" w:rsidRPr="00EC1A96" w:rsidRDefault="00031779" w:rsidP="00F40E52">
      <w:pPr>
        <w:pStyle w:val="P1"/>
        <w:rPr>
          <w:lang w:val="en-US"/>
        </w:rPr>
      </w:pPr>
      <w:r>
        <w:rPr>
          <w:lang w:val="en-US"/>
        </w:rPr>
        <w:lastRenderedPageBreak/>
        <w:tab/>
      </w:r>
      <w:r w:rsidR="00FD5A86" w:rsidRPr="00EC1A96">
        <w:rPr>
          <w:lang w:val="en-US"/>
        </w:rPr>
        <w:t>(g)</w:t>
      </w:r>
      <w:r w:rsidR="00FD5A86" w:rsidRPr="00EC1A96">
        <w:rPr>
          <w:lang w:val="en-US"/>
        </w:rPr>
        <w:tab/>
        <w:t xml:space="preserve">the </w:t>
      </w:r>
      <w:r w:rsidR="00FD5A86" w:rsidRPr="00031779">
        <w:rPr>
          <w:lang w:val="en-US"/>
        </w:rPr>
        <w:t>installation</w:t>
      </w:r>
      <w:r w:rsidR="00FD5A86" w:rsidRPr="00EC1A96">
        <w:rPr>
          <w:lang w:val="en-US"/>
        </w:rPr>
        <w:t xml:space="preserve"> or supply of a standard telephone service </w:t>
      </w:r>
      <w:r w:rsidR="00FD5A86">
        <w:rPr>
          <w:lang w:val="en-US"/>
        </w:rPr>
        <w:t xml:space="preserve">at the proposed location </w:t>
      </w:r>
      <w:r w:rsidR="00FD5A86" w:rsidRPr="00EC1A96">
        <w:rPr>
          <w:lang w:val="en-US"/>
        </w:rPr>
        <w:t xml:space="preserve">would put employees of the primary universal service provider or the public at risk of exposure to unreasonable health or safety risks; </w:t>
      </w:r>
    </w:p>
    <w:p w:rsidR="00FD5A86" w:rsidRPr="00EC1A96" w:rsidRDefault="00031779" w:rsidP="00164110">
      <w:pPr>
        <w:pStyle w:val="P1"/>
        <w:keepNext/>
        <w:keepLines/>
        <w:rPr>
          <w:lang w:val="en-US"/>
        </w:rPr>
      </w:pPr>
      <w:r>
        <w:rPr>
          <w:lang w:val="en-US"/>
        </w:rPr>
        <w:tab/>
      </w:r>
      <w:r w:rsidR="00FD5A86" w:rsidRPr="00EC1A96">
        <w:rPr>
          <w:lang w:val="en-US"/>
        </w:rPr>
        <w:t>(h)</w:t>
      </w:r>
      <w:r w:rsidR="00FD5A86" w:rsidRPr="00EC1A96">
        <w:rPr>
          <w:lang w:val="en-US"/>
        </w:rPr>
        <w:tab/>
        <w:t>all of the following conditions are met:</w:t>
      </w:r>
    </w:p>
    <w:p w:rsidR="00FD5A86" w:rsidRPr="00EC1A96" w:rsidRDefault="00F40E52" w:rsidP="00F40E52">
      <w:pPr>
        <w:pStyle w:val="P2"/>
        <w:rPr>
          <w:lang w:val="en-US"/>
        </w:rPr>
      </w:pPr>
      <w:r>
        <w:rPr>
          <w:lang w:val="en-US"/>
        </w:rPr>
        <w:tab/>
      </w:r>
      <w:r w:rsidR="00FD5A86" w:rsidRPr="00EC1A96">
        <w:rPr>
          <w:lang w:val="en-US"/>
        </w:rPr>
        <w:t>(</w:t>
      </w:r>
      <w:proofErr w:type="spellStart"/>
      <w:r w:rsidR="00FD5A86" w:rsidRPr="00EC1A96">
        <w:rPr>
          <w:lang w:val="en-US"/>
        </w:rPr>
        <w:t>i</w:t>
      </w:r>
      <w:proofErr w:type="spellEnd"/>
      <w:r w:rsidR="00FD5A86" w:rsidRPr="00EC1A96">
        <w:rPr>
          <w:lang w:val="en-US"/>
        </w:rPr>
        <w:t>)</w:t>
      </w:r>
      <w:r w:rsidR="00FD5A86" w:rsidRPr="00EC1A96">
        <w:rPr>
          <w:lang w:val="en-US"/>
        </w:rPr>
        <w:tab/>
        <w:t xml:space="preserve">the guaranteed maximum connection periods in Division 2 of Part 2 of the CSG Standard apply to the primary universal service provider in relation to the request; </w:t>
      </w:r>
    </w:p>
    <w:p w:rsidR="00FD5A86" w:rsidRPr="00EC1A96" w:rsidRDefault="00F40E52" w:rsidP="00F40E52">
      <w:pPr>
        <w:pStyle w:val="P2"/>
        <w:rPr>
          <w:lang w:val="en-US"/>
        </w:rPr>
      </w:pPr>
      <w:r>
        <w:rPr>
          <w:lang w:val="en-US"/>
        </w:rPr>
        <w:tab/>
      </w:r>
      <w:r w:rsidR="00FD5A86" w:rsidRPr="00EC1A96">
        <w:rPr>
          <w:lang w:val="en-US"/>
        </w:rPr>
        <w:t>(ii)</w:t>
      </w:r>
      <w:r w:rsidR="00FD5A86" w:rsidRPr="00EC1A96">
        <w:rPr>
          <w:lang w:val="en-US"/>
        </w:rPr>
        <w:tab/>
        <w:t>the primary universal service provider is exempt from complying with the guaranteed maximum connection period</w:t>
      </w:r>
      <w:r w:rsidR="00FD5A86">
        <w:rPr>
          <w:lang w:val="en-US"/>
        </w:rPr>
        <w:t>s</w:t>
      </w:r>
      <w:r w:rsidR="00FD5A86" w:rsidRPr="00EC1A96">
        <w:rPr>
          <w:lang w:val="en-US"/>
        </w:rPr>
        <w:t xml:space="preserve"> under section 21 or section 22 of the CSG Standard; </w:t>
      </w:r>
    </w:p>
    <w:p w:rsidR="00FD5A86" w:rsidRPr="00EC1A96" w:rsidRDefault="00F40E52" w:rsidP="00F40E52">
      <w:pPr>
        <w:pStyle w:val="P2"/>
        <w:rPr>
          <w:lang w:val="en-US"/>
        </w:rPr>
      </w:pPr>
      <w:r>
        <w:rPr>
          <w:lang w:val="en-US"/>
        </w:rPr>
        <w:tab/>
      </w:r>
      <w:r w:rsidR="00FD5A86" w:rsidRPr="00EC1A96">
        <w:rPr>
          <w:lang w:val="en-US"/>
        </w:rPr>
        <w:t>(iii)</w:t>
      </w:r>
      <w:r w:rsidR="00FD5A86" w:rsidRPr="00EC1A96">
        <w:rPr>
          <w:lang w:val="en-US"/>
        </w:rPr>
        <w:tab/>
        <w:t>the primary universal service provider has complied with the applicable requirements of sections 23, 24 and 27 of the CSG Standard;</w:t>
      </w:r>
    </w:p>
    <w:p w:rsidR="00FD5A86" w:rsidRPr="00EC1A96" w:rsidRDefault="00F40E52" w:rsidP="00031779">
      <w:pPr>
        <w:pStyle w:val="P1"/>
        <w:rPr>
          <w:spacing w:val="-3"/>
          <w:lang w:val="en-US"/>
        </w:rPr>
      </w:pPr>
      <w:r>
        <w:rPr>
          <w:spacing w:val="-3"/>
          <w:lang w:val="en-US"/>
        </w:rPr>
        <w:tab/>
      </w:r>
      <w:r w:rsidR="00FD5A86" w:rsidRPr="00EC1A96">
        <w:rPr>
          <w:spacing w:val="-3"/>
          <w:lang w:val="en-US"/>
        </w:rPr>
        <w:t>(</w:t>
      </w:r>
      <w:proofErr w:type="spellStart"/>
      <w:r w:rsidR="00FD5A86" w:rsidRPr="00EC1A96">
        <w:rPr>
          <w:spacing w:val="-3"/>
          <w:lang w:val="en-US"/>
        </w:rPr>
        <w:t>i</w:t>
      </w:r>
      <w:proofErr w:type="spellEnd"/>
      <w:r w:rsidR="00FD5A86" w:rsidRPr="00EC1A96">
        <w:rPr>
          <w:spacing w:val="-3"/>
          <w:lang w:val="en-US"/>
        </w:rPr>
        <w:t>)</w:t>
      </w:r>
      <w:r w:rsidR="00FD5A86" w:rsidRPr="00EC1A96">
        <w:rPr>
          <w:spacing w:val="-3"/>
          <w:lang w:val="en-US"/>
        </w:rPr>
        <w:tab/>
        <w:t xml:space="preserve">the </w:t>
      </w:r>
      <w:r w:rsidR="00FD5A86" w:rsidRPr="00031779">
        <w:rPr>
          <w:lang w:val="en-US"/>
        </w:rPr>
        <w:t>installation</w:t>
      </w:r>
      <w:r w:rsidR="00FD5A86" w:rsidRPr="00EC1A96">
        <w:rPr>
          <w:spacing w:val="-3"/>
          <w:lang w:val="en-US"/>
        </w:rPr>
        <w:t xml:space="preserve"> of a </w:t>
      </w:r>
      <w:r w:rsidR="00FD5A86" w:rsidRPr="00EC1A96">
        <w:rPr>
          <w:lang w:val="en-US"/>
        </w:rPr>
        <w:t>standard telephone service</w:t>
      </w:r>
      <w:r w:rsidR="00FD5A86" w:rsidRPr="00EC1A96">
        <w:rPr>
          <w:spacing w:val="-3"/>
          <w:lang w:val="en-US"/>
        </w:rPr>
        <w:t xml:space="preserve"> at the proposed location would not be in the interests of public safety; </w:t>
      </w:r>
    </w:p>
    <w:p w:rsidR="00FD5A86" w:rsidRDefault="00F40E52" w:rsidP="00031779">
      <w:pPr>
        <w:pStyle w:val="P1"/>
        <w:rPr>
          <w:spacing w:val="-3"/>
          <w:lang w:val="en-US"/>
        </w:rPr>
      </w:pPr>
      <w:r>
        <w:rPr>
          <w:spacing w:val="-3"/>
          <w:lang w:val="en-US"/>
        </w:rPr>
        <w:tab/>
      </w:r>
      <w:r w:rsidR="00FD5A86">
        <w:rPr>
          <w:spacing w:val="-3"/>
          <w:lang w:val="en-US"/>
        </w:rPr>
        <w:t>(j)</w:t>
      </w:r>
      <w:r w:rsidR="00FD5A86">
        <w:rPr>
          <w:spacing w:val="-3"/>
          <w:lang w:val="en-US"/>
        </w:rPr>
        <w:tab/>
      </w:r>
      <w:r w:rsidR="00FD5A86" w:rsidRPr="00EC1A96">
        <w:rPr>
          <w:spacing w:val="-3"/>
          <w:lang w:val="en-US"/>
        </w:rPr>
        <w:t xml:space="preserve">installation or supply of a </w:t>
      </w:r>
      <w:r w:rsidR="00FD5A86" w:rsidRPr="00EC1A96">
        <w:rPr>
          <w:lang w:val="en-US"/>
        </w:rPr>
        <w:t>standard telephone service</w:t>
      </w:r>
      <w:r w:rsidR="00FD5A86" w:rsidRPr="00EC1A96">
        <w:rPr>
          <w:spacing w:val="-3"/>
          <w:lang w:val="en-US"/>
        </w:rPr>
        <w:t xml:space="preserve"> would put the employees or contractors of the </w:t>
      </w:r>
      <w:r w:rsidR="00FD5A86" w:rsidRPr="00EC1A96">
        <w:rPr>
          <w:lang w:val="en-US"/>
        </w:rPr>
        <w:t>primary universal service provider</w:t>
      </w:r>
      <w:r w:rsidR="00FD5A86" w:rsidRPr="00EC1A96">
        <w:rPr>
          <w:spacing w:val="-3"/>
          <w:lang w:val="en-US"/>
        </w:rPr>
        <w:t xml:space="preserve"> at risk of being exposed or subject to:</w:t>
      </w:r>
    </w:p>
    <w:p w:rsidR="00FD5A86" w:rsidRPr="00EC1A96" w:rsidRDefault="00F40E52" w:rsidP="00F40E52">
      <w:pPr>
        <w:pStyle w:val="P2"/>
        <w:rPr>
          <w:spacing w:val="-3"/>
          <w:lang w:val="en-US"/>
        </w:rPr>
      </w:pPr>
      <w:r>
        <w:rPr>
          <w:spacing w:val="-3"/>
          <w:lang w:val="en-US"/>
        </w:rPr>
        <w:tab/>
      </w:r>
      <w:r w:rsidR="00FD5A86" w:rsidRPr="00EC1A96">
        <w:rPr>
          <w:spacing w:val="-3"/>
          <w:lang w:val="en-US"/>
        </w:rPr>
        <w:t>(</w:t>
      </w:r>
      <w:proofErr w:type="spellStart"/>
      <w:r w:rsidR="00FD5A86" w:rsidRPr="00EC1A96">
        <w:rPr>
          <w:spacing w:val="-3"/>
          <w:lang w:val="en-US"/>
        </w:rPr>
        <w:t>i</w:t>
      </w:r>
      <w:proofErr w:type="spellEnd"/>
      <w:r w:rsidR="00FD5A86" w:rsidRPr="00EC1A96">
        <w:rPr>
          <w:spacing w:val="-3"/>
          <w:lang w:val="en-US"/>
        </w:rPr>
        <w:t>)</w:t>
      </w:r>
      <w:r w:rsidR="00FD5A86" w:rsidRPr="00EC1A96">
        <w:rPr>
          <w:spacing w:val="-3"/>
          <w:lang w:val="en-US"/>
        </w:rPr>
        <w:tab/>
        <w:t xml:space="preserve">threatening or intimidating conduct or threatening </w:t>
      </w:r>
      <w:proofErr w:type="spellStart"/>
      <w:r w:rsidR="00FD5A86" w:rsidRPr="00EC1A96">
        <w:rPr>
          <w:spacing w:val="-3"/>
          <w:lang w:val="en-US"/>
        </w:rPr>
        <w:t>behaviour</w:t>
      </w:r>
      <w:proofErr w:type="spellEnd"/>
      <w:r w:rsidR="00FD5A86" w:rsidRPr="00EC1A96">
        <w:rPr>
          <w:spacing w:val="-3"/>
          <w:lang w:val="en-US"/>
        </w:rPr>
        <w:t xml:space="preserve"> by the person making the request, other persons or animals </w:t>
      </w:r>
      <w:r w:rsidR="00FD5A86">
        <w:rPr>
          <w:spacing w:val="-3"/>
          <w:lang w:val="en-US"/>
        </w:rPr>
        <w:t>at</w:t>
      </w:r>
      <w:r w:rsidR="00FD5A86" w:rsidRPr="00EC1A96">
        <w:rPr>
          <w:spacing w:val="-3"/>
          <w:lang w:val="en-US"/>
        </w:rPr>
        <w:t xml:space="preserve"> the premises specified in the request for the standard telephone service or on the property on which the </w:t>
      </w:r>
      <w:r w:rsidR="000A7661" w:rsidRPr="000A7661">
        <w:rPr>
          <w:spacing w:val="-3"/>
          <w:lang w:val="en-US"/>
        </w:rPr>
        <w:t>premises are</w:t>
      </w:r>
      <w:r w:rsidR="00D326CF" w:rsidRPr="00EC1A96">
        <w:rPr>
          <w:spacing w:val="-3"/>
          <w:lang w:val="en-US"/>
        </w:rPr>
        <w:t xml:space="preserve"> </w:t>
      </w:r>
      <w:r w:rsidR="00FD5A86" w:rsidRPr="00EC1A96">
        <w:rPr>
          <w:spacing w:val="-3"/>
          <w:lang w:val="en-US"/>
        </w:rPr>
        <w:t>located; or</w:t>
      </w:r>
    </w:p>
    <w:p w:rsidR="00FD5A86" w:rsidRPr="00EC1A96" w:rsidRDefault="00F40E52" w:rsidP="00F40E52">
      <w:pPr>
        <w:pStyle w:val="P2"/>
        <w:rPr>
          <w:spacing w:val="-3"/>
          <w:lang w:val="en-US"/>
        </w:rPr>
      </w:pPr>
      <w:r>
        <w:rPr>
          <w:spacing w:val="-3"/>
          <w:lang w:val="en-US"/>
        </w:rPr>
        <w:tab/>
      </w:r>
      <w:r w:rsidR="00FD5A86" w:rsidRPr="00EC1A96">
        <w:rPr>
          <w:spacing w:val="-3"/>
          <w:lang w:val="en-US"/>
        </w:rPr>
        <w:t>(ii)</w:t>
      </w:r>
      <w:r w:rsidR="00FD5A86" w:rsidRPr="00EC1A96">
        <w:rPr>
          <w:spacing w:val="-3"/>
          <w:lang w:val="en-US"/>
        </w:rPr>
        <w:tab/>
        <w:t xml:space="preserve">unhealthy or unsanitary environments at the premises specified in the request for the standard telephone service or at the property on which the </w:t>
      </w:r>
      <w:r w:rsidR="00D326CF" w:rsidRPr="00D326CF">
        <w:rPr>
          <w:spacing w:val="-3"/>
          <w:lang w:val="en-US"/>
        </w:rPr>
        <w:t>premises are</w:t>
      </w:r>
      <w:r w:rsidR="00D326CF" w:rsidRPr="00EC1A96">
        <w:rPr>
          <w:spacing w:val="-3"/>
          <w:lang w:val="en-US"/>
        </w:rPr>
        <w:t xml:space="preserve"> </w:t>
      </w:r>
      <w:r w:rsidR="00FD5A86" w:rsidRPr="00EC1A96">
        <w:rPr>
          <w:spacing w:val="-3"/>
          <w:lang w:val="en-US"/>
        </w:rPr>
        <w:t>located, including those which arise from waste, infestation, chemical hazards or other hazardous conditions; or</w:t>
      </w:r>
    </w:p>
    <w:p w:rsidR="00FD5A86" w:rsidRPr="00EC1A96" w:rsidRDefault="00F40E52" w:rsidP="00F40E52">
      <w:pPr>
        <w:pStyle w:val="P2"/>
        <w:rPr>
          <w:spacing w:val="-3"/>
          <w:lang w:val="en-US"/>
        </w:rPr>
      </w:pPr>
      <w:r>
        <w:rPr>
          <w:spacing w:val="-3"/>
          <w:lang w:val="en-US"/>
        </w:rPr>
        <w:tab/>
      </w:r>
      <w:r w:rsidR="00FD5A86" w:rsidRPr="00EC1A96">
        <w:rPr>
          <w:spacing w:val="-3"/>
          <w:lang w:val="en-US"/>
        </w:rPr>
        <w:t>(iii)</w:t>
      </w:r>
      <w:r w:rsidR="00FD5A86" w:rsidRPr="00EC1A96">
        <w:rPr>
          <w:spacing w:val="-3"/>
          <w:lang w:val="en-US"/>
        </w:rPr>
        <w:tab/>
        <w:t>injury due to poor building structures, an unsafe building space or substandard electrical fittings;</w:t>
      </w:r>
    </w:p>
    <w:p w:rsidR="00FD5A86" w:rsidRDefault="00F40E52" w:rsidP="00031779">
      <w:pPr>
        <w:pStyle w:val="P1"/>
        <w:rPr>
          <w:lang w:val="en-US"/>
        </w:rPr>
      </w:pPr>
      <w:r>
        <w:rPr>
          <w:lang w:val="en-US"/>
        </w:rPr>
        <w:tab/>
      </w:r>
      <w:r w:rsidR="00FD5A86">
        <w:rPr>
          <w:lang w:val="en-US"/>
        </w:rPr>
        <w:t>(k)</w:t>
      </w:r>
      <w:r w:rsidR="00FD5A86">
        <w:rPr>
          <w:lang w:val="en-US"/>
        </w:rPr>
        <w:tab/>
      </w:r>
      <w:r w:rsidR="00FD5A86" w:rsidRPr="00821EB0">
        <w:rPr>
          <w:lang w:val="en-US"/>
        </w:rPr>
        <w:t xml:space="preserve">the </w:t>
      </w:r>
      <w:r w:rsidR="00FD5A86" w:rsidRPr="00F40E52">
        <w:rPr>
          <w:spacing w:val="-3"/>
          <w:lang w:val="en-US"/>
        </w:rPr>
        <w:t>primary</w:t>
      </w:r>
      <w:r w:rsidR="00FD5A86" w:rsidRPr="00821EB0">
        <w:rPr>
          <w:lang w:val="en-US"/>
        </w:rPr>
        <w:t xml:space="preserve"> universal service provider is prevented from installing a standard telephone service at the proposed location because</w:t>
      </w:r>
      <w:r w:rsidR="00FD5A86">
        <w:rPr>
          <w:lang w:val="en-US"/>
        </w:rPr>
        <w:t xml:space="preserve"> the</w:t>
      </w:r>
      <w:r w:rsidR="00FD5A86" w:rsidRPr="00821EB0">
        <w:rPr>
          <w:lang w:val="en-US"/>
        </w:rPr>
        <w:t xml:space="preserve"> installation activity would have significant adverse environmental impacts and the primary universal service provider is unable to undertake the installation activity in compliance with Schedule 3 of the </w:t>
      </w:r>
      <w:r w:rsidR="00FD5A86" w:rsidRPr="00821EB0">
        <w:rPr>
          <w:i/>
          <w:lang w:val="en-US"/>
        </w:rPr>
        <w:t>Telecommunications Act 1997</w:t>
      </w:r>
      <w:r w:rsidR="00FD5A86" w:rsidRPr="00821EB0">
        <w:rPr>
          <w:lang w:val="en-US"/>
        </w:rPr>
        <w:t xml:space="preserve">, or </w:t>
      </w:r>
      <w:r w:rsidR="00FD5A86">
        <w:rPr>
          <w:lang w:val="en-US"/>
        </w:rPr>
        <w:t xml:space="preserve">is prevented from undertaking the installation activity by </w:t>
      </w:r>
      <w:r w:rsidR="00FD5A86" w:rsidRPr="00821EB0">
        <w:rPr>
          <w:lang w:val="en-US"/>
        </w:rPr>
        <w:t xml:space="preserve">the </w:t>
      </w:r>
      <w:r w:rsidR="00FD5A86" w:rsidRPr="00821EB0">
        <w:rPr>
          <w:i/>
          <w:lang w:val="en-US"/>
        </w:rPr>
        <w:t>Environment Protection and Biodiversity Conservation Act 1999</w:t>
      </w:r>
      <w:r w:rsidR="00FD5A86">
        <w:rPr>
          <w:lang w:val="en-US"/>
        </w:rPr>
        <w:t xml:space="preserve">; </w:t>
      </w:r>
    </w:p>
    <w:p w:rsidR="00FD5A86" w:rsidRPr="00EC1A96" w:rsidRDefault="00F40E52" w:rsidP="00031779">
      <w:pPr>
        <w:pStyle w:val="P1"/>
        <w:rPr>
          <w:lang w:val="en-US"/>
        </w:rPr>
      </w:pPr>
      <w:r>
        <w:rPr>
          <w:lang w:val="en-US"/>
        </w:rPr>
        <w:tab/>
      </w:r>
      <w:r w:rsidR="00FD5A86" w:rsidRPr="00EC1A96">
        <w:rPr>
          <w:lang w:val="en-US"/>
        </w:rPr>
        <w:t>(l)</w:t>
      </w:r>
      <w:r w:rsidR="00FD5A86" w:rsidRPr="00EC1A96">
        <w:rPr>
          <w:lang w:val="en-US"/>
        </w:rPr>
        <w:tab/>
        <w:t>both:</w:t>
      </w:r>
    </w:p>
    <w:p w:rsidR="00FD5A86" w:rsidRPr="00EC1A96" w:rsidRDefault="00F40E52" w:rsidP="00F40E52">
      <w:pPr>
        <w:pStyle w:val="P2"/>
        <w:rPr>
          <w:lang w:val="en-US"/>
        </w:rPr>
      </w:pPr>
      <w:r>
        <w:rPr>
          <w:lang w:val="en-US"/>
        </w:rPr>
        <w:tab/>
      </w:r>
      <w:r w:rsidR="00FD5A86" w:rsidRPr="00EC1A96">
        <w:rPr>
          <w:lang w:val="en-US"/>
        </w:rPr>
        <w:t>(</w:t>
      </w:r>
      <w:proofErr w:type="spellStart"/>
      <w:r w:rsidR="00FD5A86" w:rsidRPr="00EC1A96">
        <w:rPr>
          <w:lang w:val="en-US"/>
        </w:rPr>
        <w:t>i</w:t>
      </w:r>
      <w:proofErr w:type="spellEnd"/>
      <w:r w:rsidR="00FD5A86" w:rsidRPr="00EC1A96">
        <w:rPr>
          <w:lang w:val="en-US"/>
        </w:rPr>
        <w:t>)</w:t>
      </w:r>
      <w:r w:rsidR="00FD5A86" w:rsidRPr="00EC1A96">
        <w:rPr>
          <w:lang w:val="en-US"/>
        </w:rPr>
        <w:tab/>
        <w:t xml:space="preserve">the consent or authority of any person other than the person making the request is required before the primary universal service provider is </w:t>
      </w:r>
      <w:proofErr w:type="spellStart"/>
      <w:r w:rsidR="00FD5A86" w:rsidRPr="00EC1A96">
        <w:rPr>
          <w:lang w:val="en-US"/>
        </w:rPr>
        <w:t>authorised</w:t>
      </w:r>
      <w:proofErr w:type="spellEnd"/>
      <w:r w:rsidR="00FD5A86" w:rsidRPr="00EC1A96">
        <w:rPr>
          <w:lang w:val="en-US"/>
        </w:rPr>
        <w:t xml:space="preserve"> to perform the works necessary to install the standard telephone service, including any consent or authority that is required:</w:t>
      </w:r>
    </w:p>
    <w:p w:rsidR="00FD5A86" w:rsidRPr="00821EB0" w:rsidRDefault="00F40E52" w:rsidP="00F40E52">
      <w:pPr>
        <w:pStyle w:val="P3"/>
        <w:rPr>
          <w:lang w:val="en-US"/>
        </w:rPr>
      </w:pPr>
      <w:r>
        <w:rPr>
          <w:lang w:val="en-US"/>
        </w:rPr>
        <w:tab/>
      </w:r>
      <w:r w:rsidR="00FD5A86" w:rsidRPr="00821EB0">
        <w:rPr>
          <w:lang w:val="en-US"/>
        </w:rPr>
        <w:t>(A)</w:t>
      </w:r>
      <w:r w:rsidR="00FD5A86" w:rsidRPr="00821EB0">
        <w:rPr>
          <w:lang w:val="en-US"/>
        </w:rPr>
        <w:tab/>
        <w:t>to access any premises or facilities (such as common property); or</w:t>
      </w:r>
    </w:p>
    <w:p w:rsidR="00FD5A86" w:rsidRPr="00821EB0" w:rsidRDefault="00F40E52" w:rsidP="00F40E52">
      <w:pPr>
        <w:pStyle w:val="P3"/>
        <w:rPr>
          <w:lang w:val="en-US"/>
        </w:rPr>
      </w:pPr>
      <w:r>
        <w:rPr>
          <w:lang w:val="en-US"/>
        </w:rPr>
        <w:lastRenderedPageBreak/>
        <w:tab/>
      </w:r>
      <w:r w:rsidR="00FD5A86" w:rsidRPr="00821EB0">
        <w:rPr>
          <w:lang w:val="en-US"/>
        </w:rPr>
        <w:t>(B)</w:t>
      </w:r>
      <w:r w:rsidR="00FD5A86" w:rsidRPr="00821EB0">
        <w:rPr>
          <w:lang w:val="en-US"/>
        </w:rPr>
        <w:tab/>
        <w:t xml:space="preserve">to temporarily or permanently locate equipment at a location (such as an equipment room or a part of </w:t>
      </w:r>
      <w:r w:rsidR="000A7661" w:rsidRPr="000A7661">
        <w:rPr>
          <w:lang w:val="en-US"/>
        </w:rPr>
        <w:t>premises</w:t>
      </w:r>
      <w:r w:rsidR="00D326CF" w:rsidRPr="00821EB0">
        <w:rPr>
          <w:lang w:val="en-US"/>
        </w:rPr>
        <w:t xml:space="preserve"> </w:t>
      </w:r>
      <w:r w:rsidR="00FD5A86" w:rsidRPr="00821EB0">
        <w:rPr>
          <w:lang w:val="en-US"/>
        </w:rPr>
        <w:t xml:space="preserve">not owned by the person making the request); and </w:t>
      </w:r>
    </w:p>
    <w:p w:rsidR="00FD5A86" w:rsidRPr="00EC1A96" w:rsidRDefault="00F40E52" w:rsidP="00F40E52">
      <w:pPr>
        <w:pStyle w:val="P2"/>
        <w:rPr>
          <w:lang w:val="en-US"/>
        </w:rPr>
      </w:pPr>
      <w:r>
        <w:rPr>
          <w:lang w:val="en-US"/>
        </w:rPr>
        <w:tab/>
      </w:r>
      <w:r w:rsidR="00FD5A86" w:rsidRPr="00EC1A96">
        <w:rPr>
          <w:lang w:val="en-US"/>
        </w:rPr>
        <w:t>(ii)</w:t>
      </w:r>
      <w:r w:rsidR="00FD5A86" w:rsidRPr="00EC1A96">
        <w:rPr>
          <w:lang w:val="en-US"/>
        </w:rPr>
        <w:tab/>
        <w:t>that</w:t>
      </w:r>
      <w:r w:rsidR="00FD5A86" w:rsidRPr="00EC1A96">
        <w:t xml:space="preserve"> </w:t>
      </w:r>
      <w:r w:rsidR="00FD5A86" w:rsidRPr="00F40E52">
        <w:rPr>
          <w:spacing w:val="-3"/>
          <w:lang w:val="en-US"/>
        </w:rPr>
        <w:t>consent</w:t>
      </w:r>
      <w:r w:rsidR="00FD5A86" w:rsidRPr="00EC1A96">
        <w:t xml:space="preserve"> or authority is not provided; </w:t>
      </w:r>
    </w:p>
    <w:p w:rsidR="00FD5A86" w:rsidRPr="00EC1A96" w:rsidRDefault="00F40E52" w:rsidP="00031779">
      <w:pPr>
        <w:pStyle w:val="P1"/>
        <w:rPr>
          <w:lang w:val="en-US"/>
        </w:rPr>
      </w:pPr>
      <w:bookmarkStart w:id="18" w:name="_Ref287350116"/>
      <w:r>
        <w:rPr>
          <w:lang w:val="en-US"/>
        </w:rPr>
        <w:tab/>
      </w:r>
      <w:r w:rsidR="00FD5A86" w:rsidRPr="00EC1A96">
        <w:rPr>
          <w:lang w:val="en-US"/>
        </w:rPr>
        <w:t>(m)</w:t>
      </w:r>
      <w:r w:rsidR="00FD5A86" w:rsidRPr="00EC1A96">
        <w:rPr>
          <w:lang w:val="en-US"/>
        </w:rPr>
        <w:tab/>
        <w:t>subject to subsection</w:t>
      </w:r>
      <w:r w:rsidR="00FD5A86">
        <w:rPr>
          <w:lang w:val="en-US"/>
        </w:rPr>
        <w:t xml:space="preserve">s </w:t>
      </w:r>
      <w:r w:rsidR="008E7AE4">
        <w:rPr>
          <w:lang w:val="en-US"/>
        </w:rPr>
        <w:t>(</w:t>
      </w:r>
      <w:r w:rsidR="008E7AE4">
        <w:t>5)</w:t>
      </w:r>
      <w:r w:rsidR="00FD5A86">
        <w:rPr>
          <w:lang w:val="en-US"/>
        </w:rPr>
        <w:t xml:space="preserve"> and (6)</w:t>
      </w:r>
      <w:r w:rsidR="00FD5A86" w:rsidRPr="00EC1A96">
        <w:rPr>
          <w:lang w:val="en-US"/>
        </w:rPr>
        <w:t xml:space="preserve">, the premises specified in the request for the supply of a standard telephone </w:t>
      </w:r>
      <w:r w:rsidR="000A7661" w:rsidRPr="000A7661">
        <w:rPr>
          <w:lang w:val="en-US"/>
        </w:rPr>
        <w:t>service are</w:t>
      </w:r>
      <w:r w:rsidR="00D326CF" w:rsidRPr="00EC1A96">
        <w:rPr>
          <w:lang w:val="en-US"/>
        </w:rPr>
        <w:t xml:space="preserve"> </w:t>
      </w:r>
      <w:r w:rsidR="00FD5A86" w:rsidRPr="00EC1A96">
        <w:rPr>
          <w:lang w:val="en-US"/>
        </w:rPr>
        <w:t xml:space="preserve">already </w:t>
      </w:r>
      <w:r w:rsidR="00FD5A86">
        <w:rPr>
          <w:lang w:val="en-US"/>
        </w:rPr>
        <w:t>supplied with</w:t>
      </w:r>
      <w:r w:rsidR="00FD5A86" w:rsidRPr="00EC1A96">
        <w:rPr>
          <w:lang w:val="en-US"/>
        </w:rPr>
        <w:t xml:space="preserve"> a standard telephone service</w:t>
      </w:r>
      <w:r w:rsidR="00FD5A86">
        <w:rPr>
          <w:lang w:val="en-US"/>
        </w:rPr>
        <w:t xml:space="preserve"> (the </w:t>
      </w:r>
      <w:r w:rsidR="00FD5A86" w:rsidRPr="00821EB0">
        <w:rPr>
          <w:b/>
          <w:i/>
          <w:lang w:val="en-US"/>
        </w:rPr>
        <w:t>existing standard telephone service</w:t>
      </w:r>
      <w:r w:rsidR="00FD5A86">
        <w:rPr>
          <w:lang w:val="en-US"/>
        </w:rPr>
        <w:t>)</w:t>
      </w:r>
      <w:r w:rsidR="00FD5A86" w:rsidRPr="00EC1A96">
        <w:rPr>
          <w:lang w:val="en-US"/>
        </w:rPr>
        <w:t>:</w:t>
      </w:r>
      <w:bookmarkEnd w:id="18"/>
    </w:p>
    <w:p w:rsidR="00FD5A86" w:rsidRPr="00EC1A96" w:rsidRDefault="00F40E52" w:rsidP="00F40E52">
      <w:pPr>
        <w:pStyle w:val="P2"/>
        <w:rPr>
          <w:lang w:val="en-US"/>
        </w:rPr>
      </w:pPr>
      <w:r>
        <w:rPr>
          <w:lang w:val="en-US"/>
        </w:rPr>
        <w:tab/>
      </w:r>
      <w:r w:rsidR="00FD5A86" w:rsidRPr="00EC1A96">
        <w:rPr>
          <w:lang w:val="en-US"/>
        </w:rPr>
        <w:t>(i)</w:t>
      </w:r>
      <w:r w:rsidR="00FD5A86" w:rsidRPr="00EC1A96">
        <w:rPr>
          <w:lang w:val="en-US"/>
        </w:rPr>
        <w:tab/>
        <w:t>by a carriage service provider other than the primary universal service provider except where:</w:t>
      </w:r>
    </w:p>
    <w:p w:rsidR="00FD5A86" w:rsidRPr="00821EB0" w:rsidRDefault="00F40E52" w:rsidP="00F40E52">
      <w:pPr>
        <w:pStyle w:val="P3"/>
        <w:rPr>
          <w:lang w:val="en-US"/>
        </w:rPr>
      </w:pPr>
      <w:r>
        <w:rPr>
          <w:lang w:val="en-US"/>
        </w:rPr>
        <w:tab/>
      </w:r>
      <w:r w:rsidR="00FD5A86" w:rsidRPr="00821EB0">
        <w:rPr>
          <w:lang w:val="en-US"/>
        </w:rPr>
        <w:t>(A)</w:t>
      </w:r>
      <w:r w:rsidR="00FD5A86" w:rsidRPr="00821EB0">
        <w:rPr>
          <w:lang w:val="en-US"/>
        </w:rPr>
        <w:tab/>
        <w:t>the person making the request, or another person residing at the premises, requests Priority Assistance; and</w:t>
      </w:r>
    </w:p>
    <w:p w:rsidR="00FD5A86" w:rsidRPr="00821EB0" w:rsidRDefault="00F40E52" w:rsidP="00F40E52">
      <w:pPr>
        <w:pStyle w:val="P3"/>
        <w:rPr>
          <w:lang w:val="en-US"/>
        </w:rPr>
      </w:pPr>
      <w:r>
        <w:rPr>
          <w:lang w:val="en-US"/>
        </w:rPr>
        <w:tab/>
      </w:r>
      <w:r w:rsidR="00FD5A86" w:rsidRPr="00821EB0">
        <w:rPr>
          <w:lang w:val="en-US"/>
        </w:rPr>
        <w:t>(B)</w:t>
      </w:r>
      <w:r w:rsidR="00FD5A86" w:rsidRPr="00821EB0">
        <w:rPr>
          <w:lang w:val="en-US"/>
        </w:rPr>
        <w:tab/>
        <w:t xml:space="preserve">that carriage service provider does not offer Priority Assistance; or </w:t>
      </w:r>
    </w:p>
    <w:p w:rsidR="00FD5A86" w:rsidRDefault="00F40E52" w:rsidP="00F40E52">
      <w:pPr>
        <w:pStyle w:val="P2"/>
        <w:rPr>
          <w:lang w:val="en-US"/>
        </w:rPr>
      </w:pPr>
      <w:r>
        <w:rPr>
          <w:lang w:val="en-US"/>
        </w:rPr>
        <w:tab/>
      </w:r>
      <w:r w:rsidR="00FD5A86">
        <w:rPr>
          <w:lang w:val="en-US"/>
        </w:rPr>
        <w:t>(ii)</w:t>
      </w:r>
      <w:r w:rsidR="00FD5A86">
        <w:rPr>
          <w:lang w:val="en-US"/>
        </w:rPr>
        <w:tab/>
      </w:r>
      <w:r w:rsidR="00FD5A86" w:rsidRPr="0000556A">
        <w:rPr>
          <w:lang w:val="en-US"/>
        </w:rPr>
        <w:t xml:space="preserve">by the primary universal service provider in fulfilment of </w:t>
      </w:r>
      <w:r w:rsidR="00FD5A86">
        <w:rPr>
          <w:lang w:val="en-US"/>
        </w:rPr>
        <w:t>the</w:t>
      </w:r>
      <w:r w:rsidR="00FD5A86" w:rsidRPr="0000556A">
        <w:rPr>
          <w:lang w:val="en-US"/>
        </w:rPr>
        <w:t xml:space="preserve"> universal service obligation</w:t>
      </w:r>
      <w:r w:rsidR="00D326CF">
        <w:rPr>
          <w:lang w:val="en-US"/>
        </w:rPr>
        <w:t>;</w:t>
      </w:r>
    </w:p>
    <w:p w:rsidR="00422293" w:rsidRDefault="000A7661">
      <w:pPr>
        <w:pStyle w:val="R2"/>
      </w:pPr>
      <w:bookmarkStart w:id="19" w:name="_Ref287350065"/>
      <w:r>
        <w:tab/>
        <w:t>(4A)</w:t>
      </w:r>
      <w:r>
        <w:tab/>
        <w:t>For the purposes of subparagraph 7(4)(h)(ii), if the ‘another carriage service provider’ referred to in subsection 21(3) of the CSG Standard is an NBN corporation, then:</w:t>
      </w:r>
    </w:p>
    <w:p w:rsidR="00422293" w:rsidRDefault="000A7661">
      <w:pPr>
        <w:pStyle w:val="P1"/>
      </w:pPr>
      <w:r w:rsidRPr="000A7661">
        <w:tab/>
        <w:t>(a)</w:t>
      </w:r>
      <w:r w:rsidRPr="000A7661">
        <w:tab/>
      </w:r>
      <w:r w:rsidRPr="000A7661">
        <w:rPr>
          <w:lang w:val="en-US"/>
        </w:rPr>
        <w:t>subsection</w:t>
      </w:r>
      <w:r w:rsidRPr="000A7661">
        <w:t xml:space="preserve"> 21(3) of the CSG Standard will not apply; and </w:t>
      </w:r>
    </w:p>
    <w:p w:rsidR="00422293" w:rsidRDefault="00D326CF">
      <w:pPr>
        <w:pStyle w:val="P1"/>
      </w:pPr>
      <w:r>
        <w:tab/>
      </w:r>
      <w:r w:rsidR="000A7661" w:rsidRPr="000A7661">
        <w:t>(b)</w:t>
      </w:r>
      <w:r w:rsidR="000A7661" w:rsidRPr="000A7661">
        <w:tab/>
        <w:t xml:space="preserve">the </w:t>
      </w:r>
      <w:r w:rsidR="000A7661" w:rsidRPr="000A7661">
        <w:rPr>
          <w:lang w:val="en-US"/>
        </w:rPr>
        <w:t>circumstances</w:t>
      </w:r>
      <w:r w:rsidR="000A7661" w:rsidRPr="000A7661">
        <w:t xml:space="preserve"> beyond the control of the primary universal service provider referred to in subsection 21(2) of the CSG Standard may include damage to, or failure of, the NBN Co fibre network that:</w:t>
      </w:r>
    </w:p>
    <w:p w:rsidR="00422293" w:rsidRDefault="00D326CF">
      <w:pPr>
        <w:pStyle w:val="P2"/>
      </w:pPr>
      <w:r>
        <w:tab/>
      </w:r>
      <w:r w:rsidR="000A7661" w:rsidRPr="000A7661">
        <w:t>(i)</w:t>
      </w:r>
      <w:r w:rsidR="000A7661" w:rsidRPr="000A7661">
        <w:tab/>
        <w:t>causes mass outages of specified services; and</w:t>
      </w:r>
    </w:p>
    <w:p w:rsidR="00422293" w:rsidRDefault="00D326CF">
      <w:pPr>
        <w:pStyle w:val="P2"/>
      </w:pPr>
      <w:r>
        <w:tab/>
      </w:r>
      <w:r w:rsidR="000A7661" w:rsidRPr="000A7661">
        <w:t>(ii)</w:t>
      </w:r>
      <w:r w:rsidR="000A7661" w:rsidRPr="000A7661">
        <w:tab/>
        <w:t>restricts connection to a specified service or rectification of a fault or service difficulty.</w:t>
      </w:r>
    </w:p>
    <w:p w:rsidR="00FD5A86" w:rsidRPr="00821EB0" w:rsidRDefault="00F40E52" w:rsidP="00F40E52">
      <w:pPr>
        <w:pStyle w:val="R2"/>
      </w:pPr>
      <w:r>
        <w:tab/>
      </w:r>
      <w:r w:rsidR="00FD5A86" w:rsidRPr="00821EB0">
        <w:t>(5)</w:t>
      </w:r>
      <w:r w:rsidR="00FD5A86" w:rsidRPr="00821EB0">
        <w:tab/>
      </w:r>
      <w:r w:rsidR="00FD5A86">
        <w:t xml:space="preserve">Subparagraph (4)(m)(i) does not apply </w:t>
      </w:r>
      <w:r w:rsidR="00FD5A86" w:rsidRPr="00821EB0">
        <w:t xml:space="preserve">where the </w:t>
      </w:r>
      <w:r w:rsidR="00FD5A86">
        <w:t>existing standard telephone service</w:t>
      </w:r>
      <w:r w:rsidR="00FD5A86" w:rsidRPr="00821EB0">
        <w:t xml:space="preserve"> </w:t>
      </w:r>
      <w:r w:rsidR="00FD5A86">
        <w:t>is:</w:t>
      </w:r>
      <w:bookmarkEnd w:id="19"/>
    </w:p>
    <w:p w:rsidR="00FD5A86" w:rsidRPr="00821EB0" w:rsidRDefault="00F40E52" w:rsidP="00F40E52">
      <w:pPr>
        <w:pStyle w:val="P1"/>
        <w:rPr>
          <w:lang w:val="en-US"/>
        </w:rPr>
      </w:pPr>
      <w:r>
        <w:rPr>
          <w:lang w:val="en-US"/>
        </w:rPr>
        <w:tab/>
      </w:r>
      <w:r w:rsidR="00FD5A86" w:rsidRPr="00821EB0">
        <w:rPr>
          <w:lang w:val="en-US"/>
        </w:rPr>
        <w:t>(a)</w:t>
      </w:r>
      <w:r w:rsidR="00FD5A86" w:rsidRPr="00821EB0">
        <w:rPr>
          <w:lang w:val="en-US"/>
        </w:rPr>
        <w:tab/>
        <w:t xml:space="preserve">a public mobile </w:t>
      </w:r>
      <w:r w:rsidR="00FD5A86">
        <w:rPr>
          <w:lang w:val="en-US"/>
        </w:rPr>
        <w:t>telecommunications</w:t>
      </w:r>
      <w:r w:rsidR="00FD5A86" w:rsidRPr="00821EB0">
        <w:rPr>
          <w:lang w:val="en-US"/>
        </w:rPr>
        <w:t xml:space="preserve"> service;</w:t>
      </w:r>
      <w:r w:rsidR="00FD5A86">
        <w:rPr>
          <w:lang w:val="en-US"/>
        </w:rPr>
        <w:t xml:space="preserve"> or</w:t>
      </w:r>
    </w:p>
    <w:p w:rsidR="00FD5A86" w:rsidRDefault="00F40E52" w:rsidP="00F40E52">
      <w:pPr>
        <w:pStyle w:val="P1"/>
        <w:rPr>
          <w:lang w:val="en-US"/>
        </w:rPr>
      </w:pPr>
      <w:r>
        <w:rPr>
          <w:lang w:val="en-US"/>
        </w:rPr>
        <w:tab/>
      </w:r>
      <w:r w:rsidR="00FD5A86">
        <w:rPr>
          <w:lang w:val="en-US"/>
        </w:rPr>
        <w:t>(b)</w:t>
      </w:r>
      <w:r w:rsidR="00FD5A86">
        <w:rPr>
          <w:lang w:val="en-US"/>
        </w:rPr>
        <w:tab/>
      </w:r>
      <w:r w:rsidR="00FD5A86" w:rsidRPr="00821EB0">
        <w:rPr>
          <w:lang w:val="en-US"/>
        </w:rPr>
        <w:t xml:space="preserve">a </w:t>
      </w:r>
      <w:r w:rsidR="00FD5A86">
        <w:rPr>
          <w:lang w:val="en-US"/>
        </w:rPr>
        <w:t xml:space="preserve">mobile </w:t>
      </w:r>
      <w:r w:rsidR="00FD5A86" w:rsidRPr="00821EB0">
        <w:rPr>
          <w:lang w:val="en-US"/>
        </w:rPr>
        <w:t>satellite service</w:t>
      </w:r>
      <w:r w:rsidR="00FD5A86">
        <w:rPr>
          <w:lang w:val="en-US"/>
        </w:rPr>
        <w:t xml:space="preserve">. </w:t>
      </w:r>
    </w:p>
    <w:p w:rsidR="00FD5A86" w:rsidRDefault="00F40E52" w:rsidP="00F40E52">
      <w:pPr>
        <w:pStyle w:val="R2"/>
        <w:rPr>
          <w:lang w:val="en-US"/>
        </w:rPr>
      </w:pPr>
      <w:r>
        <w:rPr>
          <w:lang w:val="en-US"/>
        </w:rPr>
        <w:tab/>
      </w:r>
      <w:r w:rsidR="00FD5A86">
        <w:rPr>
          <w:lang w:val="en-US"/>
        </w:rPr>
        <w:t>(6)</w:t>
      </w:r>
      <w:r w:rsidR="00FD5A86">
        <w:rPr>
          <w:lang w:val="en-US"/>
        </w:rPr>
        <w:tab/>
      </w:r>
      <w:r w:rsidR="00FD5A86" w:rsidRPr="00FA688D">
        <w:t>Subparagraph</w:t>
      </w:r>
      <w:r w:rsidR="00FD5A86">
        <w:rPr>
          <w:lang w:val="en-US"/>
        </w:rPr>
        <w:t xml:space="preserve"> (4)(m</w:t>
      </w:r>
      <w:r w:rsidR="00FD5A86" w:rsidRPr="00AD1338">
        <w:rPr>
          <w:lang w:val="en-US"/>
        </w:rPr>
        <w:t>)(ii) does</w:t>
      </w:r>
      <w:r w:rsidR="00FD5A86">
        <w:rPr>
          <w:lang w:val="en-US"/>
        </w:rPr>
        <w:t xml:space="preserve"> not apply where:</w:t>
      </w:r>
    </w:p>
    <w:p w:rsidR="00FD5A86" w:rsidRDefault="00F40E52" w:rsidP="00F40E52">
      <w:pPr>
        <w:pStyle w:val="P1"/>
        <w:rPr>
          <w:lang w:val="en-US"/>
        </w:rPr>
      </w:pPr>
      <w:r>
        <w:rPr>
          <w:lang w:val="en-US"/>
        </w:rPr>
        <w:tab/>
      </w:r>
      <w:r w:rsidR="00FD5A86">
        <w:rPr>
          <w:lang w:val="en-US"/>
        </w:rPr>
        <w:t>(a)</w:t>
      </w:r>
      <w:r w:rsidR="00FD5A86">
        <w:rPr>
          <w:lang w:val="en-US"/>
        </w:rPr>
        <w:tab/>
        <w:t>t</w:t>
      </w:r>
      <w:r w:rsidR="00FD5A86" w:rsidRPr="00FA688D">
        <w:rPr>
          <w:lang w:val="en-US"/>
        </w:rPr>
        <w:t xml:space="preserve">he relevant request for the supply of a standard telephone service </w:t>
      </w:r>
      <w:r w:rsidR="00FD5A86">
        <w:rPr>
          <w:lang w:val="en-US"/>
        </w:rPr>
        <w:t xml:space="preserve">would require </w:t>
      </w:r>
      <w:r w:rsidR="00FD5A86" w:rsidRPr="00FA688D">
        <w:rPr>
          <w:lang w:val="en-US"/>
        </w:rPr>
        <w:t>the supply of equipment, or other goods or services</w:t>
      </w:r>
      <w:r w:rsidR="00FD5A86">
        <w:rPr>
          <w:lang w:val="en-US"/>
        </w:rPr>
        <w:t>,</w:t>
      </w:r>
      <w:r w:rsidR="00FD5A86" w:rsidRPr="00FA688D">
        <w:rPr>
          <w:lang w:val="en-US"/>
        </w:rPr>
        <w:t xml:space="preserve"> under subsection 9E(1) of the Act in order to comply with the </w:t>
      </w:r>
      <w:r w:rsidR="00FD5A86" w:rsidRPr="00FA688D">
        <w:rPr>
          <w:i/>
          <w:lang w:val="en-US"/>
        </w:rPr>
        <w:t>Disability Discrimination Act 1992</w:t>
      </w:r>
      <w:r w:rsidR="00FD5A86">
        <w:rPr>
          <w:lang w:val="en-US"/>
        </w:rPr>
        <w:t>; and</w:t>
      </w:r>
    </w:p>
    <w:p w:rsidR="00FD5A86" w:rsidRDefault="00F40E52" w:rsidP="00F40E52">
      <w:pPr>
        <w:pStyle w:val="P1"/>
        <w:rPr>
          <w:lang w:val="en-US"/>
        </w:rPr>
      </w:pPr>
      <w:r>
        <w:rPr>
          <w:lang w:val="en-US"/>
        </w:rPr>
        <w:tab/>
      </w:r>
      <w:r w:rsidR="00FD5A86">
        <w:rPr>
          <w:lang w:val="en-US"/>
        </w:rPr>
        <w:t>(b)</w:t>
      </w:r>
      <w:r w:rsidR="00FD5A86">
        <w:rPr>
          <w:lang w:val="en-US"/>
        </w:rPr>
        <w:tab/>
        <w:t xml:space="preserve">the existing standard telephone service </w:t>
      </w:r>
      <w:r w:rsidR="00FD5A86" w:rsidRPr="00FA688D">
        <w:rPr>
          <w:lang w:val="en-US"/>
        </w:rPr>
        <w:t xml:space="preserve">does not </w:t>
      </w:r>
      <w:r w:rsidR="00FD5A86">
        <w:rPr>
          <w:lang w:val="en-US"/>
        </w:rPr>
        <w:t>require the supply of such equipment, or such goods or services.</w:t>
      </w:r>
    </w:p>
    <w:p w:rsidR="00FD5A86" w:rsidRDefault="00F40E52" w:rsidP="00F40E52">
      <w:pPr>
        <w:pStyle w:val="HR"/>
        <w:tabs>
          <w:tab w:val="left" w:pos="960"/>
          <w:tab w:val="left" w:pos="1134"/>
        </w:tabs>
      </w:pPr>
      <w:bookmarkStart w:id="20" w:name="_Toc326573993"/>
      <w:r w:rsidRPr="00F40E52">
        <w:rPr>
          <w:rStyle w:val="CharSectno"/>
        </w:rPr>
        <w:t>8</w:t>
      </w:r>
      <w:r>
        <w:rPr>
          <w:rStyle w:val="CharSectno"/>
        </w:rPr>
        <w:tab/>
      </w:r>
      <w:r w:rsidR="00FD5A86" w:rsidRPr="00F40E52">
        <w:rPr>
          <w:rFonts w:cs="Arial"/>
        </w:rPr>
        <w:t>Notification requirements</w:t>
      </w:r>
      <w:bookmarkEnd w:id="20"/>
    </w:p>
    <w:p w:rsidR="00FD5A86" w:rsidRDefault="00F40E52" w:rsidP="00F40E52">
      <w:pPr>
        <w:pStyle w:val="R1"/>
      </w:pPr>
      <w:r>
        <w:tab/>
      </w:r>
      <w:r w:rsidR="00FD5A86">
        <w:t>(1)</w:t>
      </w:r>
      <w:r w:rsidR="00FD5A86">
        <w:tab/>
      </w:r>
      <w:r w:rsidR="000A7661" w:rsidRPr="000A7661">
        <w:t>Subsections (3), (3A), (3B) and (3C) set</w:t>
      </w:r>
      <w:r w:rsidR="000F1BA3">
        <w:t xml:space="preserve"> </w:t>
      </w:r>
      <w:r w:rsidR="00FD5A86">
        <w:t>out the notification requirements applying to subsection 7(1).</w:t>
      </w:r>
    </w:p>
    <w:p w:rsidR="00FD5A86" w:rsidRDefault="00F40E52" w:rsidP="00D553B3">
      <w:pPr>
        <w:pStyle w:val="R2"/>
        <w:keepNext/>
      </w:pPr>
      <w:r>
        <w:lastRenderedPageBreak/>
        <w:tab/>
      </w:r>
      <w:r w:rsidR="00FD5A86">
        <w:t>(2)</w:t>
      </w:r>
      <w:r w:rsidR="00FD5A86">
        <w:tab/>
        <w:t>Subsection (4) sets out the notification requirements applying to subsection 7(4).</w:t>
      </w:r>
    </w:p>
    <w:p w:rsidR="00FD5A86" w:rsidRDefault="00F40E52" w:rsidP="00F40E52">
      <w:pPr>
        <w:pStyle w:val="R2"/>
        <w:rPr>
          <w:lang w:val="en-US"/>
        </w:rPr>
      </w:pPr>
      <w:r>
        <w:rPr>
          <w:lang w:val="en-US"/>
        </w:rPr>
        <w:tab/>
      </w:r>
      <w:r w:rsidR="00FD5A86">
        <w:rPr>
          <w:lang w:val="en-US"/>
        </w:rPr>
        <w:t>(3)</w:t>
      </w:r>
      <w:r w:rsidR="00FD5A86">
        <w:rPr>
          <w:lang w:val="en-US"/>
        </w:rPr>
        <w:tab/>
      </w:r>
      <w:r w:rsidR="00FD5A86" w:rsidRPr="009B3CFD">
        <w:t xml:space="preserve">The primary universal service provider must, </w:t>
      </w:r>
      <w:r w:rsidR="00FD5A86" w:rsidRPr="009B3CFD">
        <w:rPr>
          <w:lang w:val="en-US"/>
        </w:rPr>
        <w:t xml:space="preserve">within 10 business days of </w:t>
      </w:r>
      <w:r w:rsidR="00FD5A86">
        <w:rPr>
          <w:lang w:val="en-US"/>
        </w:rPr>
        <w:t>deciding</w:t>
      </w:r>
      <w:r w:rsidR="00FD5A86" w:rsidRPr="009B3CFD">
        <w:rPr>
          <w:lang w:val="en-US"/>
        </w:rPr>
        <w:t xml:space="preserve"> that one or more of the </w:t>
      </w:r>
      <w:r w:rsidR="000A7661" w:rsidRPr="000A7661">
        <w:t>circumstances in paragraph 7(1)(a) (except for the circumstances in subparagraphs 7(1)(a)(iv) and (v)) applies to the request, send to the person</w:t>
      </w:r>
      <w:r w:rsidR="000F1BA3">
        <w:rPr>
          <w:lang w:val="en-US"/>
        </w:rPr>
        <w:t xml:space="preserve"> </w:t>
      </w:r>
      <w:r w:rsidR="00FD5A86">
        <w:rPr>
          <w:lang w:val="en-US"/>
        </w:rPr>
        <w:t>making the request a statement in writing setting out:</w:t>
      </w:r>
    </w:p>
    <w:p w:rsidR="00FD5A86" w:rsidRPr="00821EB0" w:rsidRDefault="00F40E52" w:rsidP="00F40E52">
      <w:pPr>
        <w:pStyle w:val="P1"/>
        <w:rPr>
          <w:lang w:val="en-US"/>
        </w:rPr>
      </w:pPr>
      <w:r>
        <w:rPr>
          <w:lang w:val="en-US"/>
        </w:rPr>
        <w:tab/>
      </w:r>
      <w:r w:rsidR="00FD5A86" w:rsidRPr="00821EB0">
        <w:rPr>
          <w:lang w:val="en-US"/>
        </w:rPr>
        <w:t>(a)</w:t>
      </w:r>
      <w:r w:rsidR="00FD5A86" w:rsidRPr="00821EB0">
        <w:rPr>
          <w:lang w:val="en-US"/>
        </w:rPr>
        <w:tab/>
        <w:t xml:space="preserve">which of the circumstances listed in paragraph </w:t>
      </w:r>
      <w:r w:rsidR="00FD5A86">
        <w:rPr>
          <w:lang w:val="en-US"/>
        </w:rPr>
        <w:t>7</w:t>
      </w:r>
      <w:r w:rsidR="00FD5A86" w:rsidRPr="00821EB0">
        <w:rPr>
          <w:lang w:val="en-US"/>
        </w:rPr>
        <w:t>(1)(a) the primary universal service provider is relying on in coming to its decision that the obligation to supply a standard telephone service does not arise; and</w:t>
      </w:r>
    </w:p>
    <w:p w:rsidR="00FD5A86" w:rsidRPr="00821EB0" w:rsidRDefault="00F40E52" w:rsidP="00F40E52">
      <w:pPr>
        <w:pStyle w:val="P1"/>
        <w:rPr>
          <w:lang w:val="en-US"/>
        </w:rPr>
      </w:pPr>
      <w:r>
        <w:rPr>
          <w:lang w:val="en-US"/>
        </w:rPr>
        <w:tab/>
      </w:r>
      <w:r w:rsidR="00FD5A86" w:rsidRPr="00821EB0">
        <w:rPr>
          <w:lang w:val="en-US"/>
        </w:rPr>
        <w:t>(b)</w:t>
      </w:r>
      <w:r w:rsidR="00FD5A86" w:rsidRPr="00821EB0">
        <w:rPr>
          <w:lang w:val="en-US"/>
        </w:rPr>
        <w:tab/>
        <w:t>the grounds on which the primary universal service provider has based its judgment that that circumstance, or each of those circumstances, applies to the request; and</w:t>
      </w:r>
    </w:p>
    <w:p w:rsidR="00FD5A86" w:rsidRPr="00821EB0" w:rsidRDefault="00F40E52" w:rsidP="00164110">
      <w:pPr>
        <w:pStyle w:val="P1"/>
        <w:keepNext/>
        <w:keepLines/>
        <w:rPr>
          <w:lang w:val="en-US"/>
        </w:rPr>
      </w:pPr>
      <w:r>
        <w:rPr>
          <w:lang w:val="en-US"/>
        </w:rPr>
        <w:tab/>
      </w:r>
      <w:r w:rsidR="00FD5A86" w:rsidRPr="00821EB0">
        <w:rPr>
          <w:lang w:val="en-US"/>
        </w:rPr>
        <w:t>(c)</w:t>
      </w:r>
      <w:r w:rsidR="00FD5A86" w:rsidRPr="00821EB0">
        <w:rPr>
          <w:lang w:val="en-US"/>
        </w:rPr>
        <w:tab/>
        <w:t>the entitlement of the person making the request to dispute that the circumstance applies to the request by:</w:t>
      </w:r>
    </w:p>
    <w:p w:rsidR="00FD5A86" w:rsidRDefault="00F40E52" w:rsidP="00F40E52">
      <w:pPr>
        <w:pStyle w:val="P2"/>
        <w:rPr>
          <w:lang w:val="en-US"/>
        </w:rPr>
      </w:pPr>
      <w:r>
        <w:rPr>
          <w:lang w:val="en-US"/>
        </w:rPr>
        <w:tab/>
      </w:r>
      <w:r w:rsidR="00FD5A86">
        <w:rPr>
          <w:lang w:val="en-US"/>
        </w:rPr>
        <w:t>(i)</w:t>
      </w:r>
      <w:r w:rsidR="00FD5A86">
        <w:rPr>
          <w:lang w:val="en-US"/>
        </w:rPr>
        <w:tab/>
      </w:r>
      <w:r w:rsidR="00FD5A86" w:rsidRPr="00821EB0">
        <w:rPr>
          <w:lang w:val="en-US"/>
        </w:rPr>
        <w:t>requesting</w:t>
      </w:r>
      <w:r w:rsidR="00FD5A86" w:rsidRPr="000210B4">
        <w:rPr>
          <w:lang w:val="en-US"/>
        </w:rPr>
        <w:t xml:space="preserve"> the primary universal service provider to reconsider whether th</w:t>
      </w:r>
      <w:r w:rsidR="00FD5A86">
        <w:rPr>
          <w:lang w:val="en-US"/>
        </w:rPr>
        <w:t>e</w:t>
      </w:r>
      <w:r w:rsidR="00FD5A86" w:rsidRPr="000210B4">
        <w:rPr>
          <w:lang w:val="en-US"/>
        </w:rPr>
        <w:t xml:space="preserve"> grounds </w:t>
      </w:r>
      <w:r w:rsidR="00FD5A86">
        <w:rPr>
          <w:lang w:val="en-US"/>
        </w:rPr>
        <w:t xml:space="preserve">referred to in paragraph (3)(b) exist or </w:t>
      </w:r>
      <w:r w:rsidR="00FD5A86" w:rsidRPr="000210B4">
        <w:rPr>
          <w:lang w:val="en-US"/>
        </w:rPr>
        <w:t xml:space="preserve">are a proper basis for the </w:t>
      </w:r>
      <w:r w:rsidR="00FD5A86">
        <w:rPr>
          <w:lang w:val="en-US"/>
        </w:rPr>
        <w:t>primary universal service provider to form the view</w:t>
      </w:r>
      <w:r w:rsidR="00FD5A86" w:rsidRPr="000210B4">
        <w:rPr>
          <w:lang w:val="en-US"/>
        </w:rPr>
        <w:t xml:space="preserve"> </w:t>
      </w:r>
      <w:r w:rsidR="00FD5A86">
        <w:rPr>
          <w:lang w:val="en-US"/>
        </w:rPr>
        <w:t>that the obligation to supply a standard telephone service does not arise; or</w:t>
      </w:r>
    </w:p>
    <w:p w:rsidR="00FD5A86" w:rsidRDefault="00F40E52" w:rsidP="00F40E52">
      <w:pPr>
        <w:pStyle w:val="P2"/>
        <w:rPr>
          <w:lang w:val="en-US"/>
        </w:rPr>
      </w:pPr>
      <w:r>
        <w:rPr>
          <w:lang w:val="en-US"/>
        </w:rPr>
        <w:tab/>
      </w:r>
      <w:r w:rsidR="00FD5A86">
        <w:rPr>
          <w:lang w:val="en-US"/>
        </w:rPr>
        <w:t>(ii)</w:t>
      </w:r>
      <w:r w:rsidR="00FD5A86">
        <w:rPr>
          <w:lang w:val="en-US"/>
        </w:rPr>
        <w:tab/>
        <w:t xml:space="preserve">complaining to </w:t>
      </w:r>
      <w:r w:rsidR="00FD5A86" w:rsidRPr="00821EB0">
        <w:rPr>
          <w:lang w:val="en-US"/>
        </w:rPr>
        <w:t>the</w:t>
      </w:r>
      <w:r w:rsidR="00FD5A86">
        <w:rPr>
          <w:lang w:val="en-US"/>
        </w:rPr>
        <w:t xml:space="preserve"> Telecommunications Industry Ombudsman, following such a request for reconsideration; and</w:t>
      </w:r>
    </w:p>
    <w:p w:rsidR="00422293" w:rsidRDefault="000F1BA3" w:rsidP="00D044E4">
      <w:pPr>
        <w:pStyle w:val="Note"/>
        <w:ind w:left="1418"/>
      </w:pPr>
      <w:r w:rsidRPr="006E6087">
        <w:rPr>
          <w:i/>
        </w:rPr>
        <w:t>Note </w:t>
      </w:r>
      <w:r>
        <w:t>  The Telecommunications Industry Ombudsman will not investigate or facilitate the resolution of a complaint made following a request for reconsideration where</w:t>
      </w:r>
      <w:r w:rsidRPr="00564D4C">
        <w:t xml:space="preserve"> </w:t>
      </w:r>
      <w:r>
        <w:t>it determines that:</w:t>
      </w:r>
    </w:p>
    <w:p w:rsidR="00422293" w:rsidRDefault="000F1BA3">
      <w:pPr>
        <w:pStyle w:val="Notepara"/>
        <w:ind w:left="1985" w:hanging="567"/>
      </w:pPr>
      <w:r>
        <w:t>(a)</w:t>
      </w:r>
      <w:r>
        <w:tab/>
        <w:t>the person making the request is not a person who may make a complaint to the Telecommunications Industry Ombudsman</w:t>
      </w:r>
      <w:r w:rsidRPr="00F8665D">
        <w:t xml:space="preserve">; </w:t>
      </w:r>
      <w:r>
        <w:t>or</w:t>
      </w:r>
    </w:p>
    <w:p w:rsidR="00422293" w:rsidRDefault="000F1BA3">
      <w:pPr>
        <w:pStyle w:val="Notepara"/>
        <w:ind w:left="1985" w:hanging="567"/>
      </w:pPr>
      <w:r>
        <w:t>(b)</w:t>
      </w:r>
      <w:r>
        <w:tab/>
        <w:t>the Telecommunications Industry Ombudsman does not have the jurisdiction to investigate or facilitate the resolution of that complaint</w:t>
      </w:r>
      <w:r w:rsidRPr="00F8665D">
        <w:t>.</w:t>
      </w:r>
    </w:p>
    <w:p w:rsidR="00FD5A86" w:rsidRDefault="00F40E52" w:rsidP="00F40E52">
      <w:pPr>
        <w:pStyle w:val="P1"/>
        <w:rPr>
          <w:lang w:val="en-US"/>
        </w:rPr>
      </w:pPr>
      <w:r>
        <w:rPr>
          <w:lang w:val="en-US"/>
        </w:rPr>
        <w:tab/>
      </w:r>
      <w:r w:rsidR="00FD5A86">
        <w:rPr>
          <w:lang w:val="en-US"/>
        </w:rPr>
        <w:t>(d)</w:t>
      </w:r>
      <w:r w:rsidR="00FD5A86">
        <w:rPr>
          <w:lang w:val="en-US"/>
        </w:rPr>
        <w:tab/>
        <w:t xml:space="preserve">how the person making the request can contact the primary </w:t>
      </w:r>
      <w:r w:rsidR="00FD5A86" w:rsidRPr="00821EB0">
        <w:rPr>
          <w:lang w:val="en-US"/>
        </w:rPr>
        <w:t>universal</w:t>
      </w:r>
      <w:r w:rsidR="00FD5A86">
        <w:rPr>
          <w:lang w:val="en-US"/>
        </w:rPr>
        <w:t xml:space="preserve"> service provider and the Telecommunications Industry Ombudsman.</w:t>
      </w:r>
    </w:p>
    <w:p w:rsidR="00422293" w:rsidRDefault="000F1BA3">
      <w:pPr>
        <w:pStyle w:val="R2"/>
      </w:pPr>
      <w:r>
        <w:tab/>
      </w:r>
      <w:r w:rsidR="000A7661" w:rsidRPr="000A7661">
        <w:t>(3A)</w:t>
      </w:r>
      <w:r>
        <w:tab/>
      </w:r>
      <w:r w:rsidR="000A7661" w:rsidRPr="000A7661">
        <w:t>The primary universal service provider must, within 10 business days of deciding that the circumstance in subparagraph 7(1)(a)(iv) applies to the request, send to the person making the request a statement in writing setting out:</w:t>
      </w:r>
    </w:p>
    <w:p w:rsidR="00422293" w:rsidRDefault="000F1BA3">
      <w:pPr>
        <w:pStyle w:val="P1"/>
        <w:rPr>
          <w:lang w:val="en-US"/>
        </w:rPr>
      </w:pPr>
      <w:r>
        <w:rPr>
          <w:lang w:val="en-US"/>
        </w:rPr>
        <w:tab/>
      </w:r>
      <w:r w:rsidR="000A7661" w:rsidRPr="000A7661">
        <w:rPr>
          <w:lang w:val="en-US"/>
        </w:rPr>
        <w:t>(a)</w:t>
      </w:r>
      <w:r w:rsidR="000A7661" w:rsidRPr="000A7661">
        <w:rPr>
          <w:lang w:val="en-US"/>
        </w:rPr>
        <w:tab/>
      </w:r>
      <w:r w:rsidR="000A7661" w:rsidRPr="000A7661">
        <w:t>the decision of the primary universal service provider not to provide a service to that person based on:</w:t>
      </w:r>
    </w:p>
    <w:p w:rsidR="00422293" w:rsidRDefault="000F1BA3">
      <w:pPr>
        <w:pStyle w:val="P2"/>
        <w:rPr>
          <w:lang w:val="en-US"/>
        </w:rPr>
      </w:pPr>
      <w:r>
        <w:rPr>
          <w:lang w:val="en-US"/>
        </w:rPr>
        <w:tab/>
      </w:r>
      <w:r w:rsidR="000A7661" w:rsidRPr="000A7661">
        <w:rPr>
          <w:lang w:val="en-US"/>
        </w:rPr>
        <w:t>(i)</w:t>
      </w:r>
      <w:r w:rsidR="000A7661" w:rsidRPr="000A7661">
        <w:rPr>
          <w:lang w:val="en-US"/>
        </w:rPr>
        <w:tab/>
        <w:t>the personal credit history of the person making the request; or</w:t>
      </w:r>
    </w:p>
    <w:p w:rsidR="00422293" w:rsidRDefault="000F1BA3">
      <w:pPr>
        <w:pStyle w:val="P2"/>
        <w:rPr>
          <w:lang w:val="en-US"/>
        </w:rPr>
      </w:pPr>
      <w:r>
        <w:rPr>
          <w:lang w:val="en-US"/>
        </w:rPr>
        <w:tab/>
      </w:r>
      <w:r w:rsidR="000A7661" w:rsidRPr="000A7661">
        <w:rPr>
          <w:lang w:val="en-US"/>
        </w:rPr>
        <w:t>(ii)</w:t>
      </w:r>
      <w:r w:rsidR="000A7661" w:rsidRPr="000A7661">
        <w:rPr>
          <w:lang w:val="en-US"/>
        </w:rPr>
        <w:tab/>
        <w:t>any other relevant grounds; and</w:t>
      </w:r>
    </w:p>
    <w:p w:rsidR="00422293" w:rsidRDefault="000F1BA3">
      <w:pPr>
        <w:pStyle w:val="P1"/>
        <w:rPr>
          <w:lang w:val="en-US"/>
        </w:rPr>
      </w:pPr>
      <w:r>
        <w:rPr>
          <w:lang w:val="en-US"/>
        </w:rPr>
        <w:tab/>
      </w:r>
      <w:r w:rsidR="000A7661" w:rsidRPr="000A7661">
        <w:rPr>
          <w:lang w:val="en-US"/>
        </w:rPr>
        <w:t>(b)</w:t>
      </w:r>
      <w:r w:rsidR="000A7661" w:rsidRPr="000A7661">
        <w:rPr>
          <w:lang w:val="en-US"/>
        </w:rPr>
        <w:tab/>
        <w:t>the entitlement of that person to request that the primary universal service provider reconsider the decision not to provide a service to that person;</w:t>
      </w:r>
    </w:p>
    <w:p w:rsidR="00422293" w:rsidRDefault="000F1BA3" w:rsidP="00D553B3">
      <w:pPr>
        <w:pStyle w:val="R2"/>
        <w:keepNext/>
        <w:rPr>
          <w:lang w:val="en-US"/>
        </w:rPr>
      </w:pPr>
      <w:r>
        <w:lastRenderedPageBreak/>
        <w:tab/>
      </w:r>
      <w:r w:rsidR="000A7661" w:rsidRPr="000A7661">
        <w:t>(3B)</w:t>
      </w:r>
      <w:r w:rsidR="000A7661" w:rsidRPr="000A7661">
        <w:tab/>
        <w:t xml:space="preserve">If a person makes a request under paragraph (3A)(b) </w:t>
      </w:r>
      <w:r w:rsidR="000A7661" w:rsidRPr="000A7661">
        <w:rPr>
          <w:lang w:val="en-US"/>
        </w:rPr>
        <w:t>that the primary universal service provider reconsider the decision not to provide a service to that person,</w:t>
      </w:r>
      <w:r w:rsidR="000A7661" w:rsidRPr="000A7661">
        <w:t xml:space="preserve"> and the primary universal service provider decides that the circumstance in subparagraph 7(1)(a)(iv) continues to apply to that person’s request for a standard telephone service, the primary universal service provider must, within 10 business days of deciding that the circumstance continues to apply, </w:t>
      </w:r>
      <w:r w:rsidR="000A7661" w:rsidRPr="000A7661">
        <w:rPr>
          <w:lang w:val="en-US"/>
        </w:rPr>
        <w:t xml:space="preserve">send to the person making the request for a standard telephone service a statement in writing setting out: </w:t>
      </w:r>
    </w:p>
    <w:p w:rsidR="00422293" w:rsidRDefault="000F1BA3">
      <w:pPr>
        <w:pStyle w:val="P1"/>
      </w:pPr>
      <w:r>
        <w:tab/>
      </w:r>
      <w:r w:rsidR="000A7661" w:rsidRPr="000A7661">
        <w:t>(a)</w:t>
      </w:r>
      <w:r w:rsidR="000A7661" w:rsidRPr="000A7661">
        <w:tab/>
      </w:r>
      <w:r w:rsidR="000A7661" w:rsidRPr="000A7661">
        <w:rPr>
          <w:lang w:val="en-US"/>
        </w:rPr>
        <w:t>the decision of the primary universal service provider that the obligation to supply a standard telephone service does not apply to the request; and</w:t>
      </w:r>
    </w:p>
    <w:p w:rsidR="00422293" w:rsidRDefault="000F1BA3">
      <w:pPr>
        <w:pStyle w:val="P1"/>
        <w:rPr>
          <w:lang w:val="en-US"/>
        </w:rPr>
      </w:pPr>
      <w:r>
        <w:rPr>
          <w:lang w:val="en-US"/>
        </w:rPr>
        <w:tab/>
      </w:r>
      <w:r w:rsidR="000A7661" w:rsidRPr="000A7661">
        <w:rPr>
          <w:lang w:val="en-US"/>
        </w:rPr>
        <w:t>(b)</w:t>
      </w:r>
      <w:r w:rsidR="000A7661" w:rsidRPr="000A7661">
        <w:rPr>
          <w:lang w:val="en-US"/>
        </w:rPr>
        <w:tab/>
        <w:t>the reliance of the primary universal service provider in basing its decision not to supply a standard telephone service on:</w:t>
      </w:r>
    </w:p>
    <w:p w:rsidR="00422293" w:rsidRDefault="000F1BA3">
      <w:pPr>
        <w:pStyle w:val="P2"/>
        <w:rPr>
          <w:lang w:val="en-US"/>
        </w:rPr>
      </w:pPr>
      <w:r>
        <w:rPr>
          <w:lang w:val="en-US"/>
        </w:rPr>
        <w:tab/>
      </w:r>
      <w:r w:rsidR="000A7661" w:rsidRPr="000A7661">
        <w:rPr>
          <w:lang w:val="en-US"/>
        </w:rPr>
        <w:t>(i)</w:t>
      </w:r>
      <w:r w:rsidR="000A7661" w:rsidRPr="000A7661">
        <w:rPr>
          <w:lang w:val="en-US"/>
        </w:rPr>
        <w:tab/>
        <w:t>the personal credit history of the person making the request; or</w:t>
      </w:r>
    </w:p>
    <w:p w:rsidR="00422293" w:rsidRDefault="000F1BA3">
      <w:pPr>
        <w:pStyle w:val="P2"/>
        <w:rPr>
          <w:lang w:val="en-US"/>
        </w:rPr>
      </w:pPr>
      <w:r>
        <w:rPr>
          <w:lang w:val="en-US"/>
        </w:rPr>
        <w:tab/>
      </w:r>
      <w:r w:rsidR="000A7661" w:rsidRPr="000A7661">
        <w:rPr>
          <w:lang w:val="en-US"/>
        </w:rPr>
        <w:t>(ii)</w:t>
      </w:r>
      <w:r w:rsidR="000A7661" w:rsidRPr="000A7661">
        <w:rPr>
          <w:lang w:val="en-US"/>
        </w:rPr>
        <w:tab/>
        <w:t>any other relevant grounds; and</w:t>
      </w:r>
    </w:p>
    <w:p w:rsidR="00422293" w:rsidRDefault="000F1BA3">
      <w:pPr>
        <w:pStyle w:val="P1"/>
        <w:rPr>
          <w:lang w:val="en-US"/>
        </w:rPr>
      </w:pPr>
      <w:r>
        <w:rPr>
          <w:lang w:val="en-US"/>
        </w:rPr>
        <w:tab/>
      </w:r>
      <w:r w:rsidR="000A7661" w:rsidRPr="000A7661">
        <w:rPr>
          <w:lang w:val="en-US"/>
        </w:rPr>
        <w:t>(c)</w:t>
      </w:r>
      <w:r w:rsidR="000A7661" w:rsidRPr="000A7661">
        <w:rPr>
          <w:lang w:val="en-US"/>
        </w:rPr>
        <w:tab/>
        <w:t>the entitlement of the person making the request to dispute that the circumstance in subparagraph 7(1)(a)(iv) applies to the request by:</w:t>
      </w:r>
    </w:p>
    <w:p w:rsidR="00422293" w:rsidRDefault="000F1BA3">
      <w:pPr>
        <w:pStyle w:val="P2"/>
      </w:pPr>
      <w:r>
        <w:tab/>
      </w:r>
      <w:r w:rsidR="000A7661" w:rsidRPr="000A7661">
        <w:t>(i)</w:t>
      </w:r>
      <w:r w:rsidR="000A7661" w:rsidRPr="000A7661">
        <w:tab/>
      </w:r>
      <w:r w:rsidR="000A7661" w:rsidRPr="000A7661">
        <w:rPr>
          <w:lang w:val="en-US"/>
        </w:rPr>
        <w:t>requesting the primary universal service provider to reconsider whether the grounds referred to in paragraph (3B)(b) exist or are a proper basis for the primary universal service provider to form the view that the obligation to supply a standard telephone service does not arise; or</w:t>
      </w:r>
    </w:p>
    <w:p w:rsidR="00422293" w:rsidRDefault="000F1BA3">
      <w:pPr>
        <w:pStyle w:val="P2"/>
      </w:pPr>
      <w:r>
        <w:tab/>
      </w:r>
      <w:r w:rsidR="000A7661" w:rsidRPr="000A7661">
        <w:t>(ii)</w:t>
      </w:r>
      <w:r w:rsidR="000A7661" w:rsidRPr="000A7661">
        <w:tab/>
      </w:r>
      <w:r w:rsidR="000A7661" w:rsidRPr="000A7661">
        <w:rPr>
          <w:lang w:val="en-US"/>
        </w:rPr>
        <w:t>complaining to the Telecommunications Industry Ombudsman, following such a request for reconsideration; and</w:t>
      </w:r>
    </w:p>
    <w:p w:rsidR="00422293" w:rsidRDefault="00FE7D28" w:rsidP="00D044E4">
      <w:pPr>
        <w:pStyle w:val="Note"/>
        <w:ind w:left="1418"/>
      </w:pPr>
      <w:r w:rsidRPr="006E6087">
        <w:rPr>
          <w:i/>
        </w:rPr>
        <w:t>Note</w:t>
      </w:r>
      <w:r w:rsidR="008433A5" w:rsidRPr="006E6087">
        <w:rPr>
          <w:i/>
        </w:rPr>
        <w:t> </w:t>
      </w:r>
      <w:r w:rsidR="008433A5">
        <w:t>  </w:t>
      </w:r>
      <w:r w:rsidR="000A7661" w:rsidRPr="000A7661">
        <w:t>The Telecommunications Industry Ombudsman will not investigate or facilitate the resolution of a complaint made following a request for reconsideration where it determines that:</w:t>
      </w:r>
    </w:p>
    <w:p w:rsidR="00422293" w:rsidRDefault="000A7661">
      <w:pPr>
        <w:pStyle w:val="Notepara"/>
        <w:ind w:left="1985" w:hanging="567"/>
      </w:pPr>
      <w:r w:rsidRPr="000A7661">
        <w:t>(a)</w:t>
      </w:r>
      <w:r w:rsidRPr="000A7661">
        <w:tab/>
        <w:t>the person making the request is not a person who may make a complaint to the Telecommunications Industry Ombudsman; or</w:t>
      </w:r>
    </w:p>
    <w:p w:rsidR="00422293" w:rsidRDefault="000A7661">
      <w:pPr>
        <w:pStyle w:val="Notepara"/>
        <w:ind w:left="1985" w:hanging="567"/>
      </w:pPr>
      <w:r w:rsidRPr="000A7661">
        <w:t>(b)</w:t>
      </w:r>
      <w:r w:rsidRPr="000A7661">
        <w:tab/>
        <w:t>the Telecommunications Industry Ombudsman does not have the jurisdiction to investigate or facilitate the resolution of that complaint.</w:t>
      </w:r>
    </w:p>
    <w:p w:rsidR="00422293" w:rsidRDefault="000F1BA3">
      <w:pPr>
        <w:pStyle w:val="P1"/>
      </w:pPr>
      <w:r>
        <w:tab/>
      </w:r>
      <w:r w:rsidR="000A7661" w:rsidRPr="000A7661">
        <w:t>(d)</w:t>
      </w:r>
      <w:r w:rsidR="000A7661" w:rsidRPr="000A7661">
        <w:tab/>
        <w:t xml:space="preserve">how the person </w:t>
      </w:r>
      <w:r w:rsidR="000A7661" w:rsidRPr="000A7661">
        <w:rPr>
          <w:lang w:val="en-US"/>
        </w:rPr>
        <w:t>making</w:t>
      </w:r>
      <w:r w:rsidR="000A7661" w:rsidRPr="000A7661">
        <w:t xml:space="preserve"> the request can contact the primary universal service provider and the Telecommunications Industry Ombudsman.</w:t>
      </w:r>
    </w:p>
    <w:p w:rsidR="00422293" w:rsidRDefault="000F1BA3">
      <w:pPr>
        <w:pStyle w:val="R2"/>
      </w:pPr>
      <w:r>
        <w:tab/>
      </w:r>
      <w:r w:rsidR="000A7661">
        <w:t>(3C)</w:t>
      </w:r>
      <w:r w:rsidR="000A7661" w:rsidRPr="000A7661">
        <w:tab/>
        <w:t>The primary universal service provider must, within 10 business days of deciding that the circumstance in subparagraph 7(1)(a)(v) applies to the request, send to the person making the request a statement in writing setting out:</w:t>
      </w:r>
    </w:p>
    <w:p w:rsidR="00422293" w:rsidRDefault="000F1BA3">
      <w:pPr>
        <w:pStyle w:val="P1"/>
      </w:pPr>
      <w:r>
        <w:tab/>
      </w:r>
      <w:r w:rsidR="000A7661" w:rsidRPr="000A7661">
        <w:t>(a)</w:t>
      </w:r>
      <w:r w:rsidR="000A7661" w:rsidRPr="000A7661">
        <w:tab/>
      </w:r>
      <w:r w:rsidR="000A7661" w:rsidRPr="000A7661">
        <w:rPr>
          <w:lang w:val="en-US"/>
        </w:rPr>
        <w:t>the decision of the primary universal service provider that the obligation to supply a standard telephone service does not apply to the request; and</w:t>
      </w:r>
    </w:p>
    <w:p w:rsidR="00422293" w:rsidRDefault="000F1BA3">
      <w:pPr>
        <w:pStyle w:val="P1"/>
      </w:pPr>
      <w:r>
        <w:tab/>
      </w:r>
      <w:r w:rsidR="000A7661" w:rsidRPr="000A7661">
        <w:t>(b)</w:t>
      </w:r>
      <w:r w:rsidR="000A7661" w:rsidRPr="000A7661">
        <w:tab/>
      </w:r>
      <w:r w:rsidR="000A7661" w:rsidRPr="000A7661">
        <w:rPr>
          <w:lang w:val="en-US"/>
        </w:rPr>
        <w:t>the reliance of the primary universal service provider in basing its decision not to supply a standard telephone service on information provided by the person making the request to the primary universal service provider; and</w:t>
      </w:r>
      <w:r w:rsidR="000A7661" w:rsidRPr="000A7661">
        <w:t xml:space="preserve"> </w:t>
      </w:r>
    </w:p>
    <w:p w:rsidR="00422293" w:rsidRDefault="000F1BA3">
      <w:pPr>
        <w:pStyle w:val="P1"/>
        <w:rPr>
          <w:lang w:val="en-US"/>
        </w:rPr>
      </w:pPr>
      <w:r>
        <w:rPr>
          <w:lang w:val="en-US"/>
        </w:rPr>
        <w:tab/>
      </w:r>
      <w:r w:rsidR="000A7661" w:rsidRPr="000A7661">
        <w:rPr>
          <w:lang w:val="en-US"/>
        </w:rPr>
        <w:t>(c)</w:t>
      </w:r>
      <w:r w:rsidR="000A7661" w:rsidRPr="000A7661">
        <w:rPr>
          <w:lang w:val="en-US"/>
        </w:rPr>
        <w:tab/>
        <w:t>the entitlement of the person making the request to dispute the decision not to supply a standard telephone service by:</w:t>
      </w:r>
    </w:p>
    <w:p w:rsidR="00422293" w:rsidRDefault="000F1BA3">
      <w:pPr>
        <w:pStyle w:val="P2"/>
      </w:pPr>
      <w:r>
        <w:lastRenderedPageBreak/>
        <w:tab/>
      </w:r>
      <w:r w:rsidR="000A7661" w:rsidRPr="000A7661">
        <w:t>(i)</w:t>
      </w:r>
      <w:r w:rsidR="000A7661" w:rsidRPr="000A7661">
        <w:tab/>
      </w:r>
      <w:r w:rsidR="000A7661" w:rsidRPr="000A7661">
        <w:rPr>
          <w:lang w:val="en-US"/>
        </w:rPr>
        <w:t>requesting the primary universal service provider to reconsider whether the grounds referred to in paragraph (3C)(b) exist or are a proper basis for the primary universal service provider to form the view that the obligation to supply a standard telephone service does not arise; or</w:t>
      </w:r>
    </w:p>
    <w:p w:rsidR="00422293" w:rsidRDefault="000F1BA3">
      <w:pPr>
        <w:pStyle w:val="P2"/>
      </w:pPr>
      <w:r>
        <w:tab/>
      </w:r>
      <w:r w:rsidR="000A7661" w:rsidRPr="000A7661">
        <w:t>(ii)</w:t>
      </w:r>
      <w:r w:rsidR="000A7661" w:rsidRPr="000A7661">
        <w:tab/>
      </w:r>
      <w:r w:rsidR="000A7661" w:rsidRPr="000A7661">
        <w:rPr>
          <w:lang w:val="en-US"/>
        </w:rPr>
        <w:t>complaining to the Telecommunications Industry Ombudsman, following such a request for reconsideration; and</w:t>
      </w:r>
    </w:p>
    <w:p w:rsidR="00422293" w:rsidRDefault="00FE7D28">
      <w:pPr>
        <w:pStyle w:val="Note"/>
        <w:ind w:left="1418"/>
      </w:pPr>
      <w:r w:rsidRPr="006E6087">
        <w:rPr>
          <w:i/>
        </w:rPr>
        <w:t>Note</w:t>
      </w:r>
      <w:r w:rsidR="000F1BA3">
        <w:t>   </w:t>
      </w:r>
      <w:r w:rsidR="000A7661" w:rsidRPr="000A7661">
        <w:t>The Telecommunications Industry Ombudsman will not investigate or facilitate the resolution of a complaint made following a request for reconsideration where it determines that:</w:t>
      </w:r>
    </w:p>
    <w:p w:rsidR="00422293" w:rsidRDefault="000A7661">
      <w:pPr>
        <w:pStyle w:val="Notepara"/>
        <w:ind w:left="1985" w:hanging="567"/>
      </w:pPr>
      <w:r w:rsidRPr="000A7661">
        <w:t>(a)</w:t>
      </w:r>
      <w:r w:rsidRPr="000A7661">
        <w:tab/>
        <w:t>the person making the request is not a person who may make a complaint to the Telecommunications Industry Ombudsman; or</w:t>
      </w:r>
    </w:p>
    <w:p w:rsidR="00422293" w:rsidRDefault="000A7661">
      <w:pPr>
        <w:pStyle w:val="Notepara"/>
        <w:ind w:left="1985" w:hanging="567"/>
      </w:pPr>
      <w:r w:rsidRPr="000A7661">
        <w:t>(b)</w:t>
      </w:r>
      <w:r w:rsidRPr="000A7661">
        <w:tab/>
        <w:t>the Telecommunications Industry Ombudsman does not have the jurisdiction to investigate or facilitate the resolution of that complaint.</w:t>
      </w:r>
    </w:p>
    <w:p w:rsidR="00422293" w:rsidRDefault="000F1BA3">
      <w:pPr>
        <w:pStyle w:val="P1"/>
      </w:pPr>
      <w:r>
        <w:tab/>
      </w:r>
      <w:r w:rsidR="000A7661" w:rsidRPr="000A7661">
        <w:t>(d)</w:t>
      </w:r>
      <w:r w:rsidR="000A7661" w:rsidRPr="000A7661">
        <w:tab/>
        <w:t>how the person making the request can contact the primary universal service provider and the Telecommunications Industry Ombudsman.</w:t>
      </w:r>
    </w:p>
    <w:p w:rsidR="00FD5A86" w:rsidRDefault="00F40E52" w:rsidP="00F40E52">
      <w:pPr>
        <w:pStyle w:val="R2"/>
        <w:rPr>
          <w:lang w:val="en-US"/>
        </w:rPr>
      </w:pPr>
      <w:r>
        <w:rPr>
          <w:lang w:val="en-US"/>
        </w:rPr>
        <w:tab/>
      </w:r>
      <w:r w:rsidR="00FD5A86">
        <w:rPr>
          <w:lang w:val="en-US"/>
        </w:rPr>
        <w:t>(4)</w:t>
      </w:r>
      <w:r w:rsidR="00FD5A86">
        <w:rPr>
          <w:lang w:val="en-US"/>
        </w:rPr>
        <w:tab/>
      </w:r>
      <w:r w:rsidR="00FD5A86" w:rsidRPr="009B3CFD">
        <w:t xml:space="preserve">The primary universal service provider must, </w:t>
      </w:r>
      <w:r w:rsidR="00FD5A86" w:rsidRPr="009B3CFD">
        <w:rPr>
          <w:lang w:val="en-US"/>
        </w:rPr>
        <w:t xml:space="preserve">within 10 business days of </w:t>
      </w:r>
      <w:r w:rsidR="00FD5A86">
        <w:rPr>
          <w:lang w:val="en-US"/>
        </w:rPr>
        <w:t>deciding</w:t>
      </w:r>
      <w:r w:rsidR="00FD5A86" w:rsidRPr="009B3CFD">
        <w:rPr>
          <w:lang w:val="en-US"/>
        </w:rPr>
        <w:t xml:space="preserve"> </w:t>
      </w:r>
      <w:r w:rsidR="00FD5A86" w:rsidRPr="00821EB0">
        <w:t>that</w:t>
      </w:r>
      <w:r w:rsidR="00FD5A86" w:rsidRPr="009B3CFD">
        <w:rPr>
          <w:lang w:val="en-US"/>
        </w:rPr>
        <w:t xml:space="preserve"> one or more of the circumstances in </w:t>
      </w:r>
      <w:r w:rsidR="00FD5A86">
        <w:rPr>
          <w:lang w:val="en-US"/>
        </w:rPr>
        <w:t>subsection</w:t>
      </w:r>
      <w:r w:rsidR="00FD5A86" w:rsidRPr="009B3CFD">
        <w:rPr>
          <w:lang w:val="en-US"/>
        </w:rPr>
        <w:t xml:space="preserve"> </w:t>
      </w:r>
      <w:r w:rsidR="00FD5A86">
        <w:rPr>
          <w:lang w:val="en-US"/>
        </w:rPr>
        <w:t>7</w:t>
      </w:r>
      <w:r w:rsidR="00FD5A86" w:rsidRPr="009B3CFD">
        <w:rPr>
          <w:lang w:val="en-US"/>
        </w:rPr>
        <w:t>(</w:t>
      </w:r>
      <w:r w:rsidR="00FD5A86">
        <w:rPr>
          <w:lang w:val="en-US"/>
        </w:rPr>
        <w:t>4</w:t>
      </w:r>
      <w:r w:rsidR="00FD5A86" w:rsidRPr="009B3CFD">
        <w:rPr>
          <w:lang w:val="en-US"/>
        </w:rPr>
        <w:t xml:space="preserve">) applies to the request, provide </w:t>
      </w:r>
      <w:r w:rsidR="00FD5A86">
        <w:rPr>
          <w:lang w:val="en-US"/>
        </w:rPr>
        <w:t>to the person making the request a statement in writing setting out:</w:t>
      </w:r>
    </w:p>
    <w:p w:rsidR="00FD5A86" w:rsidRPr="00821EB0" w:rsidRDefault="00F40E52" w:rsidP="00F40E52">
      <w:pPr>
        <w:pStyle w:val="P1"/>
        <w:rPr>
          <w:lang w:val="en-US"/>
        </w:rPr>
      </w:pPr>
      <w:r>
        <w:rPr>
          <w:lang w:val="en-US"/>
        </w:rPr>
        <w:tab/>
      </w:r>
      <w:r w:rsidR="00FD5A86" w:rsidRPr="00821EB0">
        <w:rPr>
          <w:lang w:val="en-US"/>
        </w:rPr>
        <w:t>(a)</w:t>
      </w:r>
      <w:r w:rsidR="00FD5A86" w:rsidRPr="00821EB0">
        <w:rPr>
          <w:lang w:val="en-US"/>
        </w:rPr>
        <w:tab/>
        <w:t>which of the circumstances listed in subsection</w:t>
      </w:r>
      <w:r w:rsidR="00FD5A86">
        <w:rPr>
          <w:lang w:val="en-US"/>
        </w:rPr>
        <w:t xml:space="preserve"> 7(4</w:t>
      </w:r>
      <w:r w:rsidR="00FD5A86" w:rsidRPr="00821EB0">
        <w:rPr>
          <w:lang w:val="en-US"/>
        </w:rPr>
        <w:t>) the primary universal service provider is relying on in coming to its decision that the obligation to supply a standard telephone service</w:t>
      </w:r>
      <w:r w:rsidR="00D379E9" w:rsidRPr="00D379E9">
        <w:rPr>
          <w:sz w:val="26"/>
          <w:szCs w:val="26"/>
        </w:rPr>
        <w:t xml:space="preserve"> </w:t>
      </w:r>
      <w:r w:rsidR="000A7661" w:rsidRPr="000A7661">
        <w:rPr>
          <w:lang w:val="en-US"/>
        </w:rPr>
        <w:t>does not arise for a period</w:t>
      </w:r>
      <w:r w:rsidR="00FD5A86" w:rsidRPr="00821EB0">
        <w:rPr>
          <w:lang w:val="en-US"/>
        </w:rPr>
        <w:t>; and</w:t>
      </w:r>
    </w:p>
    <w:p w:rsidR="00FD5A86" w:rsidRPr="00821EB0" w:rsidRDefault="00F40E52" w:rsidP="00F40E52">
      <w:pPr>
        <w:pStyle w:val="P1"/>
        <w:rPr>
          <w:lang w:val="en-US"/>
        </w:rPr>
      </w:pPr>
      <w:r>
        <w:rPr>
          <w:lang w:val="en-US"/>
        </w:rPr>
        <w:tab/>
      </w:r>
      <w:r w:rsidR="00FD5A86" w:rsidRPr="00821EB0">
        <w:rPr>
          <w:lang w:val="en-US"/>
        </w:rPr>
        <w:t>(b)</w:t>
      </w:r>
      <w:r w:rsidR="00FD5A86" w:rsidRPr="00821EB0">
        <w:rPr>
          <w:lang w:val="en-US"/>
        </w:rPr>
        <w:tab/>
        <w:t>the grounds on which the primary universal service provider has based its judgment that that circumstance, or each of those circumstances, applies to the request; and</w:t>
      </w:r>
    </w:p>
    <w:p w:rsidR="00422293" w:rsidRDefault="00D379E9">
      <w:pPr>
        <w:pStyle w:val="P1"/>
        <w:rPr>
          <w:lang w:val="en-US"/>
        </w:rPr>
      </w:pPr>
      <w:r>
        <w:rPr>
          <w:lang w:val="en-US"/>
        </w:rPr>
        <w:tab/>
      </w:r>
      <w:r w:rsidR="000A7661" w:rsidRPr="000A7661">
        <w:rPr>
          <w:lang w:val="en-US"/>
        </w:rPr>
        <w:t>(ba)</w:t>
      </w:r>
      <w:r w:rsidR="000A7661" w:rsidRPr="000A7661">
        <w:rPr>
          <w:lang w:val="en-US"/>
        </w:rPr>
        <w:tab/>
        <w:t>if practicable, an estimate by the primary universal service provider of the period of time for which that circumstance, or each of those circumstances, applies to the request; and</w:t>
      </w:r>
    </w:p>
    <w:p w:rsidR="00FD5A86" w:rsidRPr="00821EB0" w:rsidRDefault="00F40E52" w:rsidP="00F40E52">
      <w:pPr>
        <w:pStyle w:val="P1"/>
        <w:rPr>
          <w:lang w:val="en-US"/>
        </w:rPr>
      </w:pPr>
      <w:r>
        <w:rPr>
          <w:lang w:val="en-US"/>
        </w:rPr>
        <w:tab/>
      </w:r>
      <w:r w:rsidR="00FD5A86" w:rsidRPr="00821EB0">
        <w:rPr>
          <w:lang w:val="en-US"/>
        </w:rPr>
        <w:t>(c)</w:t>
      </w:r>
      <w:r w:rsidR="00FD5A86" w:rsidRPr="00821EB0">
        <w:rPr>
          <w:lang w:val="en-US"/>
        </w:rPr>
        <w:tab/>
        <w:t>the entitlement of the person making the request to dispute that the circumstance applies to the request by:</w:t>
      </w:r>
    </w:p>
    <w:p w:rsidR="00FD5A86" w:rsidRPr="00821EB0" w:rsidRDefault="00F40E52" w:rsidP="00F40E52">
      <w:pPr>
        <w:pStyle w:val="P2"/>
        <w:rPr>
          <w:lang w:val="en-US"/>
        </w:rPr>
      </w:pPr>
      <w:r>
        <w:rPr>
          <w:lang w:val="en-US"/>
        </w:rPr>
        <w:tab/>
      </w:r>
      <w:r w:rsidR="00FD5A86" w:rsidRPr="00821EB0">
        <w:rPr>
          <w:lang w:val="en-US"/>
        </w:rPr>
        <w:t>(i)</w:t>
      </w:r>
      <w:r w:rsidR="00FD5A86" w:rsidRPr="00821EB0">
        <w:rPr>
          <w:lang w:val="en-US"/>
        </w:rPr>
        <w:tab/>
        <w:t>requesting the primary universal service pro</w:t>
      </w:r>
      <w:r w:rsidR="00FD5A86">
        <w:rPr>
          <w:lang w:val="en-US"/>
        </w:rPr>
        <w:t>vider to reconsider whether th</w:t>
      </w:r>
      <w:r w:rsidR="00FD5A86" w:rsidRPr="00821EB0">
        <w:rPr>
          <w:lang w:val="en-US"/>
        </w:rPr>
        <w:t>e grounds</w:t>
      </w:r>
      <w:r w:rsidR="00FD5A86">
        <w:rPr>
          <w:lang w:val="en-US"/>
        </w:rPr>
        <w:t xml:space="preserve"> referred to in paragraph (4)(b)</w:t>
      </w:r>
      <w:r w:rsidR="00FD5A86" w:rsidRPr="00821EB0">
        <w:rPr>
          <w:lang w:val="en-US"/>
        </w:rPr>
        <w:t xml:space="preserve"> </w:t>
      </w:r>
      <w:r w:rsidR="00FD5A86">
        <w:rPr>
          <w:lang w:val="en-US"/>
        </w:rPr>
        <w:t xml:space="preserve">exist or </w:t>
      </w:r>
      <w:r w:rsidR="00FD5A86" w:rsidRPr="00821EB0">
        <w:rPr>
          <w:lang w:val="en-US"/>
        </w:rPr>
        <w:t>are a proper basis for the primary universal service provider to form the view that the obligation to supply a standard telephone service does not arise; or</w:t>
      </w:r>
    </w:p>
    <w:p w:rsidR="00FD5A86" w:rsidRPr="00821EB0" w:rsidRDefault="00F40E52" w:rsidP="00F40E52">
      <w:pPr>
        <w:pStyle w:val="P2"/>
        <w:rPr>
          <w:lang w:val="en-US"/>
        </w:rPr>
      </w:pPr>
      <w:r>
        <w:rPr>
          <w:lang w:val="en-US"/>
        </w:rPr>
        <w:tab/>
      </w:r>
      <w:r w:rsidR="00FD5A86" w:rsidRPr="00821EB0">
        <w:rPr>
          <w:lang w:val="en-US"/>
        </w:rPr>
        <w:t>(ii)</w:t>
      </w:r>
      <w:r w:rsidR="00FD5A86" w:rsidRPr="00821EB0">
        <w:rPr>
          <w:lang w:val="en-US"/>
        </w:rPr>
        <w:tab/>
        <w:t>complaining to the Telecommunications Industry Ombudsman</w:t>
      </w:r>
      <w:r w:rsidR="00FD5A86">
        <w:rPr>
          <w:lang w:val="en-US"/>
        </w:rPr>
        <w:t xml:space="preserve">, </w:t>
      </w:r>
      <w:r w:rsidR="00FD5A86">
        <w:rPr>
          <w:spacing w:val="-3"/>
          <w:lang w:val="en-US"/>
        </w:rPr>
        <w:t>following such a request for reconsideration</w:t>
      </w:r>
      <w:r w:rsidR="00FD5A86" w:rsidRPr="00821EB0">
        <w:rPr>
          <w:lang w:val="en-US"/>
        </w:rPr>
        <w:t>; and</w:t>
      </w:r>
    </w:p>
    <w:p w:rsidR="00422293" w:rsidRDefault="00D379E9">
      <w:pPr>
        <w:pStyle w:val="Note"/>
        <w:ind w:left="1418"/>
      </w:pPr>
      <w:r w:rsidRPr="006E6087">
        <w:rPr>
          <w:i/>
        </w:rPr>
        <w:t>Note</w:t>
      </w:r>
      <w:r>
        <w:t>   The Telecommunications Industry Ombudsman will not investigate or facilitate the resolution of a complaint made following a request for reconsideration where</w:t>
      </w:r>
      <w:r w:rsidRPr="00564D4C">
        <w:t xml:space="preserve"> </w:t>
      </w:r>
      <w:r>
        <w:t>it determines that:</w:t>
      </w:r>
    </w:p>
    <w:p w:rsidR="00422293" w:rsidRDefault="00D379E9">
      <w:pPr>
        <w:pStyle w:val="Notepara"/>
        <w:ind w:left="1985" w:hanging="567"/>
      </w:pPr>
      <w:r>
        <w:t>(a)</w:t>
      </w:r>
      <w:r>
        <w:tab/>
        <w:t>the person making the request is not a person who may make a complaint to the Telecommunications Industry Ombudsman</w:t>
      </w:r>
      <w:r w:rsidRPr="00F8665D">
        <w:t xml:space="preserve">; </w:t>
      </w:r>
      <w:r>
        <w:t>or</w:t>
      </w:r>
    </w:p>
    <w:p w:rsidR="00422293" w:rsidRDefault="00D379E9">
      <w:pPr>
        <w:pStyle w:val="Notepara"/>
        <w:ind w:left="1985" w:hanging="567"/>
      </w:pPr>
      <w:r>
        <w:t>(b)</w:t>
      </w:r>
      <w:r>
        <w:tab/>
        <w:t>the Telecommunications Industry Ombudsman does not have the jurisdiction to investigate or facilitate the resolution of that complaint</w:t>
      </w:r>
      <w:r w:rsidRPr="00F8665D">
        <w:t>.</w:t>
      </w:r>
    </w:p>
    <w:p w:rsidR="00FD5A86" w:rsidRPr="00821EB0" w:rsidRDefault="00F40E52" w:rsidP="00F40E52">
      <w:pPr>
        <w:pStyle w:val="P1"/>
        <w:rPr>
          <w:lang w:val="en-US"/>
        </w:rPr>
      </w:pPr>
      <w:r>
        <w:rPr>
          <w:lang w:val="en-US"/>
        </w:rPr>
        <w:lastRenderedPageBreak/>
        <w:tab/>
      </w:r>
      <w:r w:rsidR="00FD5A86" w:rsidRPr="00821EB0">
        <w:rPr>
          <w:lang w:val="en-US"/>
        </w:rPr>
        <w:t>(d)</w:t>
      </w:r>
      <w:r w:rsidR="00FD5A86" w:rsidRPr="00821EB0">
        <w:rPr>
          <w:lang w:val="en-US"/>
        </w:rPr>
        <w:tab/>
        <w:t>how the person making the request can contact the primary universal service provider and the Telecommunications Industry Ombudsman.</w:t>
      </w:r>
    </w:p>
    <w:p w:rsidR="00422293" w:rsidRDefault="00D379E9" w:rsidP="00D553B3">
      <w:pPr>
        <w:pStyle w:val="R2"/>
        <w:keepNext/>
      </w:pPr>
      <w:r>
        <w:tab/>
      </w:r>
      <w:r w:rsidR="000A7661" w:rsidRPr="000A7661">
        <w:t>(5)</w:t>
      </w:r>
      <w:r w:rsidR="000A7661" w:rsidRPr="000A7661">
        <w:tab/>
        <w:t>In estimating, for the purposes of paragraph (4)(ba), the period of time for which the circumstance, or each of the circumstances, applies to the request, the primary universal service provider must have regard to:</w:t>
      </w:r>
    </w:p>
    <w:p w:rsidR="00422293" w:rsidRDefault="00D379E9">
      <w:pPr>
        <w:pStyle w:val="P1"/>
      </w:pPr>
      <w:r>
        <w:tab/>
      </w:r>
      <w:r w:rsidR="000A7661" w:rsidRPr="000A7661">
        <w:t>(a)</w:t>
      </w:r>
      <w:r w:rsidR="000A7661" w:rsidRPr="000A7661">
        <w:tab/>
        <w:t>the effect, on the ability of the provider to comply with the obligation to supply a standard telephone service on request under paragraph 9(1)(a) or subsection 9(2) of the Act, of the grounds identified by the provider in paragraph (4)(b) on which it has based its judgment that the circumstance, or each of the circumstances, applies to the request; and</w:t>
      </w:r>
    </w:p>
    <w:p w:rsidR="00422293" w:rsidRDefault="00D379E9">
      <w:pPr>
        <w:pStyle w:val="P1"/>
      </w:pPr>
      <w:r>
        <w:tab/>
      </w:r>
      <w:r w:rsidR="000A7661" w:rsidRPr="000A7661">
        <w:t>(b)</w:t>
      </w:r>
      <w:r w:rsidR="000A7661" w:rsidRPr="000A7661">
        <w:tab/>
        <w:t>to the extent practicable, the resources that the provider would have to commit, proportionate to that effect, to:</w:t>
      </w:r>
    </w:p>
    <w:p w:rsidR="00422293" w:rsidRDefault="00D379E9">
      <w:pPr>
        <w:pStyle w:val="P2"/>
      </w:pPr>
      <w:r>
        <w:tab/>
      </w:r>
      <w:r w:rsidR="000A7661" w:rsidRPr="000A7661">
        <w:t>(i)</w:t>
      </w:r>
      <w:r w:rsidR="000A7661" w:rsidRPr="000A7661">
        <w:tab/>
        <w:t>mitigate the consequences of those grounds; and</w:t>
      </w:r>
    </w:p>
    <w:p w:rsidR="00422293" w:rsidRDefault="00D379E9">
      <w:pPr>
        <w:pStyle w:val="P2"/>
      </w:pPr>
      <w:r>
        <w:tab/>
      </w:r>
      <w:r w:rsidR="000A7661" w:rsidRPr="000A7661">
        <w:t>(ii)</w:t>
      </w:r>
      <w:r w:rsidR="000A7661" w:rsidRPr="000A7661">
        <w:tab/>
        <w:t>minimise the duration of those grounds.</w:t>
      </w:r>
    </w:p>
    <w:p w:rsidR="00422293" w:rsidRDefault="00422293">
      <w:pPr>
        <w:pStyle w:val="P2"/>
      </w:pPr>
    </w:p>
    <w:p w:rsidR="00D379E9" w:rsidRDefault="00D379E9" w:rsidP="00D379E9">
      <w:pPr>
        <w:pStyle w:val="MainBodySectionBreak"/>
        <w:sectPr w:rsidR="00D379E9" w:rsidSect="00D379E9">
          <w:headerReference w:type="even" r:id="rId16"/>
          <w:headerReference w:type="default" r:id="rId17"/>
          <w:footerReference w:type="even" r:id="rId18"/>
          <w:footerReference w:type="default" r:id="rId19"/>
          <w:headerReference w:type="first" r:id="rId20"/>
          <w:footerReference w:type="first" r:id="rId21"/>
          <w:pgSz w:w="11907" w:h="16839" w:code="9"/>
          <w:pgMar w:top="1440" w:right="1797" w:bottom="1440" w:left="1797" w:header="720" w:footer="720" w:gutter="0"/>
          <w:cols w:space="708"/>
          <w:docGrid w:linePitch="360"/>
        </w:sectPr>
      </w:pPr>
    </w:p>
    <w:p w:rsidR="00FD5A86" w:rsidRDefault="00FD5A86" w:rsidP="00114FBD">
      <w:pPr>
        <w:pStyle w:val="NoteHeading"/>
      </w:pPr>
      <w:bookmarkStart w:id="21" w:name="_Toc326573994"/>
      <w:r>
        <w:lastRenderedPageBreak/>
        <w:t xml:space="preserve">Notes to the </w:t>
      </w:r>
      <w:r w:rsidR="00F65A7D">
        <w:rPr>
          <w:i/>
          <w:noProof/>
        </w:rPr>
        <w:t>Telecommunications Universal Service Obligation (Standard Telephone Service—Requirements and Circumstances) Determination (No.</w:t>
      </w:r>
      <w:r w:rsidR="00653F76">
        <w:rPr>
          <w:i/>
          <w:noProof/>
        </w:rPr>
        <w:t> </w:t>
      </w:r>
      <w:r w:rsidR="00F65A7D">
        <w:rPr>
          <w:i/>
          <w:noProof/>
        </w:rPr>
        <w:t>1) 2011</w:t>
      </w:r>
      <w:bookmarkEnd w:id="21"/>
    </w:p>
    <w:p w:rsidR="00FD5A86" w:rsidRDefault="00FD5A86" w:rsidP="00114FBD">
      <w:pPr>
        <w:pStyle w:val="ENoteNo"/>
      </w:pPr>
      <w:r>
        <w:t>Note 1</w:t>
      </w:r>
    </w:p>
    <w:p w:rsidR="00FD5A86" w:rsidRPr="00FD5A86" w:rsidRDefault="00FD5A86" w:rsidP="00FD5A86">
      <w:pPr>
        <w:pStyle w:val="EndNotes"/>
      </w:pPr>
      <w:r>
        <w:t xml:space="preserve">The </w:t>
      </w:r>
      <w:r w:rsidR="00DA38EA" w:rsidRPr="001B7C58">
        <w:rPr>
          <w:i/>
        </w:rPr>
        <w:fldChar w:fldCharType="begin"/>
      </w:r>
      <w:r w:rsidRPr="001B7C58">
        <w:rPr>
          <w:i/>
        </w:rPr>
        <w:instrText xml:space="preserve"> STYLEREF  Title </w:instrText>
      </w:r>
      <w:r w:rsidR="00DA38EA" w:rsidRPr="001B7C58">
        <w:rPr>
          <w:i/>
        </w:rPr>
        <w:fldChar w:fldCharType="separate"/>
      </w:r>
      <w:r w:rsidR="00F65A7D">
        <w:rPr>
          <w:i/>
          <w:noProof/>
        </w:rPr>
        <w:t>Telecommunications Universal Service Obligation (Standard Telephone Service—Requirements and Circumstances) Determination (No.</w:t>
      </w:r>
      <w:r w:rsidR="00C20F6E">
        <w:rPr>
          <w:i/>
          <w:noProof/>
        </w:rPr>
        <w:t> </w:t>
      </w:r>
      <w:r w:rsidR="00F65A7D">
        <w:rPr>
          <w:i/>
          <w:noProof/>
        </w:rPr>
        <w:t>1) 2011</w:t>
      </w:r>
      <w:r w:rsidR="00DA38EA" w:rsidRPr="001B7C58">
        <w:rPr>
          <w:i/>
        </w:rPr>
        <w:fldChar w:fldCharType="end"/>
      </w:r>
      <w:r>
        <w:t xml:space="preserve"> (in force under subsections 9(2D) and 9(3) of the </w:t>
      </w:r>
      <w:r w:rsidR="00DA38EA">
        <w:rPr>
          <w:i/>
        </w:rPr>
        <w:fldChar w:fldCharType="begin"/>
      </w:r>
      <w:r>
        <w:rPr>
          <w:i/>
        </w:rPr>
        <w:instrText xml:space="preserve"> STYLEREF  CoverAct </w:instrText>
      </w:r>
      <w:r w:rsidR="00DA38EA">
        <w:rPr>
          <w:i/>
        </w:rPr>
        <w:fldChar w:fldCharType="separate"/>
      </w:r>
      <w:r w:rsidR="00F65A7D">
        <w:rPr>
          <w:i/>
          <w:noProof/>
        </w:rPr>
        <w:t>Telecommunications (Consumer Protection and Service Standards) Act 1999</w:t>
      </w:r>
      <w:r w:rsidR="00DA38EA">
        <w:rPr>
          <w:i/>
        </w:rPr>
        <w:fldChar w:fldCharType="end"/>
      </w:r>
      <w:r>
        <w:t>) as shown in this compilation is amended as indicated in the Tables below.</w:t>
      </w:r>
    </w:p>
    <w:p w:rsidR="00FD5A86" w:rsidRPr="002A0CDE" w:rsidRDefault="00FD5A86" w:rsidP="00114FBD">
      <w:pPr>
        <w:pStyle w:val="TableENotesHeading"/>
        <w:ind w:left="1797" w:hanging="1797"/>
      </w:pPr>
      <w:r w:rsidRPr="00085546">
        <w:rPr>
          <w:rStyle w:val="CharENotesHeading"/>
        </w:rPr>
        <w:t>Table of Instruments</w:t>
      </w:r>
    </w:p>
    <w:tbl>
      <w:tblPr>
        <w:tblW w:w="0" w:type="auto"/>
        <w:jc w:val="center"/>
        <w:tblLayout w:type="fixed"/>
        <w:tblLook w:val="0000"/>
      </w:tblPr>
      <w:tblGrid>
        <w:gridCol w:w="2722"/>
        <w:gridCol w:w="1701"/>
        <w:gridCol w:w="2251"/>
        <w:gridCol w:w="1661"/>
      </w:tblGrid>
      <w:tr w:rsidR="00FD5A86" w:rsidTr="00164110">
        <w:trPr>
          <w:cantSplit/>
          <w:tblHeader/>
          <w:jc w:val="center"/>
        </w:trPr>
        <w:tc>
          <w:tcPr>
            <w:tcW w:w="2722" w:type="dxa"/>
            <w:tcBorders>
              <w:bottom w:val="single" w:sz="4" w:space="0" w:color="auto"/>
            </w:tcBorders>
          </w:tcPr>
          <w:p w:rsidR="00FD5A86" w:rsidRDefault="00FD5A86">
            <w:pPr>
              <w:pStyle w:val="TableColHead"/>
            </w:pPr>
            <w:r>
              <w:t>Title</w:t>
            </w:r>
          </w:p>
        </w:tc>
        <w:tc>
          <w:tcPr>
            <w:tcW w:w="1701" w:type="dxa"/>
            <w:tcBorders>
              <w:bottom w:val="single" w:sz="4" w:space="0" w:color="auto"/>
            </w:tcBorders>
          </w:tcPr>
          <w:p w:rsidR="00FD5A86" w:rsidRPr="002C317A" w:rsidRDefault="00FD5A86" w:rsidP="00FA7BB3">
            <w:pPr>
              <w:pStyle w:val="TableColHead"/>
            </w:pPr>
            <w:r>
              <w:t>Date of FRLI registration</w:t>
            </w:r>
          </w:p>
        </w:tc>
        <w:tc>
          <w:tcPr>
            <w:tcW w:w="2251" w:type="dxa"/>
            <w:tcBorders>
              <w:bottom w:val="single" w:sz="4" w:space="0" w:color="auto"/>
            </w:tcBorders>
          </w:tcPr>
          <w:p w:rsidR="00FD5A86" w:rsidRDefault="00FD5A86">
            <w:pPr>
              <w:pStyle w:val="TableColHead"/>
            </w:pPr>
            <w:r>
              <w:t>Date of</w:t>
            </w:r>
            <w:r>
              <w:br/>
              <w:t>commencement</w:t>
            </w:r>
          </w:p>
        </w:tc>
        <w:tc>
          <w:tcPr>
            <w:tcW w:w="1661" w:type="dxa"/>
            <w:tcBorders>
              <w:bottom w:val="single" w:sz="4" w:space="0" w:color="auto"/>
            </w:tcBorders>
          </w:tcPr>
          <w:p w:rsidR="00FD5A86" w:rsidRDefault="00FD5A86">
            <w:pPr>
              <w:pStyle w:val="TableColHead"/>
            </w:pPr>
            <w:r>
              <w:t>Application, saving or</w:t>
            </w:r>
            <w:r>
              <w:br/>
              <w:t>transitional provisions</w:t>
            </w:r>
          </w:p>
        </w:tc>
      </w:tr>
      <w:tr w:rsidR="00FD5A86" w:rsidTr="00164110">
        <w:trPr>
          <w:cantSplit/>
          <w:jc w:val="center"/>
        </w:trPr>
        <w:tc>
          <w:tcPr>
            <w:tcW w:w="2722" w:type="dxa"/>
          </w:tcPr>
          <w:p w:rsidR="007E0543" w:rsidRDefault="00FA7BB3">
            <w:pPr>
              <w:pStyle w:val="TableOfStatRules"/>
              <w:ind w:left="187" w:hanging="187"/>
              <w:rPr>
                <w:i/>
              </w:rPr>
            </w:pPr>
            <w:r w:rsidRPr="0035125A">
              <w:rPr>
                <w:i/>
              </w:rPr>
              <w:t>Telecommunications Universal Service Obligation (Standard Telephone Service—Requirements and Circumstances) Determination (No. 1) 2011</w:t>
            </w:r>
          </w:p>
        </w:tc>
        <w:tc>
          <w:tcPr>
            <w:tcW w:w="1701" w:type="dxa"/>
          </w:tcPr>
          <w:p w:rsidR="007E0543" w:rsidRDefault="00FA7BB3">
            <w:pPr>
              <w:pStyle w:val="TableOfStatRules"/>
            </w:pPr>
            <w:r>
              <w:t>11 Mar 2011 (</w:t>
            </w:r>
            <w:r w:rsidR="000A7661" w:rsidRPr="006E6087">
              <w:rPr>
                <w:i/>
              </w:rPr>
              <w:t>see</w:t>
            </w:r>
            <w:r w:rsidRPr="006E6087">
              <w:rPr>
                <w:i/>
              </w:rPr>
              <w:t xml:space="preserve"> </w:t>
            </w:r>
            <w:r>
              <w:t>F2011L00417)</w:t>
            </w:r>
          </w:p>
        </w:tc>
        <w:tc>
          <w:tcPr>
            <w:tcW w:w="2251" w:type="dxa"/>
          </w:tcPr>
          <w:p w:rsidR="007E0543" w:rsidRDefault="00164110">
            <w:pPr>
              <w:pStyle w:val="TableOfStatRules"/>
            </w:pPr>
            <w:r>
              <w:t>15 Mar 2011 (</w:t>
            </w:r>
            <w:r w:rsidRPr="00164110">
              <w:rPr>
                <w:i/>
              </w:rPr>
              <w:t xml:space="preserve">see </w:t>
            </w:r>
            <w:r>
              <w:rPr>
                <w:i/>
              </w:rPr>
              <w:br/>
            </w:r>
            <w:r>
              <w:t>s. 2 (b))</w:t>
            </w:r>
          </w:p>
        </w:tc>
        <w:tc>
          <w:tcPr>
            <w:tcW w:w="1661" w:type="dxa"/>
          </w:tcPr>
          <w:p w:rsidR="007E0543" w:rsidRDefault="007E0543">
            <w:pPr>
              <w:pStyle w:val="TableOfStatRules"/>
            </w:pPr>
          </w:p>
        </w:tc>
      </w:tr>
      <w:tr w:rsidR="00FD5A86" w:rsidTr="00164110">
        <w:trPr>
          <w:cantSplit/>
          <w:jc w:val="center"/>
        </w:trPr>
        <w:tc>
          <w:tcPr>
            <w:tcW w:w="2722" w:type="dxa"/>
            <w:tcBorders>
              <w:bottom w:val="single" w:sz="4" w:space="0" w:color="auto"/>
            </w:tcBorders>
          </w:tcPr>
          <w:p w:rsidR="00422293" w:rsidRDefault="00D379E9">
            <w:pPr>
              <w:pStyle w:val="TableOfStatRules"/>
              <w:spacing w:after="60"/>
              <w:ind w:left="187" w:hanging="187"/>
            </w:pPr>
            <w:r w:rsidRPr="0035125A">
              <w:rPr>
                <w:i/>
              </w:rPr>
              <w:t>Telecommunications Universal Service Obligation (Standard Telephone Service—Requirements and Circumstances) Determination (No. 1) 2011</w:t>
            </w:r>
            <w:r>
              <w:rPr>
                <w:i/>
              </w:rPr>
              <w:t xml:space="preserve"> (Amendment No. 1 of 2012)</w:t>
            </w:r>
          </w:p>
        </w:tc>
        <w:tc>
          <w:tcPr>
            <w:tcW w:w="1701" w:type="dxa"/>
            <w:tcBorders>
              <w:bottom w:val="single" w:sz="4" w:space="0" w:color="auto"/>
            </w:tcBorders>
          </w:tcPr>
          <w:p w:rsidR="007E0543" w:rsidRDefault="00D379E9">
            <w:pPr>
              <w:pStyle w:val="TableOfStatRules"/>
              <w:spacing w:after="60"/>
            </w:pPr>
            <w:r>
              <w:t>30 May 2012 (</w:t>
            </w:r>
            <w:r w:rsidR="000A7661" w:rsidRPr="000A7661">
              <w:rPr>
                <w:i/>
              </w:rPr>
              <w:t>see</w:t>
            </w:r>
            <w:r>
              <w:t xml:space="preserve"> F2012L01125)</w:t>
            </w:r>
          </w:p>
        </w:tc>
        <w:tc>
          <w:tcPr>
            <w:tcW w:w="2251" w:type="dxa"/>
            <w:tcBorders>
              <w:bottom w:val="single" w:sz="4" w:space="0" w:color="auto"/>
            </w:tcBorders>
          </w:tcPr>
          <w:p w:rsidR="007E0543" w:rsidRDefault="00D379E9">
            <w:pPr>
              <w:pStyle w:val="TableOfStatRules"/>
              <w:spacing w:after="60"/>
            </w:pPr>
            <w:r>
              <w:t>31 May 2012</w:t>
            </w:r>
          </w:p>
        </w:tc>
        <w:tc>
          <w:tcPr>
            <w:tcW w:w="1661" w:type="dxa"/>
            <w:tcBorders>
              <w:bottom w:val="single" w:sz="4" w:space="0" w:color="auto"/>
            </w:tcBorders>
          </w:tcPr>
          <w:p w:rsidR="007E0543" w:rsidRDefault="00D379E9">
            <w:pPr>
              <w:pStyle w:val="TableOfStatRules"/>
              <w:spacing w:after="60"/>
            </w:pPr>
            <w:r>
              <w:t>—</w:t>
            </w:r>
          </w:p>
        </w:tc>
      </w:tr>
    </w:tbl>
    <w:p w:rsidR="00FD5A86" w:rsidRPr="002A0CDE" w:rsidRDefault="00FD5A86">
      <w:pPr>
        <w:pStyle w:val="TableENotesHeadingAmdt"/>
      </w:pPr>
      <w:r w:rsidRPr="00085546">
        <w:rPr>
          <w:rStyle w:val="CharENotesHeading"/>
        </w:rPr>
        <w:lastRenderedPageBreak/>
        <w:t>Table of Amendments</w:t>
      </w:r>
    </w:p>
    <w:tbl>
      <w:tblPr>
        <w:tblW w:w="0" w:type="auto"/>
        <w:jc w:val="center"/>
        <w:tblLayout w:type="fixed"/>
        <w:tblLook w:val="0000"/>
      </w:tblPr>
      <w:tblGrid>
        <w:gridCol w:w="2438"/>
        <w:gridCol w:w="5892"/>
      </w:tblGrid>
      <w:tr w:rsidR="00FD5A86">
        <w:trPr>
          <w:cantSplit/>
          <w:tblHeader/>
          <w:jc w:val="center"/>
        </w:trPr>
        <w:tc>
          <w:tcPr>
            <w:tcW w:w="8330" w:type="dxa"/>
            <w:gridSpan w:val="2"/>
          </w:tcPr>
          <w:p w:rsidR="00FD5A86" w:rsidRDefault="00FD5A86">
            <w:pPr>
              <w:pStyle w:val="TableOfAmendHead"/>
            </w:pPr>
            <w:r>
              <w:t>ad. = added or inserted      am. = amended      rep. = repealed      rs. = repealed and substituted</w:t>
            </w:r>
          </w:p>
        </w:tc>
      </w:tr>
      <w:tr w:rsidR="00FD5A86">
        <w:trPr>
          <w:tblHeader/>
          <w:jc w:val="center"/>
        </w:trPr>
        <w:tc>
          <w:tcPr>
            <w:tcW w:w="2438" w:type="dxa"/>
            <w:tcBorders>
              <w:top w:val="single" w:sz="4" w:space="0" w:color="auto"/>
              <w:bottom w:val="single" w:sz="4" w:space="0" w:color="auto"/>
            </w:tcBorders>
          </w:tcPr>
          <w:p w:rsidR="00FD5A86" w:rsidRDefault="00FD5A86">
            <w:pPr>
              <w:pStyle w:val="TableColHead"/>
            </w:pPr>
            <w:r>
              <w:t>Provision affected</w:t>
            </w:r>
          </w:p>
        </w:tc>
        <w:tc>
          <w:tcPr>
            <w:tcW w:w="5892" w:type="dxa"/>
            <w:tcBorders>
              <w:top w:val="single" w:sz="4" w:space="0" w:color="auto"/>
              <w:bottom w:val="single" w:sz="4" w:space="0" w:color="auto"/>
            </w:tcBorders>
          </w:tcPr>
          <w:p w:rsidR="00FD5A86" w:rsidRDefault="00FD5A86">
            <w:pPr>
              <w:pStyle w:val="TableColHead"/>
            </w:pPr>
            <w:r>
              <w:t>How affected</w:t>
            </w:r>
          </w:p>
        </w:tc>
      </w:tr>
      <w:tr w:rsidR="004B4E99">
        <w:trPr>
          <w:jc w:val="center"/>
        </w:trPr>
        <w:tc>
          <w:tcPr>
            <w:tcW w:w="2438" w:type="dxa"/>
          </w:tcPr>
          <w:p w:rsidR="004B4E99" w:rsidRPr="004B4E99" w:rsidRDefault="004B4E99">
            <w:pPr>
              <w:pStyle w:val="TableOfAmend"/>
              <w:rPr>
                <w:b/>
              </w:rPr>
            </w:pPr>
            <w:r w:rsidRPr="004B4E99">
              <w:rPr>
                <w:b/>
              </w:rPr>
              <w:t>Part 1</w:t>
            </w:r>
          </w:p>
        </w:tc>
        <w:tc>
          <w:tcPr>
            <w:tcW w:w="5892" w:type="dxa"/>
          </w:tcPr>
          <w:p w:rsidR="004B4E99" w:rsidRDefault="004B4E99">
            <w:pPr>
              <w:pStyle w:val="TableOfAmend"/>
            </w:pPr>
          </w:p>
        </w:tc>
      </w:tr>
      <w:tr w:rsidR="00FD5A86">
        <w:trPr>
          <w:jc w:val="center"/>
        </w:trPr>
        <w:tc>
          <w:tcPr>
            <w:tcW w:w="2438" w:type="dxa"/>
          </w:tcPr>
          <w:p w:rsidR="00FD5A86" w:rsidRDefault="00D379E9">
            <w:pPr>
              <w:pStyle w:val="TableOfAmend"/>
            </w:pPr>
            <w:r>
              <w:t>S. 3</w:t>
            </w:r>
            <w:r>
              <w:tab/>
            </w:r>
          </w:p>
        </w:tc>
        <w:tc>
          <w:tcPr>
            <w:tcW w:w="5892" w:type="dxa"/>
          </w:tcPr>
          <w:p w:rsidR="00FD5A86" w:rsidRDefault="00F65A7D">
            <w:pPr>
              <w:pStyle w:val="TableOfAmend"/>
            </w:pPr>
            <w:r>
              <w:t>am. 2012 No. 1</w:t>
            </w:r>
          </w:p>
        </w:tc>
      </w:tr>
      <w:tr w:rsidR="004B4E99">
        <w:trPr>
          <w:jc w:val="center"/>
        </w:trPr>
        <w:tc>
          <w:tcPr>
            <w:tcW w:w="2438" w:type="dxa"/>
          </w:tcPr>
          <w:p w:rsidR="004B4E99" w:rsidRPr="004B4E99" w:rsidRDefault="004B4E99">
            <w:pPr>
              <w:pStyle w:val="TableOfAmend"/>
              <w:rPr>
                <w:b/>
              </w:rPr>
            </w:pPr>
            <w:r w:rsidRPr="004B4E99">
              <w:rPr>
                <w:b/>
              </w:rPr>
              <w:t>Part 2</w:t>
            </w:r>
          </w:p>
        </w:tc>
        <w:tc>
          <w:tcPr>
            <w:tcW w:w="5892" w:type="dxa"/>
          </w:tcPr>
          <w:p w:rsidR="004B4E99" w:rsidRDefault="004B4E99">
            <w:pPr>
              <w:pStyle w:val="TableOfAmend"/>
            </w:pPr>
          </w:p>
        </w:tc>
      </w:tr>
      <w:tr w:rsidR="004B4E99">
        <w:trPr>
          <w:jc w:val="center"/>
        </w:trPr>
        <w:tc>
          <w:tcPr>
            <w:tcW w:w="2438" w:type="dxa"/>
          </w:tcPr>
          <w:p w:rsidR="004B4E99" w:rsidRPr="004B4E99" w:rsidRDefault="004B4E99">
            <w:pPr>
              <w:pStyle w:val="TableOfAmend"/>
              <w:rPr>
                <w:b/>
              </w:rPr>
            </w:pPr>
            <w:r w:rsidRPr="004B4E99">
              <w:rPr>
                <w:b/>
              </w:rPr>
              <w:t>Division 2</w:t>
            </w:r>
          </w:p>
        </w:tc>
        <w:tc>
          <w:tcPr>
            <w:tcW w:w="5892" w:type="dxa"/>
          </w:tcPr>
          <w:p w:rsidR="004B4E99" w:rsidRDefault="004B4E99">
            <w:pPr>
              <w:pStyle w:val="TableOfAmend"/>
            </w:pPr>
          </w:p>
        </w:tc>
      </w:tr>
      <w:tr w:rsidR="00F65A7D">
        <w:trPr>
          <w:jc w:val="center"/>
        </w:trPr>
        <w:tc>
          <w:tcPr>
            <w:tcW w:w="2438" w:type="dxa"/>
          </w:tcPr>
          <w:p w:rsidR="00F65A7D" w:rsidRDefault="00F65A7D">
            <w:pPr>
              <w:pStyle w:val="TableOfAmend"/>
            </w:pPr>
            <w:r>
              <w:t>S. 7</w:t>
            </w:r>
            <w:r>
              <w:tab/>
            </w:r>
          </w:p>
        </w:tc>
        <w:tc>
          <w:tcPr>
            <w:tcW w:w="5892" w:type="dxa"/>
          </w:tcPr>
          <w:p w:rsidR="00F65A7D" w:rsidRDefault="00F65A7D">
            <w:pPr>
              <w:pStyle w:val="TableOfAmend"/>
            </w:pPr>
            <w:r>
              <w:t>am. 2012 No. 1</w:t>
            </w:r>
          </w:p>
        </w:tc>
      </w:tr>
      <w:tr w:rsidR="00FD5A86" w:rsidTr="003D065D">
        <w:trPr>
          <w:jc w:val="center"/>
        </w:trPr>
        <w:tc>
          <w:tcPr>
            <w:tcW w:w="2438" w:type="dxa"/>
          </w:tcPr>
          <w:p w:rsidR="00422293" w:rsidRDefault="00F65A7D">
            <w:pPr>
              <w:pStyle w:val="TableOfAmend"/>
            </w:pPr>
            <w:r>
              <w:t>S. 8</w:t>
            </w:r>
            <w:r>
              <w:tab/>
            </w:r>
          </w:p>
        </w:tc>
        <w:tc>
          <w:tcPr>
            <w:tcW w:w="5892" w:type="dxa"/>
          </w:tcPr>
          <w:p w:rsidR="00422293" w:rsidRDefault="00F65A7D">
            <w:pPr>
              <w:pStyle w:val="TableOfAmend"/>
            </w:pPr>
            <w:r>
              <w:t>am. 2012 No. 1</w:t>
            </w:r>
          </w:p>
        </w:tc>
      </w:tr>
      <w:tr w:rsidR="004B4E99" w:rsidTr="003D065D">
        <w:trPr>
          <w:jc w:val="center"/>
        </w:trPr>
        <w:tc>
          <w:tcPr>
            <w:tcW w:w="2438" w:type="dxa"/>
          </w:tcPr>
          <w:p w:rsidR="004B4E99" w:rsidRDefault="004B4E99">
            <w:pPr>
              <w:pStyle w:val="TableOfAmend"/>
            </w:pPr>
            <w:r>
              <w:t>Note to s. 8 (3)</w:t>
            </w:r>
            <w:r w:rsidR="00054CA2">
              <w:t xml:space="preserve"> (c)</w:t>
            </w:r>
            <w:r>
              <w:tab/>
            </w:r>
          </w:p>
        </w:tc>
        <w:tc>
          <w:tcPr>
            <w:tcW w:w="5892" w:type="dxa"/>
          </w:tcPr>
          <w:p w:rsidR="004B4E99" w:rsidRDefault="004B4E99">
            <w:pPr>
              <w:pStyle w:val="TableOfAmend"/>
            </w:pPr>
            <w:r>
              <w:t>ad. 2012 No. 1</w:t>
            </w:r>
          </w:p>
        </w:tc>
      </w:tr>
      <w:tr w:rsidR="003D065D">
        <w:trPr>
          <w:jc w:val="center"/>
        </w:trPr>
        <w:tc>
          <w:tcPr>
            <w:tcW w:w="2438" w:type="dxa"/>
            <w:tcBorders>
              <w:bottom w:val="single" w:sz="4" w:space="0" w:color="auto"/>
            </w:tcBorders>
          </w:tcPr>
          <w:p w:rsidR="003D065D" w:rsidRDefault="004B4E99" w:rsidP="004B4E99">
            <w:pPr>
              <w:pStyle w:val="TableOfAmend"/>
              <w:spacing w:after="60"/>
            </w:pPr>
            <w:r>
              <w:t>Note to s. 8 (4)</w:t>
            </w:r>
            <w:r w:rsidR="00054CA2">
              <w:t xml:space="preserve"> (c)</w:t>
            </w:r>
            <w:r>
              <w:tab/>
            </w:r>
          </w:p>
        </w:tc>
        <w:tc>
          <w:tcPr>
            <w:tcW w:w="5892" w:type="dxa"/>
            <w:tcBorders>
              <w:bottom w:val="single" w:sz="4" w:space="0" w:color="auto"/>
            </w:tcBorders>
          </w:tcPr>
          <w:p w:rsidR="003D065D" w:rsidRDefault="004B4E99">
            <w:pPr>
              <w:pStyle w:val="TableOfAmend"/>
              <w:spacing w:after="60"/>
            </w:pPr>
            <w:r>
              <w:t>ad. 2012 No. 1</w:t>
            </w:r>
          </w:p>
        </w:tc>
      </w:tr>
    </w:tbl>
    <w:p w:rsidR="00FA7BB3" w:rsidRDefault="00FA7BB3" w:rsidP="00114FBD">
      <w:pPr>
        <w:pStyle w:val="NotesSectionBreak"/>
      </w:pPr>
    </w:p>
    <w:p w:rsidR="00653F76" w:rsidRPr="00653F76" w:rsidRDefault="00653F76" w:rsidP="00653F76">
      <w:pPr>
        <w:rPr>
          <w:lang w:eastAsia="en-US"/>
        </w:rPr>
        <w:sectPr w:rsidR="00653F76" w:rsidRPr="00653F76" w:rsidSect="00114FBD">
          <w:headerReference w:type="even" r:id="rId22"/>
          <w:headerReference w:type="default" r:id="rId23"/>
          <w:footerReference w:type="even" r:id="rId24"/>
          <w:footerReference w:type="default" r:id="rId25"/>
          <w:headerReference w:type="first" r:id="rId26"/>
          <w:pgSz w:w="11907" w:h="16839" w:code="9"/>
          <w:pgMar w:top="1440" w:right="1797" w:bottom="1440" w:left="1797" w:header="709" w:footer="709" w:gutter="0"/>
          <w:cols w:space="708"/>
          <w:docGrid w:linePitch="360"/>
        </w:sectPr>
      </w:pPr>
    </w:p>
    <w:p w:rsidR="00FD5A86" w:rsidRPr="00FD5A86" w:rsidRDefault="00FD5A86" w:rsidP="00FD5A86"/>
    <w:sectPr w:rsidR="00FD5A86" w:rsidRPr="00FD5A86" w:rsidSect="00BA46A3">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1440" w:right="1797" w:bottom="1440" w:left="1797"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087" w:rsidRDefault="006E6087">
      <w:r>
        <w:separator/>
      </w:r>
    </w:p>
  </w:endnote>
  <w:endnote w:type="continuationSeparator" w:id="0">
    <w:p w:rsidR="006E6087" w:rsidRDefault="006E60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Pr="00F10D43" w:rsidRDefault="006E6087" w:rsidP="00114FBD">
    <w:pPr>
      <w:pStyle w:val="Footerinfo"/>
    </w:pPr>
  </w:p>
  <w:tbl>
    <w:tblPr>
      <w:tblW w:w="0" w:type="auto"/>
      <w:tblBorders>
        <w:top w:val="single" w:sz="4" w:space="0" w:color="auto"/>
      </w:tblBorders>
      <w:tblLayout w:type="fixed"/>
      <w:tblLook w:val="01E0"/>
    </w:tblPr>
    <w:tblGrid>
      <w:gridCol w:w="1701"/>
      <w:gridCol w:w="4933"/>
      <w:gridCol w:w="1701"/>
    </w:tblGrid>
    <w:tr w:rsidR="006E6087" w:rsidRPr="008C43B2">
      <w:tc>
        <w:tcPr>
          <w:tcW w:w="1701" w:type="dxa"/>
          <w:shd w:val="clear" w:color="auto" w:fill="auto"/>
        </w:tcPr>
        <w:p w:rsidR="006E6087" w:rsidRPr="008C43B2" w:rsidRDefault="00DA38EA" w:rsidP="00114FBD">
          <w:pPr>
            <w:pStyle w:val="FooterPageEven"/>
          </w:pPr>
          <w:fldSimple w:instr=" PAGE ">
            <w:r w:rsidR="006E6087">
              <w:rPr>
                <w:noProof/>
              </w:rPr>
              <w:t>6</w:t>
            </w:r>
          </w:fldSimple>
        </w:p>
      </w:tc>
      <w:tc>
        <w:tcPr>
          <w:tcW w:w="4933" w:type="dxa"/>
          <w:shd w:val="clear" w:color="auto" w:fill="auto"/>
        </w:tcPr>
        <w:p w:rsidR="006E6087" w:rsidRPr="008C43B2" w:rsidRDefault="00DA38EA" w:rsidP="00114FBD">
          <w:pPr>
            <w:pStyle w:val="FooterCitation"/>
          </w:pPr>
          <w:fldSimple w:instr=" STYLEREF  Title ">
            <w:r w:rsidR="006E6087">
              <w:rPr>
                <w:noProof/>
              </w:rPr>
              <w:t>Telecommunications Universal Service Obligation (Standard Telephone Service—Requirements and Circumstances) Determination (No. 1) 2011</w:t>
            </w:r>
          </w:fldSimple>
        </w:p>
      </w:tc>
      <w:tc>
        <w:tcPr>
          <w:tcW w:w="1701" w:type="dxa"/>
          <w:shd w:val="clear" w:color="auto" w:fill="auto"/>
        </w:tcPr>
        <w:p w:rsidR="006E6087" w:rsidRPr="008C43B2" w:rsidRDefault="006E6087" w:rsidP="00114FBD">
          <w:pPr>
            <w:pStyle w:val="FooterPageOdd"/>
          </w:pPr>
        </w:p>
      </w:tc>
    </w:tr>
  </w:tbl>
  <w:p w:rsidR="006E6087" w:rsidRPr="00F10D43" w:rsidRDefault="006E6087" w:rsidP="00114FBD">
    <w:pPr>
      <w:pStyle w:val="Footerinfo"/>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Default="006E6087">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Default="006E6087">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Default="006E6087" w:rsidP="00962521">
    <w:pPr>
      <w:pStyle w:val="Footer"/>
    </w:pPr>
  </w:p>
  <w:p w:rsidR="006E6087" w:rsidRPr="00962521" w:rsidRDefault="006E6087" w:rsidP="009625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Pr="00F10D43" w:rsidRDefault="006E6087" w:rsidP="00114FBD">
    <w:pPr>
      <w:pStyle w:val="Footerinfo"/>
    </w:pPr>
  </w:p>
  <w:tbl>
    <w:tblPr>
      <w:tblW w:w="0" w:type="auto"/>
      <w:tblBorders>
        <w:top w:val="single" w:sz="4" w:space="0" w:color="auto"/>
      </w:tblBorders>
      <w:tblLayout w:type="fixed"/>
      <w:tblLook w:val="01E0"/>
    </w:tblPr>
    <w:tblGrid>
      <w:gridCol w:w="1701"/>
      <w:gridCol w:w="4933"/>
      <w:gridCol w:w="1701"/>
    </w:tblGrid>
    <w:tr w:rsidR="006E6087" w:rsidRPr="008C43B2">
      <w:tc>
        <w:tcPr>
          <w:tcW w:w="1701" w:type="dxa"/>
          <w:shd w:val="clear" w:color="auto" w:fill="auto"/>
        </w:tcPr>
        <w:p w:rsidR="006E6087" w:rsidRPr="008C43B2" w:rsidRDefault="006E6087" w:rsidP="00114FBD">
          <w:pPr>
            <w:pStyle w:val="FooterPageOdd"/>
          </w:pPr>
        </w:p>
      </w:tc>
      <w:tc>
        <w:tcPr>
          <w:tcW w:w="4933" w:type="dxa"/>
          <w:shd w:val="clear" w:color="auto" w:fill="auto"/>
        </w:tcPr>
        <w:p w:rsidR="006E6087" w:rsidRPr="008C43B2" w:rsidRDefault="00DA38EA" w:rsidP="00114FBD">
          <w:pPr>
            <w:pStyle w:val="FooterCitation"/>
          </w:pPr>
          <w:fldSimple w:instr=" STYLEREF  Title ">
            <w:r w:rsidR="006E6087">
              <w:rPr>
                <w:noProof/>
              </w:rPr>
              <w:t>Telecommunications Universal Service Obligation (Standard Telephone Service—Requirements and Circumstances) Determination (No. 1) 2011</w:t>
            </w:r>
          </w:fldSimple>
        </w:p>
      </w:tc>
      <w:tc>
        <w:tcPr>
          <w:tcW w:w="1701" w:type="dxa"/>
          <w:shd w:val="clear" w:color="auto" w:fill="auto"/>
        </w:tcPr>
        <w:p w:rsidR="006E6087" w:rsidRPr="008C43B2" w:rsidRDefault="00DA38EA" w:rsidP="00114FBD">
          <w:pPr>
            <w:pStyle w:val="FooterPageOdd"/>
          </w:pPr>
          <w:fldSimple w:instr=" PAGE ">
            <w:r w:rsidR="006E6087">
              <w:rPr>
                <w:noProof/>
              </w:rPr>
              <w:t>23</w:t>
            </w:r>
          </w:fldSimple>
        </w:p>
      </w:tc>
    </w:tr>
  </w:tbl>
  <w:p w:rsidR="006E6087" w:rsidRPr="00F10D43" w:rsidRDefault="006E6087" w:rsidP="00114FBD">
    <w:pPr>
      <w:pStyle w:val="Footerinf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Pr="00F10D43" w:rsidRDefault="006E6087" w:rsidP="00114FBD">
    <w:pPr>
      <w:pStyle w:val="Footerinfo"/>
    </w:pPr>
  </w:p>
  <w:tbl>
    <w:tblPr>
      <w:tblW w:w="0" w:type="auto"/>
      <w:tblBorders>
        <w:top w:val="single" w:sz="4" w:space="0" w:color="auto"/>
      </w:tblBorders>
      <w:tblLayout w:type="fixed"/>
      <w:tblLook w:val="01E0"/>
    </w:tblPr>
    <w:tblGrid>
      <w:gridCol w:w="1701"/>
      <w:gridCol w:w="4933"/>
      <w:gridCol w:w="1701"/>
    </w:tblGrid>
    <w:tr w:rsidR="006E6087" w:rsidRPr="008C43B2">
      <w:tc>
        <w:tcPr>
          <w:tcW w:w="1701" w:type="dxa"/>
          <w:shd w:val="clear" w:color="auto" w:fill="auto"/>
        </w:tcPr>
        <w:p w:rsidR="006E6087" w:rsidRPr="008C43B2" w:rsidRDefault="00DA38EA" w:rsidP="00114FBD">
          <w:pPr>
            <w:pStyle w:val="FooterPageEven"/>
          </w:pPr>
          <w:fldSimple w:instr=" PAGE ">
            <w:r w:rsidR="006D4F91">
              <w:rPr>
                <w:noProof/>
              </w:rPr>
              <w:t>2</w:t>
            </w:r>
          </w:fldSimple>
        </w:p>
      </w:tc>
      <w:tc>
        <w:tcPr>
          <w:tcW w:w="4933" w:type="dxa"/>
          <w:shd w:val="clear" w:color="auto" w:fill="auto"/>
        </w:tcPr>
        <w:p w:rsidR="006E6087" w:rsidRPr="008C43B2" w:rsidRDefault="00DA38EA" w:rsidP="00114FBD">
          <w:pPr>
            <w:pStyle w:val="FooterCitation"/>
          </w:pPr>
          <w:fldSimple w:instr=" STYLEREF  Title ">
            <w:r w:rsidR="006D4F91">
              <w:rPr>
                <w:noProof/>
              </w:rPr>
              <w:t>Telecommunications Universal Service Obligation (Standard Telephone Service—Requirements and Circumstances) Determination (No. 1) 2011</w:t>
            </w:r>
          </w:fldSimple>
        </w:p>
      </w:tc>
      <w:tc>
        <w:tcPr>
          <w:tcW w:w="1701" w:type="dxa"/>
          <w:shd w:val="clear" w:color="auto" w:fill="auto"/>
        </w:tcPr>
        <w:p w:rsidR="006E6087" w:rsidRPr="008C43B2" w:rsidRDefault="006E6087" w:rsidP="00114FBD">
          <w:pPr>
            <w:pStyle w:val="FooterPageOdd"/>
          </w:pPr>
        </w:p>
      </w:tc>
    </w:tr>
  </w:tbl>
  <w:p w:rsidR="006E6087" w:rsidRPr="00F10D43" w:rsidRDefault="006E6087" w:rsidP="00114FBD">
    <w:pPr>
      <w:pStyle w:val="Footerinf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Pr="00F10D43" w:rsidRDefault="006E6087" w:rsidP="00114FBD">
    <w:pPr>
      <w:pStyle w:val="Footerinfo"/>
    </w:pPr>
  </w:p>
  <w:tbl>
    <w:tblPr>
      <w:tblW w:w="0" w:type="auto"/>
      <w:tblBorders>
        <w:top w:val="single" w:sz="4" w:space="0" w:color="auto"/>
      </w:tblBorders>
      <w:tblLayout w:type="fixed"/>
      <w:tblLook w:val="01E0"/>
    </w:tblPr>
    <w:tblGrid>
      <w:gridCol w:w="1701"/>
      <w:gridCol w:w="4933"/>
      <w:gridCol w:w="1701"/>
    </w:tblGrid>
    <w:tr w:rsidR="006E6087" w:rsidRPr="008C43B2">
      <w:tc>
        <w:tcPr>
          <w:tcW w:w="1701" w:type="dxa"/>
          <w:shd w:val="clear" w:color="auto" w:fill="auto"/>
        </w:tcPr>
        <w:p w:rsidR="006E6087" w:rsidRPr="008C43B2" w:rsidRDefault="006E6087" w:rsidP="00114FBD">
          <w:pPr>
            <w:pStyle w:val="FooterPageOdd"/>
          </w:pPr>
        </w:p>
      </w:tc>
      <w:tc>
        <w:tcPr>
          <w:tcW w:w="4933" w:type="dxa"/>
          <w:shd w:val="clear" w:color="auto" w:fill="auto"/>
        </w:tcPr>
        <w:p w:rsidR="006E6087" w:rsidRPr="008C43B2" w:rsidRDefault="00DA38EA" w:rsidP="00114FBD">
          <w:pPr>
            <w:pStyle w:val="FooterCitation"/>
          </w:pPr>
          <w:fldSimple w:instr=" STYLEREF  Title ">
            <w:r w:rsidR="006E6087">
              <w:rPr>
                <w:noProof/>
              </w:rPr>
              <w:t>Telecommunications Universal Service Obligation (Standard Telephone Service—Requirements and Circumstances) Determination (No. 1) 2011</w:t>
            </w:r>
          </w:fldSimple>
        </w:p>
      </w:tc>
      <w:tc>
        <w:tcPr>
          <w:tcW w:w="1701" w:type="dxa"/>
          <w:shd w:val="clear" w:color="auto" w:fill="auto"/>
        </w:tcPr>
        <w:p w:rsidR="006E6087" w:rsidRPr="008C43B2" w:rsidRDefault="00DA38EA" w:rsidP="00114FBD">
          <w:pPr>
            <w:pStyle w:val="FooterPageOdd"/>
          </w:pPr>
          <w:fldSimple w:instr=" PAGE ">
            <w:r w:rsidR="006E6087">
              <w:rPr>
                <w:noProof/>
              </w:rPr>
              <w:t>1</w:t>
            </w:r>
          </w:fldSimple>
        </w:p>
      </w:tc>
    </w:tr>
  </w:tbl>
  <w:p w:rsidR="006E6087" w:rsidRPr="00F10D43" w:rsidRDefault="006E6087" w:rsidP="00114FBD">
    <w:pPr>
      <w:pStyle w:val="Footerinf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Pr="00F10D43" w:rsidRDefault="006E6087" w:rsidP="00D379E9">
    <w:pPr>
      <w:pStyle w:val="Footerinfo"/>
    </w:pPr>
  </w:p>
  <w:tbl>
    <w:tblPr>
      <w:tblW w:w="0" w:type="auto"/>
      <w:tblBorders>
        <w:top w:val="single" w:sz="4" w:space="0" w:color="auto"/>
      </w:tblBorders>
      <w:tblLayout w:type="fixed"/>
      <w:tblLook w:val="01E0"/>
    </w:tblPr>
    <w:tblGrid>
      <w:gridCol w:w="1701"/>
      <w:gridCol w:w="4933"/>
      <w:gridCol w:w="1701"/>
    </w:tblGrid>
    <w:tr w:rsidR="006E6087" w:rsidRPr="008C43B2">
      <w:tc>
        <w:tcPr>
          <w:tcW w:w="1701" w:type="dxa"/>
          <w:shd w:val="clear" w:color="auto" w:fill="auto"/>
        </w:tcPr>
        <w:p w:rsidR="006E6087" w:rsidRPr="008C43B2" w:rsidRDefault="00DA38EA" w:rsidP="00D379E9">
          <w:pPr>
            <w:pStyle w:val="FooterPageEven"/>
          </w:pPr>
          <w:fldSimple w:instr=" PAGE ">
            <w:r w:rsidR="006D4F91">
              <w:rPr>
                <w:noProof/>
              </w:rPr>
              <w:t>8</w:t>
            </w:r>
          </w:fldSimple>
        </w:p>
      </w:tc>
      <w:tc>
        <w:tcPr>
          <w:tcW w:w="4933" w:type="dxa"/>
          <w:shd w:val="clear" w:color="auto" w:fill="auto"/>
        </w:tcPr>
        <w:p w:rsidR="006E6087" w:rsidRPr="008C43B2" w:rsidRDefault="00DA38EA" w:rsidP="00D379E9">
          <w:pPr>
            <w:pStyle w:val="FooterCitation"/>
          </w:pPr>
          <w:fldSimple w:instr=" STYLEREF  Title ">
            <w:r w:rsidR="006D4F91">
              <w:rPr>
                <w:noProof/>
              </w:rPr>
              <w:t>Telecommunications Universal Service Obligation (Standard Telephone Service—Requirements and Circumstances) Determination (No. 1) 2011</w:t>
            </w:r>
          </w:fldSimple>
        </w:p>
      </w:tc>
      <w:tc>
        <w:tcPr>
          <w:tcW w:w="1701" w:type="dxa"/>
          <w:shd w:val="clear" w:color="auto" w:fill="auto"/>
        </w:tcPr>
        <w:p w:rsidR="006E6087" w:rsidRPr="008C43B2" w:rsidRDefault="006E6087" w:rsidP="00D379E9">
          <w:pPr>
            <w:pStyle w:val="FooterPageOdd"/>
          </w:pPr>
        </w:p>
      </w:tc>
    </w:tr>
  </w:tbl>
  <w:p w:rsidR="006E6087" w:rsidRPr="00F10D43" w:rsidRDefault="006E6087" w:rsidP="00D379E9">
    <w:pPr>
      <w:pStyle w:val="Footerinfo"/>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Pr="00F10D43" w:rsidRDefault="006E6087" w:rsidP="00D379E9">
    <w:pPr>
      <w:pStyle w:val="Footerinfo"/>
    </w:pPr>
  </w:p>
  <w:tbl>
    <w:tblPr>
      <w:tblW w:w="0" w:type="auto"/>
      <w:tblBorders>
        <w:top w:val="single" w:sz="4" w:space="0" w:color="auto"/>
      </w:tblBorders>
      <w:tblLayout w:type="fixed"/>
      <w:tblLook w:val="01E0"/>
    </w:tblPr>
    <w:tblGrid>
      <w:gridCol w:w="1701"/>
      <w:gridCol w:w="4933"/>
      <w:gridCol w:w="1701"/>
    </w:tblGrid>
    <w:tr w:rsidR="006E6087" w:rsidRPr="008C43B2">
      <w:tc>
        <w:tcPr>
          <w:tcW w:w="1701" w:type="dxa"/>
          <w:shd w:val="clear" w:color="auto" w:fill="auto"/>
        </w:tcPr>
        <w:p w:rsidR="006E6087" w:rsidRPr="008C43B2" w:rsidRDefault="006E6087" w:rsidP="00D379E9">
          <w:pPr>
            <w:pStyle w:val="FooterPageOdd"/>
          </w:pPr>
        </w:p>
      </w:tc>
      <w:tc>
        <w:tcPr>
          <w:tcW w:w="4933" w:type="dxa"/>
          <w:shd w:val="clear" w:color="auto" w:fill="auto"/>
        </w:tcPr>
        <w:p w:rsidR="006E6087" w:rsidRPr="008C43B2" w:rsidRDefault="00DA38EA" w:rsidP="00D379E9">
          <w:pPr>
            <w:pStyle w:val="FooterCitation"/>
          </w:pPr>
          <w:fldSimple w:instr=" STYLEREF  Title ">
            <w:r w:rsidR="006D4F91">
              <w:rPr>
                <w:noProof/>
              </w:rPr>
              <w:t>Telecommunications Universal Service Obligation (Standard Telephone Service—Requirements and Circumstances) Determination (No. 1) 2011</w:t>
            </w:r>
          </w:fldSimple>
        </w:p>
      </w:tc>
      <w:tc>
        <w:tcPr>
          <w:tcW w:w="1701" w:type="dxa"/>
          <w:shd w:val="clear" w:color="auto" w:fill="auto"/>
        </w:tcPr>
        <w:p w:rsidR="006E6087" w:rsidRPr="008C43B2" w:rsidRDefault="00DA38EA" w:rsidP="00D379E9">
          <w:pPr>
            <w:pStyle w:val="FooterPageOdd"/>
          </w:pPr>
          <w:fldSimple w:instr=" PAGE ">
            <w:r w:rsidR="006D4F91">
              <w:rPr>
                <w:noProof/>
              </w:rPr>
              <w:t>9</w:t>
            </w:r>
          </w:fldSimple>
        </w:p>
      </w:tc>
    </w:tr>
  </w:tbl>
  <w:p w:rsidR="006E6087" w:rsidRPr="00F10D43" w:rsidRDefault="006E6087" w:rsidP="00D379E9">
    <w:pPr>
      <w:pStyle w:val="Footerinfo"/>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Pr="00556EB9" w:rsidRDefault="006E6087" w:rsidP="00D379E9">
    <w:pPr>
      <w:pStyle w:val="FooterCitation"/>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Pr="00F10D43" w:rsidRDefault="006E6087" w:rsidP="00114FBD">
    <w:pPr>
      <w:pStyle w:val="Footerinfo"/>
    </w:pPr>
  </w:p>
  <w:tbl>
    <w:tblPr>
      <w:tblW w:w="0" w:type="auto"/>
      <w:tblBorders>
        <w:top w:val="single" w:sz="4" w:space="0" w:color="auto"/>
      </w:tblBorders>
      <w:tblLayout w:type="fixed"/>
      <w:tblLook w:val="01E0"/>
    </w:tblPr>
    <w:tblGrid>
      <w:gridCol w:w="1701"/>
      <w:gridCol w:w="4933"/>
      <w:gridCol w:w="1701"/>
    </w:tblGrid>
    <w:tr w:rsidR="006E6087" w:rsidRPr="008C43B2">
      <w:tc>
        <w:tcPr>
          <w:tcW w:w="1701" w:type="dxa"/>
          <w:shd w:val="clear" w:color="auto" w:fill="auto"/>
        </w:tcPr>
        <w:p w:rsidR="006E6087" w:rsidRPr="008C43B2" w:rsidRDefault="00DA38EA" w:rsidP="00114FBD">
          <w:pPr>
            <w:pStyle w:val="FooterPageEven"/>
          </w:pPr>
          <w:fldSimple w:instr=" PAGE ">
            <w:r w:rsidR="006D4F91">
              <w:rPr>
                <w:noProof/>
              </w:rPr>
              <w:t>16</w:t>
            </w:r>
          </w:fldSimple>
        </w:p>
      </w:tc>
      <w:tc>
        <w:tcPr>
          <w:tcW w:w="4933" w:type="dxa"/>
          <w:shd w:val="clear" w:color="auto" w:fill="auto"/>
        </w:tcPr>
        <w:p w:rsidR="006E6087" w:rsidRPr="008C43B2" w:rsidRDefault="00DA38EA" w:rsidP="00114FBD">
          <w:pPr>
            <w:pStyle w:val="FooterCitation"/>
          </w:pPr>
          <w:fldSimple w:instr=" STYLEREF  Title ">
            <w:r w:rsidR="006D4F91">
              <w:rPr>
                <w:noProof/>
              </w:rPr>
              <w:t>Telecommunications Universal Service Obligation (Standard Telephone Service—Requirements and Circumstances) Determination (No. 1) 2011</w:t>
            </w:r>
          </w:fldSimple>
        </w:p>
      </w:tc>
      <w:tc>
        <w:tcPr>
          <w:tcW w:w="1701" w:type="dxa"/>
          <w:shd w:val="clear" w:color="auto" w:fill="auto"/>
        </w:tcPr>
        <w:p w:rsidR="006E6087" w:rsidRPr="008C43B2" w:rsidRDefault="006E6087" w:rsidP="00114FBD">
          <w:pPr>
            <w:pStyle w:val="FooterPageOdd"/>
          </w:pPr>
        </w:p>
      </w:tc>
    </w:tr>
  </w:tbl>
  <w:p w:rsidR="006E6087" w:rsidRPr="00F10D43" w:rsidRDefault="006E6087" w:rsidP="00114FBD">
    <w:pPr>
      <w:pStyle w:val="Footerinfo"/>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Pr="00F10D43" w:rsidRDefault="006E6087" w:rsidP="00114FBD">
    <w:pPr>
      <w:pStyle w:val="Footerinfo"/>
    </w:pPr>
  </w:p>
  <w:tbl>
    <w:tblPr>
      <w:tblW w:w="0" w:type="auto"/>
      <w:tblBorders>
        <w:top w:val="single" w:sz="4" w:space="0" w:color="auto"/>
      </w:tblBorders>
      <w:tblLayout w:type="fixed"/>
      <w:tblLook w:val="01E0"/>
    </w:tblPr>
    <w:tblGrid>
      <w:gridCol w:w="1701"/>
      <w:gridCol w:w="4933"/>
      <w:gridCol w:w="1701"/>
    </w:tblGrid>
    <w:tr w:rsidR="006E6087" w:rsidRPr="008C43B2">
      <w:tc>
        <w:tcPr>
          <w:tcW w:w="1701" w:type="dxa"/>
          <w:shd w:val="clear" w:color="auto" w:fill="auto"/>
        </w:tcPr>
        <w:p w:rsidR="006E6087" w:rsidRPr="008C43B2" w:rsidRDefault="006E6087" w:rsidP="00114FBD">
          <w:pPr>
            <w:pStyle w:val="FooterPageOdd"/>
          </w:pPr>
        </w:p>
      </w:tc>
      <w:tc>
        <w:tcPr>
          <w:tcW w:w="4933" w:type="dxa"/>
          <w:shd w:val="clear" w:color="auto" w:fill="auto"/>
        </w:tcPr>
        <w:p w:rsidR="006E6087" w:rsidRPr="008C43B2" w:rsidRDefault="00DA38EA" w:rsidP="00114FBD">
          <w:pPr>
            <w:pStyle w:val="FooterCitation"/>
          </w:pPr>
          <w:fldSimple w:instr=" STYLEREF  Title ">
            <w:r w:rsidR="006D4F91">
              <w:rPr>
                <w:noProof/>
              </w:rPr>
              <w:t>Telecommunications Universal Service Obligation (Standard Telephone Service—Requirements and Circumstances) Determination (No. 1) 2011</w:t>
            </w:r>
          </w:fldSimple>
        </w:p>
      </w:tc>
      <w:tc>
        <w:tcPr>
          <w:tcW w:w="1701" w:type="dxa"/>
          <w:shd w:val="clear" w:color="auto" w:fill="auto"/>
        </w:tcPr>
        <w:p w:rsidR="006E6087" w:rsidRPr="008C43B2" w:rsidRDefault="00DA38EA" w:rsidP="00114FBD">
          <w:pPr>
            <w:pStyle w:val="FooterPageOdd"/>
          </w:pPr>
          <w:fldSimple w:instr=" PAGE ">
            <w:r w:rsidR="006D4F91">
              <w:rPr>
                <w:noProof/>
              </w:rPr>
              <w:t>15</w:t>
            </w:r>
          </w:fldSimple>
        </w:p>
      </w:tc>
    </w:tr>
  </w:tbl>
  <w:p w:rsidR="006E6087" w:rsidRPr="00F10D43" w:rsidRDefault="006E6087" w:rsidP="00114FBD">
    <w:pPr>
      <w:pStyle w:val="Footerinf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087" w:rsidRDefault="006E6087">
      <w:r>
        <w:separator/>
      </w:r>
    </w:p>
  </w:footnote>
  <w:footnote w:type="continuationSeparator" w:id="0">
    <w:p w:rsidR="006E6087" w:rsidRDefault="006E60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14" w:type="dxa"/>
      <w:tblLook w:val="01E0"/>
    </w:tblPr>
    <w:tblGrid>
      <w:gridCol w:w="1546"/>
      <w:gridCol w:w="6868"/>
    </w:tblGrid>
    <w:tr w:rsidR="006E6087">
      <w:tc>
        <w:tcPr>
          <w:tcW w:w="1546" w:type="dxa"/>
        </w:tcPr>
        <w:p w:rsidR="006E6087" w:rsidRDefault="006E6087">
          <w:pPr>
            <w:pStyle w:val="HeaderLiteEven"/>
          </w:pPr>
        </w:p>
      </w:tc>
      <w:tc>
        <w:tcPr>
          <w:tcW w:w="6868" w:type="dxa"/>
          <w:vAlign w:val="bottom"/>
        </w:tcPr>
        <w:p w:rsidR="006E6087" w:rsidRDefault="006E6087">
          <w:pPr>
            <w:pStyle w:val="HeaderLiteEven"/>
          </w:pPr>
        </w:p>
      </w:tc>
    </w:tr>
    <w:tr w:rsidR="006E6087">
      <w:tc>
        <w:tcPr>
          <w:tcW w:w="1546" w:type="dxa"/>
        </w:tcPr>
        <w:p w:rsidR="006E6087" w:rsidRDefault="006E6087">
          <w:pPr>
            <w:pStyle w:val="HeaderLiteEven"/>
          </w:pPr>
        </w:p>
      </w:tc>
      <w:tc>
        <w:tcPr>
          <w:tcW w:w="6868" w:type="dxa"/>
          <w:vAlign w:val="bottom"/>
        </w:tcPr>
        <w:p w:rsidR="006E6087" w:rsidRDefault="006E6087">
          <w:pPr>
            <w:pStyle w:val="HeaderLiteEven"/>
          </w:pPr>
        </w:p>
      </w:tc>
    </w:tr>
    <w:tr w:rsidR="006E6087">
      <w:tc>
        <w:tcPr>
          <w:tcW w:w="8414" w:type="dxa"/>
          <w:gridSpan w:val="2"/>
          <w:tcBorders>
            <w:bottom w:val="single" w:sz="4" w:space="0" w:color="auto"/>
          </w:tcBorders>
          <w:shd w:val="clear" w:color="auto" w:fill="auto"/>
        </w:tcPr>
        <w:p w:rsidR="006E6087" w:rsidRDefault="006E6087">
          <w:pPr>
            <w:pStyle w:val="HeaderLiteEven"/>
            <w:spacing w:before="120" w:after="60"/>
            <w:ind w:right="-108"/>
          </w:pPr>
        </w:p>
      </w:tc>
    </w:tr>
  </w:tbl>
  <w:p w:rsidR="006E6087" w:rsidRDefault="006E6087"/>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Default="006E6087">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Default="006E6087">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Default="006E6087">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Default="006E6087" w:rsidP="00962521">
    <w:pPr>
      <w:pStyle w:val="Header"/>
    </w:pPr>
  </w:p>
  <w:p w:rsidR="006E6087" w:rsidRPr="00962521" w:rsidRDefault="006E6087" w:rsidP="009625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14" w:type="dxa"/>
      <w:tblLook w:val="01E0"/>
    </w:tblPr>
    <w:tblGrid>
      <w:gridCol w:w="6840"/>
      <w:gridCol w:w="1574"/>
    </w:tblGrid>
    <w:tr w:rsidR="006E6087">
      <w:tc>
        <w:tcPr>
          <w:tcW w:w="6840" w:type="dxa"/>
          <w:vAlign w:val="bottom"/>
        </w:tcPr>
        <w:p w:rsidR="006E6087" w:rsidRDefault="006E6087">
          <w:pPr>
            <w:pStyle w:val="HeaderLiteEven"/>
          </w:pPr>
        </w:p>
      </w:tc>
      <w:tc>
        <w:tcPr>
          <w:tcW w:w="1574" w:type="dxa"/>
        </w:tcPr>
        <w:p w:rsidR="006E6087" w:rsidRDefault="006E6087">
          <w:pPr>
            <w:pStyle w:val="HeaderLiteEven"/>
          </w:pPr>
        </w:p>
      </w:tc>
    </w:tr>
    <w:tr w:rsidR="006E6087">
      <w:tc>
        <w:tcPr>
          <w:tcW w:w="6840" w:type="dxa"/>
          <w:vAlign w:val="bottom"/>
        </w:tcPr>
        <w:p w:rsidR="006E6087" w:rsidRDefault="006E6087">
          <w:pPr>
            <w:pStyle w:val="HeaderLiteEven"/>
          </w:pPr>
        </w:p>
      </w:tc>
      <w:tc>
        <w:tcPr>
          <w:tcW w:w="1574" w:type="dxa"/>
        </w:tcPr>
        <w:p w:rsidR="006E6087" w:rsidRDefault="006E6087">
          <w:pPr>
            <w:pStyle w:val="HeaderLiteEven"/>
          </w:pPr>
        </w:p>
      </w:tc>
    </w:tr>
    <w:tr w:rsidR="006E6087">
      <w:tc>
        <w:tcPr>
          <w:tcW w:w="8414" w:type="dxa"/>
          <w:gridSpan w:val="2"/>
          <w:tcBorders>
            <w:bottom w:val="single" w:sz="4" w:space="0" w:color="auto"/>
          </w:tcBorders>
          <w:shd w:val="clear" w:color="auto" w:fill="auto"/>
        </w:tcPr>
        <w:p w:rsidR="006E6087" w:rsidRDefault="006E6087">
          <w:pPr>
            <w:pStyle w:val="HeaderLiteEven"/>
            <w:spacing w:before="120" w:after="60"/>
            <w:ind w:right="-108"/>
          </w:pPr>
        </w:p>
      </w:tc>
    </w:tr>
  </w:tbl>
  <w:p w:rsidR="006E6087" w:rsidRDefault="006E608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14" w:type="dxa"/>
      <w:tblLook w:val="01E0"/>
    </w:tblPr>
    <w:tblGrid>
      <w:gridCol w:w="1546"/>
      <w:gridCol w:w="6868"/>
    </w:tblGrid>
    <w:tr w:rsidR="006E6087">
      <w:tc>
        <w:tcPr>
          <w:tcW w:w="8414" w:type="dxa"/>
          <w:gridSpan w:val="2"/>
        </w:tcPr>
        <w:p w:rsidR="006E6087" w:rsidRDefault="006E6087">
          <w:pPr>
            <w:pStyle w:val="HeaderLiteEven"/>
            <w:ind w:right="-108"/>
          </w:pPr>
          <w:r>
            <w:t>Contents</w:t>
          </w:r>
        </w:p>
      </w:tc>
    </w:tr>
    <w:tr w:rsidR="006E6087">
      <w:tc>
        <w:tcPr>
          <w:tcW w:w="1546" w:type="dxa"/>
        </w:tcPr>
        <w:p w:rsidR="006E6087" w:rsidRDefault="006E6087">
          <w:pPr>
            <w:pStyle w:val="HeaderLiteEven"/>
            <w:ind w:right="-108"/>
          </w:pPr>
        </w:p>
      </w:tc>
      <w:tc>
        <w:tcPr>
          <w:tcW w:w="6868" w:type="dxa"/>
          <w:vAlign w:val="bottom"/>
        </w:tcPr>
        <w:p w:rsidR="006E6087" w:rsidRDefault="006E6087">
          <w:pPr>
            <w:pStyle w:val="HeaderLiteEven"/>
            <w:ind w:right="-108"/>
          </w:pPr>
        </w:p>
      </w:tc>
    </w:tr>
    <w:tr w:rsidR="006E6087">
      <w:tc>
        <w:tcPr>
          <w:tcW w:w="1546" w:type="dxa"/>
          <w:tcBorders>
            <w:bottom w:val="single" w:sz="4" w:space="0" w:color="auto"/>
          </w:tcBorders>
          <w:shd w:val="clear" w:color="auto" w:fill="auto"/>
        </w:tcPr>
        <w:p w:rsidR="006E6087" w:rsidRDefault="006E6087">
          <w:pPr>
            <w:pStyle w:val="HeaderLiteEven"/>
            <w:spacing w:before="120" w:after="60"/>
            <w:ind w:right="-108"/>
          </w:pPr>
        </w:p>
      </w:tc>
      <w:tc>
        <w:tcPr>
          <w:tcW w:w="6868" w:type="dxa"/>
          <w:tcBorders>
            <w:bottom w:val="single" w:sz="4" w:space="0" w:color="auto"/>
          </w:tcBorders>
          <w:shd w:val="clear" w:color="auto" w:fill="auto"/>
          <w:vAlign w:val="bottom"/>
        </w:tcPr>
        <w:p w:rsidR="006E6087" w:rsidRDefault="006E6087">
          <w:pPr>
            <w:pStyle w:val="HeaderLiteEven"/>
            <w:spacing w:before="120" w:after="60"/>
            <w:ind w:right="-108"/>
          </w:pPr>
        </w:p>
      </w:tc>
    </w:tr>
  </w:tbl>
  <w:p w:rsidR="006E6087" w:rsidRPr="001269B3" w:rsidRDefault="006E6087">
    <w:pPr>
      <w:pStyle w:val="HeaderContentsPage"/>
    </w:pPr>
    <w:r>
      <w:t>Page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14" w:type="dxa"/>
      <w:tblLook w:val="01E0"/>
    </w:tblPr>
    <w:tblGrid>
      <w:gridCol w:w="6868"/>
      <w:gridCol w:w="1546"/>
    </w:tblGrid>
    <w:tr w:rsidR="006E6087">
      <w:tc>
        <w:tcPr>
          <w:tcW w:w="8414" w:type="dxa"/>
          <w:gridSpan w:val="2"/>
        </w:tcPr>
        <w:p w:rsidR="006E6087" w:rsidRDefault="006E6087">
          <w:pPr>
            <w:pStyle w:val="HeaderLiteOdd"/>
          </w:pPr>
          <w:r>
            <w:t>Contents</w:t>
          </w:r>
        </w:p>
      </w:tc>
    </w:tr>
    <w:tr w:rsidR="006E6087">
      <w:tc>
        <w:tcPr>
          <w:tcW w:w="6868" w:type="dxa"/>
          <w:vAlign w:val="bottom"/>
        </w:tcPr>
        <w:p w:rsidR="006E6087" w:rsidRDefault="006E6087">
          <w:pPr>
            <w:pStyle w:val="HeaderLiteOdd"/>
          </w:pPr>
        </w:p>
      </w:tc>
      <w:tc>
        <w:tcPr>
          <w:tcW w:w="1546" w:type="dxa"/>
        </w:tcPr>
        <w:p w:rsidR="006E6087" w:rsidRDefault="006E6087">
          <w:pPr>
            <w:pStyle w:val="HeaderLiteOdd"/>
          </w:pPr>
        </w:p>
      </w:tc>
    </w:tr>
    <w:tr w:rsidR="006E6087">
      <w:tc>
        <w:tcPr>
          <w:tcW w:w="6868" w:type="dxa"/>
          <w:tcBorders>
            <w:bottom w:val="single" w:sz="4" w:space="0" w:color="auto"/>
          </w:tcBorders>
          <w:shd w:val="clear" w:color="auto" w:fill="auto"/>
          <w:vAlign w:val="bottom"/>
        </w:tcPr>
        <w:p w:rsidR="006E6087" w:rsidRDefault="006E6087">
          <w:pPr>
            <w:pStyle w:val="HeaderLiteOdd"/>
            <w:spacing w:before="120" w:after="60"/>
          </w:pPr>
        </w:p>
      </w:tc>
      <w:tc>
        <w:tcPr>
          <w:tcW w:w="1546" w:type="dxa"/>
          <w:tcBorders>
            <w:bottom w:val="single" w:sz="4" w:space="0" w:color="auto"/>
          </w:tcBorders>
          <w:shd w:val="clear" w:color="auto" w:fill="auto"/>
        </w:tcPr>
        <w:p w:rsidR="006E6087" w:rsidRDefault="006E6087">
          <w:pPr>
            <w:pStyle w:val="HeaderLiteOdd"/>
            <w:spacing w:before="120" w:after="60"/>
          </w:pPr>
        </w:p>
      </w:tc>
    </w:tr>
  </w:tbl>
  <w:p w:rsidR="006E6087" w:rsidRDefault="006E6087">
    <w:pPr>
      <w:pStyle w:val="HeaderContentsPage"/>
    </w:pPr>
    <w:r>
      <w:t>Page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48"/>
      <w:gridCol w:w="6980"/>
    </w:tblGrid>
    <w:tr w:rsidR="006E6087">
      <w:tc>
        <w:tcPr>
          <w:tcW w:w="1548" w:type="dxa"/>
        </w:tcPr>
        <w:p w:rsidR="006E6087" w:rsidRDefault="00DA38EA">
          <w:pPr>
            <w:pStyle w:val="HeaderLiteEven"/>
          </w:pPr>
          <w:fldSimple w:instr=" STYLEREF  CharPartNo  \* CHARFORMAT ">
            <w:r w:rsidR="006D4F91">
              <w:rPr>
                <w:noProof/>
              </w:rPr>
              <w:t>Part 2</w:t>
            </w:r>
          </w:fldSimple>
        </w:p>
      </w:tc>
      <w:tc>
        <w:tcPr>
          <w:tcW w:w="6980" w:type="dxa"/>
          <w:vAlign w:val="bottom"/>
        </w:tcPr>
        <w:p w:rsidR="006E6087" w:rsidRDefault="00DA38EA">
          <w:pPr>
            <w:pStyle w:val="HeaderLiteEven"/>
          </w:pPr>
          <w:fldSimple w:instr=" STYLEREF  CharPartText  \* CHARFORMAT ">
            <w:r w:rsidR="006D4F91">
              <w:rPr>
                <w:noProof/>
              </w:rPr>
              <w:t>Requirements and Circumstances</w:t>
            </w:r>
          </w:fldSimple>
        </w:p>
      </w:tc>
    </w:tr>
    <w:tr w:rsidR="006E6087">
      <w:tc>
        <w:tcPr>
          <w:tcW w:w="1548" w:type="dxa"/>
        </w:tcPr>
        <w:p w:rsidR="006E6087" w:rsidRDefault="00DA38EA">
          <w:pPr>
            <w:pStyle w:val="HeaderLiteEven"/>
          </w:pPr>
          <w:fldSimple w:instr=" STYLEREF  CharDivNo  \* CHARFORMAT ">
            <w:r w:rsidR="006D4F91">
              <w:rPr>
                <w:noProof/>
              </w:rPr>
              <w:t>Division 2</w:t>
            </w:r>
          </w:fldSimple>
        </w:p>
      </w:tc>
      <w:tc>
        <w:tcPr>
          <w:tcW w:w="6980" w:type="dxa"/>
          <w:vAlign w:val="bottom"/>
        </w:tcPr>
        <w:p w:rsidR="006E6087" w:rsidRDefault="00DA38EA">
          <w:pPr>
            <w:pStyle w:val="HeaderLiteEven"/>
          </w:pPr>
          <w:fldSimple w:instr=" STYLEREF  CharDivText  \* CHARFORMAT ">
            <w:r w:rsidR="006D4F91">
              <w:rPr>
                <w:noProof/>
              </w:rPr>
              <w:t>Circumstances in which the obligation to supply standard telephone services on request does not apply</w:t>
            </w:r>
          </w:fldSimple>
        </w:p>
      </w:tc>
    </w:tr>
    <w:tr w:rsidR="006E6087">
      <w:tc>
        <w:tcPr>
          <w:tcW w:w="8528" w:type="dxa"/>
          <w:gridSpan w:val="2"/>
          <w:tcBorders>
            <w:bottom w:val="single" w:sz="4" w:space="0" w:color="auto"/>
          </w:tcBorders>
          <w:shd w:val="clear" w:color="auto" w:fill="auto"/>
        </w:tcPr>
        <w:p w:rsidR="006E6087" w:rsidRDefault="006E6087">
          <w:pPr>
            <w:pStyle w:val="HeaderBoldEven"/>
          </w:pPr>
          <w:r>
            <w:t xml:space="preserve">Section </w:t>
          </w:r>
          <w:fldSimple w:instr=" STYLEREF  CharSectno  \* CHARFORMAT ">
            <w:r w:rsidR="006D4F91">
              <w:rPr>
                <w:noProof/>
              </w:rPr>
              <w:t>7</w:t>
            </w:r>
          </w:fldSimple>
        </w:p>
      </w:tc>
    </w:tr>
  </w:tbl>
  <w:p w:rsidR="006E6087" w:rsidRDefault="006E608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6798"/>
      <w:gridCol w:w="1548"/>
    </w:tblGrid>
    <w:tr w:rsidR="006E6087">
      <w:tc>
        <w:tcPr>
          <w:tcW w:w="6798" w:type="dxa"/>
          <w:vAlign w:val="bottom"/>
        </w:tcPr>
        <w:p w:rsidR="006E6087" w:rsidRDefault="00DA38EA">
          <w:pPr>
            <w:pStyle w:val="HeaderLiteOdd"/>
          </w:pPr>
          <w:fldSimple w:instr=" STYLEREF  CharPartText \l \* CHARFORMAT ">
            <w:r w:rsidR="006D4F91">
              <w:rPr>
                <w:noProof/>
              </w:rPr>
              <w:t>Requirements and Circumstances</w:t>
            </w:r>
          </w:fldSimple>
        </w:p>
      </w:tc>
      <w:tc>
        <w:tcPr>
          <w:tcW w:w="1548" w:type="dxa"/>
        </w:tcPr>
        <w:p w:rsidR="006E6087" w:rsidRDefault="00DA38EA">
          <w:pPr>
            <w:pStyle w:val="HeaderLiteOdd"/>
          </w:pPr>
          <w:fldSimple w:instr=" STYLEREF  CharPartNo \l \* CHARFORMAT ">
            <w:r w:rsidR="006D4F91">
              <w:rPr>
                <w:noProof/>
              </w:rPr>
              <w:t>Part 2</w:t>
            </w:r>
          </w:fldSimple>
        </w:p>
      </w:tc>
    </w:tr>
    <w:tr w:rsidR="006E6087">
      <w:tc>
        <w:tcPr>
          <w:tcW w:w="6798" w:type="dxa"/>
          <w:vAlign w:val="bottom"/>
        </w:tcPr>
        <w:p w:rsidR="006E6087" w:rsidRDefault="00DA38EA">
          <w:pPr>
            <w:pStyle w:val="HeaderLiteOdd"/>
          </w:pPr>
          <w:fldSimple w:instr=" STYLEREF  CharDivText \l \* CHARFORMAT ">
            <w:r w:rsidR="006D4F91">
              <w:rPr>
                <w:noProof/>
              </w:rPr>
              <w:t>Circumstances in which the obligation to supply standard telephone services on request does not apply</w:t>
            </w:r>
          </w:fldSimple>
        </w:p>
      </w:tc>
      <w:tc>
        <w:tcPr>
          <w:tcW w:w="1548" w:type="dxa"/>
        </w:tcPr>
        <w:p w:rsidR="006E6087" w:rsidRDefault="00DA38EA">
          <w:pPr>
            <w:pStyle w:val="HeaderLiteOdd"/>
          </w:pPr>
          <w:fldSimple w:instr=" STYLEREF  CharDivNo \l \* CHARFORMAT ">
            <w:r w:rsidR="006D4F91">
              <w:rPr>
                <w:noProof/>
              </w:rPr>
              <w:t>Division 2</w:t>
            </w:r>
          </w:fldSimple>
        </w:p>
      </w:tc>
    </w:tr>
    <w:tr w:rsidR="006E6087">
      <w:tc>
        <w:tcPr>
          <w:tcW w:w="1548" w:type="dxa"/>
          <w:gridSpan w:val="2"/>
          <w:tcBorders>
            <w:bottom w:val="single" w:sz="4" w:space="0" w:color="auto"/>
          </w:tcBorders>
          <w:shd w:val="clear" w:color="auto" w:fill="auto"/>
        </w:tcPr>
        <w:p w:rsidR="006E6087" w:rsidRDefault="006E6087">
          <w:pPr>
            <w:pStyle w:val="HeaderBoldOdd"/>
          </w:pPr>
          <w:r>
            <w:t xml:space="preserve">Section </w:t>
          </w:r>
          <w:fldSimple w:instr=" STYLEREF  CharSectno \l \* CHARFORMAT ">
            <w:r w:rsidR="006D4F91">
              <w:rPr>
                <w:noProof/>
              </w:rPr>
              <w:t>7</w:t>
            </w:r>
          </w:fldSimple>
        </w:p>
      </w:tc>
    </w:tr>
  </w:tbl>
  <w:p w:rsidR="006E6087" w:rsidRDefault="006E608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87" w:rsidRDefault="006E6087">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14" w:type="dxa"/>
      <w:tblLook w:val="01E0"/>
    </w:tblPr>
    <w:tblGrid>
      <w:gridCol w:w="8414"/>
    </w:tblGrid>
    <w:tr w:rsidR="006E6087">
      <w:tc>
        <w:tcPr>
          <w:tcW w:w="8414" w:type="dxa"/>
        </w:tcPr>
        <w:p w:rsidR="006E6087" w:rsidRDefault="006E6087">
          <w:pPr>
            <w:pStyle w:val="HeaderLiteEven"/>
          </w:pPr>
          <w:r>
            <w:t>Notes to the</w:t>
          </w:r>
          <w:r w:rsidRPr="000D4CDA">
            <w:t xml:space="preserve"> </w:t>
          </w:r>
          <w:r w:rsidR="00DA38EA" w:rsidRPr="00264A41">
            <w:rPr>
              <w:i/>
            </w:rPr>
            <w:fldChar w:fldCharType="begin"/>
          </w:r>
          <w:r w:rsidRPr="00264A41">
            <w:rPr>
              <w:i/>
            </w:rPr>
            <w:instrText xml:space="preserve"> STYLEREF  Title </w:instrText>
          </w:r>
          <w:r w:rsidR="00DA38EA" w:rsidRPr="00264A41">
            <w:rPr>
              <w:i/>
            </w:rPr>
            <w:fldChar w:fldCharType="separate"/>
          </w:r>
          <w:r w:rsidR="006D4F91">
            <w:rPr>
              <w:i/>
              <w:noProof/>
            </w:rPr>
            <w:t>Telecommunications Universal Service Obligation (Standard Telephone Service—Requirements and Circumstances) Determination (No. 1) 2011</w:t>
          </w:r>
          <w:r w:rsidR="00DA38EA" w:rsidRPr="00264A41">
            <w:rPr>
              <w:i/>
            </w:rPr>
            <w:fldChar w:fldCharType="end"/>
          </w:r>
        </w:p>
      </w:tc>
    </w:tr>
    <w:tr w:rsidR="006E6087">
      <w:tc>
        <w:tcPr>
          <w:tcW w:w="8414" w:type="dxa"/>
        </w:tcPr>
        <w:p w:rsidR="006E6087" w:rsidRDefault="006E6087">
          <w:pPr>
            <w:pStyle w:val="HeaderLiteEven"/>
          </w:pPr>
        </w:p>
      </w:tc>
    </w:tr>
    <w:tr w:rsidR="006E6087">
      <w:tc>
        <w:tcPr>
          <w:tcW w:w="8414" w:type="dxa"/>
          <w:tcBorders>
            <w:bottom w:val="single" w:sz="4" w:space="0" w:color="auto"/>
          </w:tcBorders>
          <w:shd w:val="clear" w:color="auto" w:fill="auto"/>
        </w:tcPr>
        <w:p w:rsidR="006E6087" w:rsidRPr="000D4CDA" w:rsidRDefault="00DA38EA">
          <w:pPr>
            <w:pStyle w:val="HeaderBoldEven"/>
          </w:pPr>
          <w:fldSimple w:instr=" STYLEREF  CharENotesHeading  \* CHARFORMAT ">
            <w:r w:rsidR="006D4F91">
              <w:rPr>
                <w:noProof/>
              </w:rPr>
              <w:t>Table of Amendments</w:t>
            </w:r>
          </w:fldSimple>
        </w:p>
      </w:tc>
    </w:tr>
  </w:tbl>
  <w:p w:rsidR="006E6087" w:rsidRDefault="006E6087"/>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60" w:type="dxa"/>
      <w:tblLook w:val="01E0"/>
    </w:tblPr>
    <w:tblGrid>
      <w:gridCol w:w="8460"/>
    </w:tblGrid>
    <w:tr w:rsidR="006E6087">
      <w:tc>
        <w:tcPr>
          <w:tcW w:w="8460" w:type="dxa"/>
        </w:tcPr>
        <w:p w:rsidR="006E6087" w:rsidRDefault="006E6087">
          <w:pPr>
            <w:pStyle w:val="HeaderLiteOdd"/>
          </w:pPr>
          <w:r>
            <w:t xml:space="preserve">Notes to the </w:t>
          </w:r>
          <w:r w:rsidR="00DA38EA" w:rsidRPr="00264A41">
            <w:rPr>
              <w:i/>
            </w:rPr>
            <w:fldChar w:fldCharType="begin"/>
          </w:r>
          <w:r w:rsidRPr="00264A41">
            <w:rPr>
              <w:i/>
            </w:rPr>
            <w:instrText xml:space="preserve"> STYLEREF  Title </w:instrText>
          </w:r>
          <w:r w:rsidR="00DA38EA" w:rsidRPr="00264A41">
            <w:rPr>
              <w:i/>
            </w:rPr>
            <w:fldChar w:fldCharType="separate"/>
          </w:r>
          <w:r w:rsidR="006D4F91">
            <w:rPr>
              <w:i/>
              <w:noProof/>
            </w:rPr>
            <w:t>Telecommunications Universal Service Obligation (Standard Telephone Service—Requirements and Circumstances) Determination (No. 1) 2011</w:t>
          </w:r>
          <w:r w:rsidR="00DA38EA" w:rsidRPr="00264A41">
            <w:rPr>
              <w:i/>
            </w:rPr>
            <w:fldChar w:fldCharType="end"/>
          </w:r>
        </w:p>
      </w:tc>
    </w:tr>
    <w:tr w:rsidR="006E6087">
      <w:tc>
        <w:tcPr>
          <w:tcW w:w="8460" w:type="dxa"/>
        </w:tcPr>
        <w:p w:rsidR="006E6087" w:rsidRDefault="006E6087">
          <w:pPr>
            <w:pStyle w:val="HeaderLiteOdd"/>
          </w:pPr>
        </w:p>
      </w:tc>
    </w:tr>
    <w:tr w:rsidR="006E6087">
      <w:tc>
        <w:tcPr>
          <w:tcW w:w="8460" w:type="dxa"/>
          <w:tcBorders>
            <w:bottom w:val="single" w:sz="4" w:space="0" w:color="auto"/>
          </w:tcBorders>
          <w:shd w:val="clear" w:color="auto" w:fill="auto"/>
        </w:tcPr>
        <w:p w:rsidR="006E6087" w:rsidRPr="000D4CDA" w:rsidRDefault="00DA38EA">
          <w:pPr>
            <w:pStyle w:val="HeaderBoldOdd"/>
          </w:pPr>
          <w:fldSimple w:instr=" STYLEREF  CharENotesHeading  \* CHARFORMAT ">
            <w:r w:rsidR="006D4F91">
              <w:rPr>
                <w:noProof/>
              </w:rPr>
              <w:t>Table of Instruments</w:t>
            </w:r>
          </w:fldSimple>
        </w:p>
      </w:tc>
    </w:tr>
  </w:tbl>
  <w:p w:rsidR="006E6087" w:rsidRDefault="006E608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0EBA7C"/>
    <w:lvl w:ilvl="0">
      <w:start w:val="1"/>
      <w:numFmt w:val="decimal"/>
      <w:lvlText w:val="%1."/>
      <w:lvlJc w:val="left"/>
      <w:pPr>
        <w:tabs>
          <w:tab w:val="num" w:pos="1492"/>
        </w:tabs>
        <w:ind w:left="1492" w:hanging="360"/>
      </w:pPr>
    </w:lvl>
  </w:abstractNum>
  <w:abstractNum w:abstractNumId="1">
    <w:nsid w:val="FFFFFF7D"/>
    <w:multiLevelType w:val="singleLevel"/>
    <w:tmpl w:val="80DAA32C"/>
    <w:lvl w:ilvl="0">
      <w:start w:val="1"/>
      <w:numFmt w:val="decimal"/>
      <w:lvlText w:val="%1."/>
      <w:lvlJc w:val="left"/>
      <w:pPr>
        <w:tabs>
          <w:tab w:val="num" w:pos="1209"/>
        </w:tabs>
        <w:ind w:left="1209" w:hanging="360"/>
      </w:pPr>
    </w:lvl>
  </w:abstractNum>
  <w:abstractNum w:abstractNumId="2">
    <w:nsid w:val="FFFFFF7E"/>
    <w:multiLevelType w:val="singleLevel"/>
    <w:tmpl w:val="DA44E4AC"/>
    <w:lvl w:ilvl="0">
      <w:start w:val="1"/>
      <w:numFmt w:val="decimal"/>
      <w:lvlText w:val="%1."/>
      <w:lvlJc w:val="left"/>
      <w:pPr>
        <w:tabs>
          <w:tab w:val="num" w:pos="926"/>
        </w:tabs>
        <w:ind w:left="926" w:hanging="360"/>
      </w:pPr>
    </w:lvl>
  </w:abstractNum>
  <w:abstractNum w:abstractNumId="3">
    <w:nsid w:val="FFFFFF7F"/>
    <w:multiLevelType w:val="singleLevel"/>
    <w:tmpl w:val="075C9EF8"/>
    <w:lvl w:ilvl="0">
      <w:start w:val="1"/>
      <w:numFmt w:val="decimal"/>
      <w:lvlText w:val="%1."/>
      <w:lvlJc w:val="left"/>
      <w:pPr>
        <w:tabs>
          <w:tab w:val="num" w:pos="643"/>
        </w:tabs>
        <w:ind w:left="643" w:hanging="360"/>
      </w:pPr>
    </w:lvl>
  </w:abstractNum>
  <w:abstractNum w:abstractNumId="4">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lvlText w:val="%1."/>
      <w:lvlJc w:val="left"/>
      <w:pPr>
        <w:tabs>
          <w:tab w:val="num" w:pos="360"/>
        </w:tabs>
        <w:ind w:left="360" w:hanging="360"/>
      </w:pPr>
    </w:lvl>
  </w:abstractNum>
  <w:abstractNum w:abstractNumId="9">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nsid w:val="01F25801"/>
    <w:multiLevelType w:val="hybridMultilevel"/>
    <w:tmpl w:val="E808002C"/>
    <w:lvl w:ilvl="0" w:tplc="BDB8ADFA">
      <w:start w:val="1"/>
      <w:numFmt w:val="lowerRoman"/>
      <w:lvlText w:val="(%1)"/>
      <w:lvlJc w:val="right"/>
      <w:pPr>
        <w:tabs>
          <w:tab w:val="num" w:pos="2313"/>
        </w:tabs>
        <w:ind w:left="2313"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67D1883"/>
    <w:multiLevelType w:val="multilevel"/>
    <w:tmpl w:val="9DE613D2"/>
    <w:numStyleLink w:val="Style1"/>
  </w:abstractNum>
  <w:abstractNum w:abstractNumId="13">
    <w:nsid w:val="15D83911"/>
    <w:multiLevelType w:val="hybridMultilevel"/>
    <w:tmpl w:val="04B042C6"/>
    <w:lvl w:ilvl="0" w:tplc="EF66B018">
      <w:start w:val="1"/>
      <w:numFmt w:val="lowerLetter"/>
      <w:lvlText w:val="(%1)"/>
      <w:lvlJc w:val="left"/>
      <w:pPr>
        <w:tabs>
          <w:tab w:val="num" w:pos="927"/>
        </w:tabs>
        <w:ind w:left="927"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1F2F128A"/>
    <w:multiLevelType w:val="multilevel"/>
    <w:tmpl w:val="9DE613D2"/>
    <w:styleLink w:val="Style1"/>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right"/>
      <w:pPr>
        <w:ind w:left="2160" w:hanging="180"/>
      </w:pPr>
      <w:rPr>
        <w:rFonts w:cs="Times New Roman" w:hint="default"/>
      </w:rPr>
    </w:lvl>
    <w:lvl w:ilvl="3">
      <w:start w:val="1"/>
      <w:numFmt w:val="lowerRoman"/>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5724D9A"/>
    <w:multiLevelType w:val="hybridMultilevel"/>
    <w:tmpl w:val="BA98EAE4"/>
    <w:lvl w:ilvl="0" w:tplc="AA3C5A30">
      <w:start w:val="1"/>
      <w:numFmt w:val="lowerRoman"/>
      <w:lvlText w:val="(%1)"/>
      <w:lvlJc w:val="right"/>
      <w:pPr>
        <w:tabs>
          <w:tab w:val="num" w:pos="2313"/>
        </w:tabs>
        <w:ind w:left="2313"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A69413A"/>
    <w:multiLevelType w:val="hybridMultilevel"/>
    <w:tmpl w:val="070800BE"/>
    <w:lvl w:ilvl="0" w:tplc="2D8C9E02">
      <w:start w:val="1"/>
      <w:numFmt w:val="lowerRoman"/>
      <w:lvlText w:val="(%1)"/>
      <w:lvlJc w:val="right"/>
      <w:pPr>
        <w:tabs>
          <w:tab w:val="num" w:pos="2313"/>
        </w:tabs>
        <w:ind w:left="2313" w:hanging="360"/>
      </w:pPr>
      <w:rPr>
        <w:rFonts w:cs="Times New Roman" w:hint="default"/>
      </w:rPr>
    </w:lvl>
    <w:lvl w:ilvl="1" w:tplc="0CDEE09A">
      <w:start w:val="1"/>
      <w:numFmt w:val="upperLetter"/>
      <w:lvlText w:val="(%2)"/>
      <w:lvlJc w:val="left"/>
      <w:pPr>
        <w:tabs>
          <w:tab w:val="num" w:pos="1440"/>
        </w:tabs>
        <w:ind w:left="1440" w:hanging="36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nsid w:val="34DD421B"/>
    <w:multiLevelType w:val="hybridMultilevel"/>
    <w:tmpl w:val="9A0C4AE8"/>
    <w:lvl w:ilvl="0" w:tplc="C604015C">
      <w:start w:val="1"/>
      <w:numFmt w:val="lowerLetter"/>
      <w:lvlText w:val="(%1)"/>
      <w:lvlJc w:val="left"/>
      <w:pPr>
        <w:tabs>
          <w:tab w:val="num" w:pos="1287"/>
        </w:tabs>
        <w:ind w:left="1287"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7795869"/>
    <w:multiLevelType w:val="hybridMultilevel"/>
    <w:tmpl w:val="FE56B1AE"/>
    <w:lvl w:ilvl="0" w:tplc="D9B6BC1E">
      <w:start w:val="1"/>
      <w:numFmt w:val="lowerRoman"/>
      <w:lvlText w:val="(%1)"/>
      <w:lvlJc w:val="right"/>
      <w:pPr>
        <w:tabs>
          <w:tab w:val="num" w:pos="2313"/>
        </w:tabs>
        <w:ind w:left="2313"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nsid w:val="37ED3BA3"/>
    <w:multiLevelType w:val="hybridMultilevel"/>
    <w:tmpl w:val="39B654CC"/>
    <w:lvl w:ilvl="0" w:tplc="17F8DE08">
      <w:start w:val="1"/>
      <w:numFmt w:val="lowerLetter"/>
      <w:lvlText w:val="(%1)"/>
      <w:lvlJc w:val="left"/>
      <w:pPr>
        <w:tabs>
          <w:tab w:val="num" w:pos="1287"/>
        </w:tabs>
        <w:ind w:left="1287" w:hanging="360"/>
      </w:pPr>
      <w:rPr>
        <w:rFonts w:cs="Times New Roman" w:hint="default"/>
      </w:rPr>
    </w:lvl>
    <w:lvl w:ilvl="1" w:tplc="0C090019">
      <w:start w:val="1"/>
      <w:numFmt w:val="lowerLetter"/>
      <w:lvlText w:val="%2."/>
      <w:lvlJc w:val="left"/>
      <w:pPr>
        <w:tabs>
          <w:tab w:val="num" w:pos="2367"/>
        </w:tabs>
        <w:ind w:left="2367" w:hanging="360"/>
      </w:pPr>
      <w:rPr>
        <w:rFonts w:cs="Times New Roman"/>
      </w:rPr>
    </w:lvl>
    <w:lvl w:ilvl="2" w:tplc="0C09001B" w:tentative="1">
      <w:start w:val="1"/>
      <w:numFmt w:val="lowerRoman"/>
      <w:lvlText w:val="%3."/>
      <w:lvlJc w:val="right"/>
      <w:pPr>
        <w:tabs>
          <w:tab w:val="num" w:pos="3087"/>
        </w:tabs>
        <w:ind w:left="3087" w:hanging="180"/>
      </w:pPr>
      <w:rPr>
        <w:rFonts w:cs="Times New Roman"/>
      </w:rPr>
    </w:lvl>
    <w:lvl w:ilvl="3" w:tplc="0C09000F" w:tentative="1">
      <w:start w:val="1"/>
      <w:numFmt w:val="decimal"/>
      <w:lvlText w:val="%4."/>
      <w:lvlJc w:val="left"/>
      <w:pPr>
        <w:tabs>
          <w:tab w:val="num" w:pos="3807"/>
        </w:tabs>
        <w:ind w:left="3807" w:hanging="360"/>
      </w:pPr>
      <w:rPr>
        <w:rFonts w:cs="Times New Roman"/>
      </w:rPr>
    </w:lvl>
    <w:lvl w:ilvl="4" w:tplc="0C090019" w:tentative="1">
      <w:start w:val="1"/>
      <w:numFmt w:val="lowerLetter"/>
      <w:lvlText w:val="%5."/>
      <w:lvlJc w:val="left"/>
      <w:pPr>
        <w:tabs>
          <w:tab w:val="num" w:pos="4527"/>
        </w:tabs>
        <w:ind w:left="4527" w:hanging="360"/>
      </w:pPr>
      <w:rPr>
        <w:rFonts w:cs="Times New Roman"/>
      </w:rPr>
    </w:lvl>
    <w:lvl w:ilvl="5" w:tplc="0C09001B" w:tentative="1">
      <w:start w:val="1"/>
      <w:numFmt w:val="lowerRoman"/>
      <w:lvlText w:val="%6."/>
      <w:lvlJc w:val="right"/>
      <w:pPr>
        <w:tabs>
          <w:tab w:val="num" w:pos="5247"/>
        </w:tabs>
        <w:ind w:left="5247" w:hanging="180"/>
      </w:pPr>
      <w:rPr>
        <w:rFonts w:cs="Times New Roman"/>
      </w:rPr>
    </w:lvl>
    <w:lvl w:ilvl="6" w:tplc="0C09000F" w:tentative="1">
      <w:start w:val="1"/>
      <w:numFmt w:val="decimal"/>
      <w:lvlText w:val="%7."/>
      <w:lvlJc w:val="left"/>
      <w:pPr>
        <w:tabs>
          <w:tab w:val="num" w:pos="5967"/>
        </w:tabs>
        <w:ind w:left="5967" w:hanging="360"/>
      </w:pPr>
      <w:rPr>
        <w:rFonts w:cs="Times New Roman"/>
      </w:rPr>
    </w:lvl>
    <w:lvl w:ilvl="7" w:tplc="0C090019" w:tentative="1">
      <w:start w:val="1"/>
      <w:numFmt w:val="lowerLetter"/>
      <w:lvlText w:val="%8."/>
      <w:lvlJc w:val="left"/>
      <w:pPr>
        <w:tabs>
          <w:tab w:val="num" w:pos="6687"/>
        </w:tabs>
        <w:ind w:left="6687" w:hanging="360"/>
      </w:pPr>
      <w:rPr>
        <w:rFonts w:cs="Times New Roman"/>
      </w:rPr>
    </w:lvl>
    <w:lvl w:ilvl="8" w:tplc="0C09001B" w:tentative="1">
      <w:start w:val="1"/>
      <w:numFmt w:val="lowerRoman"/>
      <w:lvlText w:val="%9."/>
      <w:lvlJc w:val="right"/>
      <w:pPr>
        <w:tabs>
          <w:tab w:val="num" w:pos="7407"/>
        </w:tabs>
        <w:ind w:left="7407" w:hanging="180"/>
      </w:pPr>
      <w:rPr>
        <w:rFonts w:cs="Times New Roman"/>
      </w:rPr>
    </w:lvl>
  </w:abstractNum>
  <w:abstractNum w:abstractNumId="21">
    <w:nsid w:val="3C361430"/>
    <w:multiLevelType w:val="hybridMultilevel"/>
    <w:tmpl w:val="CAA4AF1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3D041554"/>
    <w:multiLevelType w:val="hybridMultilevel"/>
    <w:tmpl w:val="BB3A12EA"/>
    <w:lvl w:ilvl="0" w:tplc="CECC0BBC">
      <w:start w:val="1"/>
      <w:numFmt w:val="lowerLetter"/>
      <w:lvlText w:val="(%1)"/>
      <w:lvlJc w:val="left"/>
      <w:pPr>
        <w:tabs>
          <w:tab w:val="num" w:pos="927"/>
        </w:tabs>
        <w:ind w:left="927"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D1639FB"/>
    <w:multiLevelType w:val="hybridMultilevel"/>
    <w:tmpl w:val="2A265C82"/>
    <w:lvl w:ilvl="0" w:tplc="D9B6BC1E">
      <w:start w:val="1"/>
      <w:numFmt w:val="lowerRoman"/>
      <w:lvlText w:val="(%1)"/>
      <w:lvlJc w:val="right"/>
      <w:pPr>
        <w:tabs>
          <w:tab w:val="num" w:pos="2313"/>
        </w:tabs>
        <w:ind w:left="2313"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442E69B8"/>
    <w:multiLevelType w:val="hybridMultilevel"/>
    <w:tmpl w:val="0142779A"/>
    <w:lvl w:ilvl="0" w:tplc="DE7234C2">
      <w:start w:val="1"/>
      <w:numFmt w:val="lowerLetter"/>
      <w:lvlText w:val="(%1)"/>
      <w:lvlJc w:val="left"/>
      <w:pPr>
        <w:tabs>
          <w:tab w:val="num" w:pos="927"/>
        </w:tabs>
        <w:ind w:left="927"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9F330EE"/>
    <w:multiLevelType w:val="hybridMultilevel"/>
    <w:tmpl w:val="B2DA04FE"/>
    <w:lvl w:ilvl="0" w:tplc="8F1CD0C4">
      <w:start w:val="1"/>
      <w:numFmt w:val="lowerLetter"/>
      <w:lvlText w:val="(%1)"/>
      <w:lvlJc w:val="left"/>
      <w:pPr>
        <w:tabs>
          <w:tab w:val="num" w:pos="1287"/>
        </w:tabs>
        <w:ind w:left="1287"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8A501B7"/>
    <w:multiLevelType w:val="hybridMultilevel"/>
    <w:tmpl w:val="9016058A"/>
    <w:lvl w:ilvl="0" w:tplc="77D6D8EE">
      <w:start w:val="1"/>
      <w:numFmt w:val="lowerLetter"/>
      <w:lvlText w:val="(%1)"/>
      <w:lvlJc w:val="left"/>
      <w:pPr>
        <w:tabs>
          <w:tab w:val="num" w:pos="1287"/>
        </w:tabs>
        <w:ind w:left="1287" w:hanging="360"/>
      </w:pPr>
      <w:rPr>
        <w:rFonts w:cs="Times New Roman" w:hint="default"/>
      </w:rPr>
    </w:lvl>
    <w:lvl w:ilvl="1" w:tplc="0C090019">
      <w:start w:val="1"/>
      <w:numFmt w:val="lowerLetter"/>
      <w:lvlText w:val="%2."/>
      <w:lvlJc w:val="left"/>
      <w:pPr>
        <w:tabs>
          <w:tab w:val="num" w:pos="2367"/>
        </w:tabs>
        <w:ind w:left="2367" w:hanging="360"/>
      </w:pPr>
      <w:rPr>
        <w:rFonts w:cs="Times New Roman"/>
      </w:rPr>
    </w:lvl>
    <w:lvl w:ilvl="2" w:tplc="0C09001B">
      <w:start w:val="1"/>
      <w:numFmt w:val="lowerRoman"/>
      <w:lvlText w:val="%3."/>
      <w:lvlJc w:val="right"/>
      <w:pPr>
        <w:tabs>
          <w:tab w:val="num" w:pos="3087"/>
        </w:tabs>
        <w:ind w:left="3087" w:hanging="180"/>
      </w:pPr>
      <w:rPr>
        <w:rFonts w:cs="Times New Roman"/>
      </w:rPr>
    </w:lvl>
    <w:lvl w:ilvl="3" w:tplc="0C09000F" w:tentative="1">
      <w:start w:val="1"/>
      <w:numFmt w:val="decimal"/>
      <w:lvlText w:val="%4."/>
      <w:lvlJc w:val="left"/>
      <w:pPr>
        <w:tabs>
          <w:tab w:val="num" w:pos="3807"/>
        </w:tabs>
        <w:ind w:left="3807" w:hanging="360"/>
      </w:pPr>
      <w:rPr>
        <w:rFonts w:cs="Times New Roman"/>
      </w:rPr>
    </w:lvl>
    <w:lvl w:ilvl="4" w:tplc="0C090019" w:tentative="1">
      <w:start w:val="1"/>
      <w:numFmt w:val="lowerLetter"/>
      <w:lvlText w:val="%5."/>
      <w:lvlJc w:val="left"/>
      <w:pPr>
        <w:tabs>
          <w:tab w:val="num" w:pos="4527"/>
        </w:tabs>
        <w:ind w:left="4527" w:hanging="360"/>
      </w:pPr>
      <w:rPr>
        <w:rFonts w:cs="Times New Roman"/>
      </w:rPr>
    </w:lvl>
    <w:lvl w:ilvl="5" w:tplc="0C09001B" w:tentative="1">
      <w:start w:val="1"/>
      <w:numFmt w:val="lowerRoman"/>
      <w:lvlText w:val="%6."/>
      <w:lvlJc w:val="right"/>
      <w:pPr>
        <w:tabs>
          <w:tab w:val="num" w:pos="5247"/>
        </w:tabs>
        <w:ind w:left="5247" w:hanging="180"/>
      </w:pPr>
      <w:rPr>
        <w:rFonts w:cs="Times New Roman"/>
      </w:rPr>
    </w:lvl>
    <w:lvl w:ilvl="6" w:tplc="0C09000F" w:tentative="1">
      <w:start w:val="1"/>
      <w:numFmt w:val="decimal"/>
      <w:lvlText w:val="%7."/>
      <w:lvlJc w:val="left"/>
      <w:pPr>
        <w:tabs>
          <w:tab w:val="num" w:pos="5967"/>
        </w:tabs>
        <w:ind w:left="5967" w:hanging="360"/>
      </w:pPr>
      <w:rPr>
        <w:rFonts w:cs="Times New Roman"/>
      </w:rPr>
    </w:lvl>
    <w:lvl w:ilvl="7" w:tplc="0C090019" w:tentative="1">
      <w:start w:val="1"/>
      <w:numFmt w:val="lowerLetter"/>
      <w:lvlText w:val="%8."/>
      <w:lvlJc w:val="left"/>
      <w:pPr>
        <w:tabs>
          <w:tab w:val="num" w:pos="6687"/>
        </w:tabs>
        <w:ind w:left="6687" w:hanging="360"/>
      </w:pPr>
      <w:rPr>
        <w:rFonts w:cs="Times New Roman"/>
      </w:rPr>
    </w:lvl>
    <w:lvl w:ilvl="8" w:tplc="0C09001B" w:tentative="1">
      <w:start w:val="1"/>
      <w:numFmt w:val="lowerRoman"/>
      <w:lvlText w:val="%9."/>
      <w:lvlJc w:val="right"/>
      <w:pPr>
        <w:tabs>
          <w:tab w:val="num" w:pos="7407"/>
        </w:tabs>
        <w:ind w:left="7407" w:hanging="180"/>
      </w:pPr>
      <w:rPr>
        <w:rFonts w:cs="Times New Roman"/>
      </w:rPr>
    </w:lvl>
  </w:abstractNum>
  <w:abstractNum w:abstractNumId="28">
    <w:nsid w:val="5D7C1819"/>
    <w:multiLevelType w:val="hybridMultilevel"/>
    <w:tmpl w:val="4A04F5CE"/>
    <w:lvl w:ilvl="0" w:tplc="EE0CC4A0">
      <w:start w:val="1"/>
      <w:numFmt w:val="lowerLetter"/>
      <w:lvlText w:val="(%1)"/>
      <w:lvlJc w:val="left"/>
      <w:pPr>
        <w:tabs>
          <w:tab w:val="num" w:pos="1287"/>
        </w:tabs>
        <w:ind w:left="1287"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D820FFC"/>
    <w:multiLevelType w:val="hybridMultilevel"/>
    <w:tmpl w:val="CA084BC6"/>
    <w:lvl w:ilvl="0" w:tplc="0CDEE09A">
      <w:start w:val="1"/>
      <w:numFmt w:val="upperLetter"/>
      <w:lvlText w:val="(%1)"/>
      <w:lvlJc w:val="left"/>
      <w:pPr>
        <w:tabs>
          <w:tab w:val="num" w:pos="1440"/>
        </w:tabs>
        <w:ind w:left="144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5F395CE7"/>
    <w:multiLevelType w:val="hybridMultilevel"/>
    <w:tmpl w:val="9D9869A0"/>
    <w:lvl w:ilvl="0" w:tplc="F84C3F7A">
      <w:start w:val="1"/>
      <w:numFmt w:val="lowerRoman"/>
      <w:lvlText w:val="(%1)"/>
      <w:lvlJc w:val="right"/>
      <w:pPr>
        <w:tabs>
          <w:tab w:val="num" w:pos="2313"/>
        </w:tabs>
        <w:ind w:left="2313"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B6851CF"/>
    <w:multiLevelType w:val="hybridMultilevel"/>
    <w:tmpl w:val="2F36962E"/>
    <w:lvl w:ilvl="0" w:tplc="77D6D8EE">
      <w:start w:val="1"/>
      <w:numFmt w:val="lowerLetter"/>
      <w:lvlText w:val="(%1)"/>
      <w:lvlJc w:val="left"/>
      <w:pPr>
        <w:tabs>
          <w:tab w:val="num" w:pos="927"/>
        </w:tabs>
        <w:ind w:left="927" w:hanging="360"/>
      </w:pPr>
      <w:rPr>
        <w:rFonts w:cs="Times New Roman" w:hint="default"/>
      </w:rPr>
    </w:lvl>
    <w:lvl w:ilvl="1" w:tplc="71B0064C">
      <w:start w:val="1"/>
      <w:numFmt w:val="lowerRoman"/>
      <w:lvlText w:val="(%2)"/>
      <w:lvlJc w:val="right"/>
      <w:pPr>
        <w:tabs>
          <w:tab w:val="num" w:pos="2007"/>
        </w:tabs>
        <w:ind w:left="2007" w:hanging="360"/>
      </w:pPr>
      <w:rPr>
        <w:rFonts w:cs="Times New Roman" w:hint="default"/>
      </w:rPr>
    </w:lvl>
    <w:lvl w:ilvl="2" w:tplc="0C09001B" w:tentative="1">
      <w:start w:val="1"/>
      <w:numFmt w:val="lowerRoman"/>
      <w:lvlText w:val="%3."/>
      <w:lvlJc w:val="right"/>
      <w:pPr>
        <w:tabs>
          <w:tab w:val="num" w:pos="2727"/>
        </w:tabs>
        <w:ind w:left="2727" w:hanging="180"/>
      </w:pPr>
      <w:rPr>
        <w:rFonts w:cs="Times New Roman"/>
      </w:rPr>
    </w:lvl>
    <w:lvl w:ilvl="3" w:tplc="0C09000F" w:tentative="1">
      <w:start w:val="1"/>
      <w:numFmt w:val="decimal"/>
      <w:lvlText w:val="%4."/>
      <w:lvlJc w:val="left"/>
      <w:pPr>
        <w:tabs>
          <w:tab w:val="num" w:pos="3447"/>
        </w:tabs>
        <w:ind w:left="3447" w:hanging="360"/>
      </w:pPr>
      <w:rPr>
        <w:rFonts w:cs="Times New Roman"/>
      </w:rPr>
    </w:lvl>
    <w:lvl w:ilvl="4" w:tplc="0C090019" w:tentative="1">
      <w:start w:val="1"/>
      <w:numFmt w:val="lowerLetter"/>
      <w:lvlText w:val="%5."/>
      <w:lvlJc w:val="left"/>
      <w:pPr>
        <w:tabs>
          <w:tab w:val="num" w:pos="4167"/>
        </w:tabs>
        <w:ind w:left="4167" w:hanging="360"/>
      </w:pPr>
      <w:rPr>
        <w:rFonts w:cs="Times New Roman"/>
      </w:rPr>
    </w:lvl>
    <w:lvl w:ilvl="5" w:tplc="0C09001B" w:tentative="1">
      <w:start w:val="1"/>
      <w:numFmt w:val="lowerRoman"/>
      <w:lvlText w:val="%6."/>
      <w:lvlJc w:val="right"/>
      <w:pPr>
        <w:tabs>
          <w:tab w:val="num" w:pos="4887"/>
        </w:tabs>
        <w:ind w:left="4887" w:hanging="180"/>
      </w:pPr>
      <w:rPr>
        <w:rFonts w:cs="Times New Roman"/>
      </w:rPr>
    </w:lvl>
    <w:lvl w:ilvl="6" w:tplc="0C09000F" w:tentative="1">
      <w:start w:val="1"/>
      <w:numFmt w:val="decimal"/>
      <w:lvlText w:val="%7."/>
      <w:lvlJc w:val="left"/>
      <w:pPr>
        <w:tabs>
          <w:tab w:val="num" w:pos="5607"/>
        </w:tabs>
        <w:ind w:left="5607" w:hanging="360"/>
      </w:pPr>
      <w:rPr>
        <w:rFonts w:cs="Times New Roman"/>
      </w:rPr>
    </w:lvl>
    <w:lvl w:ilvl="7" w:tplc="0C090019" w:tentative="1">
      <w:start w:val="1"/>
      <w:numFmt w:val="lowerLetter"/>
      <w:lvlText w:val="%8."/>
      <w:lvlJc w:val="left"/>
      <w:pPr>
        <w:tabs>
          <w:tab w:val="num" w:pos="6327"/>
        </w:tabs>
        <w:ind w:left="6327" w:hanging="360"/>
      </w:pPr>
      <w:rPr>
        <w:rFonts w:cs="Times New Roman"/>
      </w:rPr>
    </w:lvl>
    <w:lvl w:ilvl="8" w:tplc="0C09001B" w:tentative="1">
      <w:start w:val="1"/>
      <w:numFmt w:val="lowerRoman"/>
      <w:lvlText w:val="%9."/>
      <w:lvlJc w:val="right"/>
      <w:pPr>
        <w:tabs>
          <w:tab w:val="num" w:pos="7047"/>
        </w:tabs>
        <w:ind w:left="7047" w:hanging="180"/>
      </w:pPr>
      <w:rPr>
        <w:rFonts w:cs="Times New Roman"/>
      </w:rPr>
    </w:lvl>
  </w:abstractNum>
  <w:abstractNum w:abstractNumId="33">
    <w:nsid w:val="6D900798"/>
    <w:multiLevelType w:val="hybridMultilevel"/>
    <w:tmpl w:val="206A03D2"/>
    <w:lvl w:ilvl="0" w:tplc="D80242E6">
      <w:start w:val="1"/>
      <w:numFmt w:val="lowerRoman"/>
      <w:lvlText w:val="(%1)"/>
      <w:lvlJc w:val="right"/>
      <w:pPr>
        <w:tabs>
          <w:tab w:val="num" w:pos="2313"/>
        </w:tabs>
        <w:ind w:left="2313"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nsid w:val="704B4B79"/>
    <w:multiLevelType w:val="hybridMultilevel"/>
    <w:tmpl w:val="308CC940"/>
    <w:lvl w:ilvl="0" w:tplc="B628C826">
      <w:start w:val="1"/>
      <w:numFmt w:val="lowerRoman"/>
      <w:lvlText w:val="(%1)"/>
      <w:lvlJc w:val="right"/>
      <w:pPr>
        <w:tabs>
          <w:tab w:val="num" w:pos="2313"/>
        </w:tabs>
        <w:ind w:left="2313"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nsid w:val="71B86046"/>
    <w:multiLevelType w:val="multilevel"/>
    <w:tmpl w:val="9430914C"/>
    <w:lvl w:ilvl="0">
      <w:start w:val="1"/>
      <w:numFmt w:val="lowerLetter"/>
      <w:lvlText w:val="(%1)"/>
      <w:lvlJc w:val="left"/>
      <w:pPr>
        <w:tabs>
          <w:tab w:val="num" w:pos="1440"/>
        </w:tabs>
        <w:ind w:left="1440" w:hanging="360"/>
      </w:pPr>
      <w:rPr>
        <w:rFonts w:cs="Times New Roman" w:hint="default"/>
        <w:i w:val="0"/>
        <w:sz w:val="20"/>
        <w:szCs w:val="2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nsid w:val="7C19107F"/>
    <w:multiLevelType w:val="hybridMultilevel"/>
    <w:tmpl w:val="04E4DF1C"/>
    <w:lvl w:ilvl="0" w:tplc="F6D86A14">
      <w:start w:val="1"/>
      <w:numFmt w:val="lowerLetter"/>
      <w:lvlText w:val="(%1)"/>
      <w:lvlJc w:val="left"/>
      <w:pPr>
        <w:tabs>
          <w:tab w:val="num" w:pos="927"/>
        </w:tabs>
        <w:ind w:left="927"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C2C7D70"/>
    <w:multiLevelType w:val="hybridMultilevel"/>
    <w:tmpl w:val="EFFEA0E2"/>
    <w:lvl w:ilvl="0" w:tplc="5FB41228">
      <w:start w:val="1"/>
      <w:numFmt w:val="lowerLetter"/>
      <w:lvlText w:val="(%1)"/>
      <w:lvlJc w:val="left"/>
      <w:pPr>
        <w:tabs>
          <w:tab w:val="num" w:pos="1287"/>
        </w:tabs>
        <w:ind w:left="1287" w:hanging="360"/>
      </w:pPr>
      <w:rPr>
        <w:rFonts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5"/>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4"/>
  </w:num>
  <w:num w:numId="16">
    <w:abstractNumId w:val="32"/>
  </w:num>
  <w:num w:numId="17">
    <w:abstractNumId w:val="35"/>
  </w:num>
  <w:num w:numId="18">
    <w:abstractNumId w:val="20"/>
  </w:num>
  <w:num w:numId="19">
    <w:abstractNumId w:val="17"/>
  </w:num>
  <w:num w:numId="20">
    <w:abstractNumId w:val="21"/>
  </w:num>
  <w:num w:numId="21">
    <w:abstractNumId w:val="23"/>
  </w:num>
  <w:num w:numId="22">
    <w:abstractNumId w:val="27"/>
  </w:num>
  <w:num w:numId="23">
    <w:abstractNumId w:val="34"/>
  </w:num>
  <w:num w:numId="24">
    <w:abstractNumId w:val="10"/>
  </w:num>
  <w:num w:numId="25">
    <w:abstractNumId w:val="33"/>
  </w:num>
  <w:num w:numId="26">
    <w:abstractNumId w:val="13"/>
  </w:num>
  <w:num w:numId="27">
    <w:abstractNumId w:val="19"/>
  </w:num>
  <w:num w:numId="28">
    <w:abstractNumId w:val="26"/>
  </w:num>
  <w:num w:numId="29">
    <w:abstractNumId w:val="28"/>
  </w:num>
  <w:num w:numId="30">
    <w:abstractNumId w:val="29"/>
  </w:num>
  <w:num w:numId="31">
    <w:abstractNumId w:val="36"/>
  </w:num>
  <w:num w:numId="32">
    <w:abstractNumId w:val="22"/>
  </w:num>
  <w:num w:numId="33">
    <w:abstractNumId w:val="31"/>
  </w:num>
  <w:num w:numId="34">
    <w:abstractNumId w:val="25"/>
  </w:num>
  <w:num w:numId="35">
    <w:abstractNumId w:val="16"/>
  </w:num>
  <w:num w:numId="36">
    <w:abstractNumId w:val="37"/>
  </w:num>
  <w:num w:numId="37">
    <w:abstractNumId w:val="18"/>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1"/>
  <w:proofState w:spelling="clean"/>
  <w:attachedTemplate r:id="rId1"/>
  <w:stylePaneFormatFilter w:val="0004"/>
  <w:doNotTrackMoves/>
  <w:defaultTabStop w:val="720"/>
  <w:evenAndOddHeaders/>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30C4"/>
    <w:rsid w:val="000056EE"/>
    <w:rsid w:val="00011852"/>
    <w:rsid w:val="00013E3A"/>
    <w:rsid w:val="0001615E"/>
    <w:rsid w:val="00021676"/>
    <w:rsid w:val="00024697"/>
    <w:rsid w:val="00027EB9"/>
    <w:rsid w:val="00031779"/>
    <w:rsid w:val="00032756"/>
    <w:rsid w:val="0003498B"/>
    <w:rsid w:val="00054CA2"/>
    <w:rsid w:val="0005680C"/>
    <w:rsid w:val="00070A26"/>
    <w:rsid w:val="000821BA"/>
    <w:rsid w:val="000A705B"/>
    <w:rsid w:val="000A7661"/>
    <w:rsid w:val="000A7AF2"/>
    <w:rsid w:val="000B52F3"/>
    <w:rsid w:val="000C0E9A"/>
    <w:rsid w:val="000E16F3"/>
    <w:rsid w:val="000E6727"/>
    <w:rsid w:val="000F1BA3"/>
    <w:rsid w:val="000F5C9B"/>
    <w:rsid w:val="00114286"/>
    <w:rsid w:val="00114FBD"/>
    <w:rsid w:val="001241C9"/>
    <w:rsid w:val="001312CF"/>
    <w:rsid w:val="00137445"/>
    <w:rsid w:val="00137655"/>
    <w:rsid w:val="001410A9"/>
    <w:rsid w:val="001415D1"/>
    <w:rsid w:val="00141B4E"/>
    <w:rsid w:val="00142CB2"/>
    <w:rsid w:val="00145C33"/>
    <w:rsid w:val="0014660D"/>
    <w:rsid w:val="00147077"/>
    <w:rsid w:val="0015004C"/>
    <w:rsid w:val="00150F5C"/>
    <w:rsid w:val="00160DB0"/>
    <w:rsid w:val="00164110"/>
    <w:rsid w:val="00165EF5"/>
    <w:rsid w:val="0017099C"/>
    <w:rsid w:val="00183AC8"/>
    <w:rsid w:val="00187B15"/>
    <w:rsid w:val="00190752"/>
    <w:rsid w:val="0019199A"/>
    <w:rsid w:val="001B2225"/>
    <w:rsid w:val="001B4AE0"/>
    <w:rsid w:val="001B503D"/>
    <w:rsid w:val="001B680B"/>
    <w:rsid w:val="001B7538"/>
    <w:rsid w:val="001D09D3"/>
    <w:rsid w:val="001D217A"/>
    <w:rsid w:val="001D49E7"/>
    <w:rsid w:val="001F3D4C"/>
    <w:rsid w:val="002019B4"/>
    <w:rsid w:val="00204409"/>
    <w:rsid w:val="002108D2"/>
    <w:rsid w:val="00211F14"/>
    <w:rsid w:val="002125DA"/>
    <w:rsid w:val="00213748"/>
    <w:rsid w:val="00213EC8"/>
    <w:rsid w:val="0021465E"/>
    <w:rsid w:val="00217C64"/>
    <w:rsid w:val="00220EDA"/>
    <w:rsid w:val="00222DA1"/>
    <w:rsid w:val="0022369F"/>
    <w:rsid w:val="00223A7F"/>
    <w:rsid w:val="00224DA4"/>
    <w:rsid w:val="00234FDE"/>
    <w:rsid w:val="00251437"/>
    <w:rsid w:val="00253675"/>
    <w:rsid w:val="00254B2F"/>
    <w:rsid w:val="00256425"/>
    <w:rsid w:val="00263CA6"/>
    <w:rsid w:val="0027113F"/>
    <w:rsid w:val="00284A2C"/>
    <w:rsid w:val="002929F2"/>
    <w:rsid w:val="00296E69"/>
    <w:rsid w:val="002A57A4"/>
    <w:rsid w:val="002B0FB1"/>
    <w:rsid w:val="002B4431"/>
    <w:rsid w:val="002C2F88"/>
    <w:rsid w:val="002C34B3"/>
    <w:rsid w:val="002D24DD"/>
    <w:rsid w:val="002D3EED"/>
    <w:rsid w:val="002D68AE"/>
    <w:rsid w:val="002E0C9A"/>
    <w:rsid w:val="0030627F"/>
    <w:rsid w:val="003263DD"/>
    <w:rsid w:val="00331F91"/>
    <w:rsid w:val="003327E3"/>
    <w:rsid w:val="00342DD9"/>
    <w:rsid w:val="00347278"/>
    <w:rsid w:val="00347ABE"/>
    <w:rsid w:val="0035125A"/>
    <w:rsid w:val="003512FA"/>
    <w:rsid w:val="00352893"/>
    <w:rsid w:val="003535E0"/>
    <w:rsid w:val="003570F6"/>
    <w:rsid w:val="00360F57"/>
    <w:rsid w:val="00366209"/>
    <w:rsid w:val="0038236C"/>
    <w:rsid w:val="00382EAF"/>
    <w:rsid w:val="00383571"/>
    <w:rsid w:val="00383D0E"/>
    <w:rsid w:val="00384027"/>
    <w:rsid w:val="003843EC"/>
    <w:rsid w:val="00396732"/>
    <w:rsid w:val="003A2BF9"/>
    <w:rsid w:val="003A3291"/>
    <w:rsid w:val="003C3C69"/>
    <w:rsid w:val="003C700C"/>
    <w:rsid w:val="003C7D9A"/>
    <w:rsid w:val="003D065D"/>
    <w:rsid w:val="003D20DD"/>
    <w:rsid w:val="003F43C5"/>
    <w:rsid w:val="00403CA6"/>
    <w:rsid w:val="00405625"/>
    <w:rsid w:val="00411C6B"/>
    <w:rsid w:val="004162D6"/>
    <w:rsid w:val="004174C2"/>
    <w:rsid w:val="00420A7B"/>
    <w:rsid w:val="00422293"/>
    <w:rsid w:val="0043600E"/>
    <w:rsid w:val="00440BE1"/>
    <w:rsid w:val="00447669"/>
    <w:rsid w:val="00454D0B"/>
    <w:rsid w:val="0046344B"/>
    <w:rsid w:val="00471C7B"/>
    <w:rsid w:val="0047221D"/>
    <w:rsid w:val="00473443"/>
    <w:rsid w:val="00482B0A"/>
    <w:rsid w:val="00484DBA"/>
    <w:rsid w:val="004853CC"/>
    <w:rsid w:val="00487822"/>
    <w:rsid w:val="004A28F1"/>
    <w:rsid w:val="004A4722"/>
    <w:rsid w:val="004B4E99"/>
    <w:rsid w:val="004B55CA"/>
    <w:rsid w:val="004C0E42"/>
    <w:rsid w:val="004C52A2"/>
    <w:rsid w:val="004D2CCB"/>
    <w:rsid w:val="004D7964"/>
    <w:rsid w:val="004E01BE"/>
    <w:rsid w:val="004E6AFA"/>
    <w:rsid w:val="004F3A0D"/>
    <w:rsid w:val="004F4139"/>
    <w:rsid w:val="004F4E12"/>
    <w:rsid w:val="004F6457"/>
    <w:rsid w:val="0050017F"/>
    <w:rsid w:val="00505817"/>
    <w:rsid w:val="00516F09"/>
    <w:rsid w:val="005228C1"/>
    <w:rsid w:val="00522941"/>
    <w:rsid w:val="00526A68"/>
    <w:rsid w:val="00530A4B"/>
    <w:rsid w:val="00533AB5"/>
    <w:rsid w:val="00551FD3"/>
    <w:rsid w:val="00552309"/>
    <w:rsid w:val="00564001"/>
    <w:rsid w:val="00564A57"/>
    <w:rsid w:val="00584A71"/>
    <w:rsid w:val="00590B66"/>
    <w:rsid w:val="005944CF"/>
    <w:rsid w:val="00596122"/>
    <w:rsid w:val="00596F0D"/>
    <w:rsid w:val="005971A1"/>
    <w:rsid w:val="005A0E79"/>
    <w:rsid w:val="005A0F53"/>
    <w:rsid w:val="005A2A56"/>
    <w:rsid w:val="005A45DD"/>
    <w:rsid w:val="005B17CF"/>
    <w:rsid w:val="005B6D02"/>
    <w:rsid w:val="005C00F6"/>
    <w:rsid w:val="005C3646"/>
    <w:rsid w:val="005D6F22"/>
    <w:rsid w:val="005D7FE4"/>
    <w:rsid w:val="005E5309"/>
    <w:rsid w:val="005F0786"/>
    <w:rsid w:val="005F5365"/>
    <w:rsid w:val="006133D2"/>
    <w:rsid w:val="006136E1"/>
    <w:rsid w:val="0061472F"/>
    <w:rsid w:val="006165B3"/>
    <w:rsid w:val="00617061"/>
    <w:rsid w:val="00623919"/>
    <w:rsid w:val="0062619F"/>
    <w:rsid w:val="00636345"/>
    <w:rsid w:val="00644B8D"/>
    <w:rsid w:val="006503AC"/>
    <w:rsid w:val="00653F76"/>
    <w:rsid w:val="00657047"/>
    <w:rsid w:val="00672003"/>
    <w:rsid w:val="00686231"/>
    <w:rsid w:val="00693D62"/>
    <w:rsid w:val="006B28EE"/>
    <w:rsid w:val="006C2F02"/>
    <w:rsid w:val="006C42CE"/>
    <w:rsid w:val="006C4BED"/>
    <w:rsid w:val="006C53D2"/>
    <w:rsid w:val="006D0C0F"/>
    <w:rsid w:val="006D1971"/>
    <w:rsid w:val="006D41A0"/>
    <w:rsid w:val="006D4B7F"/>
    <w:rsid w:val="006D4F91"/>
    <w:rsid w:val="006D6872"/>
    <w:rsid w:val="006E06EA"/>
    <w:rsid w:val="006E6087"/>
    <w:rsid w:val="006E69DC"/>
    <w:rsid w:val="006F3964"/>
    <w:rsid w:val="007037DD"/>
    <w:rsid w:val="00703B38"/>
    <w:rsid w:val="00710DC7"/>
    <w:rsid w:val="00717563"/>
    <w:rsid w:val="00735B24"/>
    <w:rsid w:val="00742BE4"/>
    <w:rsid w:val="00750F54"/>
    <w:rsid w:val="0075789A"/>
    <w:rsid w:val="00761759"/>
    <w:rsid w:val="00771B1D"/>
    <w:rsid w:val="00786BAD"/>
    <w:rsid w:val="00787D5F"/>
    <w:rsid w:val="007A1349"/>
    <w:rsid w:val="007A1CA0"/>
    <w:rsid w:val="007A3567"/>
    <w:rsid w:val="007A56B8"/>
    <w:rsid w:val="007C0378"/>
    <w:rsid w:val="007D2042"/>
    <w:rsid w:val="007E0543"/>
    <w:rsid w:val="007E21C3"/>
    <w:rsid w:val="007E2AB6"/>
    <w:rsid w:val="007E4DC1"/>
    <w:rsid w:val="007F3913"/>
    <w:rsid w:val="00802693"/>
    <w:rsid w:val="00802C50"/>
    <w:rsid w:val="0080309D"/>
    <w:rsid w:val="00804233"/>
    <w:rsid w:val="00805665"/>
    <w:rsid w:val="00806B35"/>
    <w:rsid w:val="008200F1"/>
    <w:rsid w:val="00820E6A"/>
    <w:rsid w:val="00821F9F"/>
    <w:rsid w:val="00827C9C"/>
    <w:rsid w:val="00833587"/>
    <w:rsid w:val="00833F72"/>
    <w:rsid w:val="008433A5"/>
    <w:rsid w:val="00851BB2"/>
    <w:rsid w:val="00855B7C"/>
    <w:rsid w:val="00856AC8"/>
    <w:rsid w:val="008621D6"/>
    <w:rsid w:val="00870B97"/>
    <w:rsid w:val="00890A16"/>
    <w:rsid w:val="00891412"/>
    <w:rsid w:val="008949D1"/>
    <w:rsid w:val="008A0372"/>
    <w:rsid w:val="008A0D3A"/>
    <w:rsid w:val="008A483B"/>
    <w:rsid w:val="008A5870"/>
    <w:rsid w:val="008D68C0"/>
    <w:rsid w:val="008E02E5"/>
    <w:rsid w:val="008E3156"/>
    <w:rsid w:val="008E5537"/>
    <w:rsid w:val="008E74ED"/>
    <w:rsid w:val="008E7AE4"/>
    <w:rsid w:val="008F5EC2"/>
    <w:rsid w:val="009070F5"/>
    <w:rsid w:val="00914CC9"/>
    <w:rsid w:val="00915B19"/>
    <w:rsid w:val="0093033C"/>
    <w:rsid w:val="009356C5"/>
    <w:rsid w:val="009553F5"/>
    <w:rsid w:val="00962521"/>
    <w:rsid w:val="009625BC"/>
    <w:rsid w:val="0096686E"/>
    <w:rsid w:val="0096767F"/>
    <w:rsid w:val="0097307E"/>
    <w:rsid w:val="00977116"/>
    <w:rsid w:val="00982FFF"/>
    <w:rsid w:val="009830DC"/>
    <w:rsid w:val="00992710"/>
    <w:rsid w:val="009A0DED"/>
    <w:rsid w:val="009A43F4"/>
    <w:rsid w:val="009A595E"/>
    <w:rsid w:val="009B1B94"/>
    <w:rsid w:val="009B68AD"/>
    <w:rsid w:val="009C0DE1"/>
    <w:rsid w:val="009C1C01"/>
    <w:rsid w:val="009C27D7"/>
    <w:rsid w:val="009C7B2F"/>
    <w:rsid w:val="009D13E9"/>
    <w:rsid w:val="009D17D3"/>
    <w:rsid w:val="009E3171"/>
    <w:rsid w:val="009F182D"/>
    <w:rsid w:val="009F30C4"/>
    <w:rsid w:val="009F47BC"/>
    <w:rsid w:val="00A00812"/>
    <w:rsid w:val="00A1281A"/>
    <w:rsid w:val="00A208AB"/>
    <w:rsid w:val="00A232BF"/>
    <w:rsid w:val="00A31BE9"/>
    <w:rsid w:val="00A40923"/>
    <w:rsid w:val="00A453B8"/>
    <w:rsid w:val="00A45D09"/>
    <w:rsid w:val="00A64F24"/>
    <w:rsid w:val="00A7238F"/>
    <w:rsid w:val="00A72A46"/>
    <w:rsid w:val="00A742C6"/>
    <w:rsid w:val="00A82D4B"/>
    <w:rsid w:val="00A867B2"/>
    <w:rsid w:val="00A87051"/>
    <w:rsid w:val="00A93472"/>
    <w:rsid w:val="00A93484"/>
    <w:rsid w:val="00AA2C0E"/>
    <w:rsid w:val="00AA31CC"/>
    <w:rsid w:val="00AD3815"/>
    <w:rsid w:val="00AD4C82"/>
    <w:rsid w:val="00B02301"/>
    <w:rsid w:val="00B05B4C"/>
    <w:rsid w:val="00B06605"/>
    <w:rsid w:val="00B117D1"/>
    <w:rsid w:val="00B11FF4"/>
    <w:rsid w:val="00B27130"/>
    <w:rsid w:val="00B41A08"/>
    <w:rsid w:val="00B4372D"/>
    <w:rsid w:val="00B440EB"/>
    <w:rsid w:val="00B50B2D"/>
    <w:rsid w:val="00B564FE"/>
    <w:rsid w:val="00B61BD7"/>
    <w:rsid w:val="00B64D46"/>
    <w:rsid w:val="00B65355"/>
    <w:rsid w:val="00B65B18"/>
    <w:rsid w:val="00B7226E"/>
    <w:rsid w:val="00B73ED2"/>
    <w:rsid w:val="00B74AE5"/>
    <w:rsid w:val="00B8004D"/>
    <w:rsid w:val="00B82B9D"/>
    <w:rsid w:val="00B82EAA"/>
    <w:rsid w:val="00B93121"/>
    <w:rsid w:val="00BA46A3"/>
    <w:rsid w:val="00BA5A4E"/>
    <w:rsid w:val="00BA61EE"/>
    <w:rsid w:val="00BB5CE5"/>
    <w:rsid w:val="00BC053C"/>
    <w:rsid w:val="00BD2512"/>
    <w:rsid w:val="00BE2947"/>
    <w:rsid w:val="00BE6504"/>
    <w:rsid w:val="00BF25FA"/>
    <w:rsid w:val="00BF365C"/>
    <w:rsid w:val="00BF7E18"/>
    <w:rsid w:val="00C02DBF"/>
    <w:rsid w:val="00C03332"/>
    <w:rsid w:val="00C0588A"/>
    <w:rsid w:val="00C143E8"/>
    <w:rsid w:val="00C144DF"/>
    <w:rsid w:val="00C15633"/>
    <w:rsid w:val="00C20F6E"/>
    <w:rsid w:val="00C25519"/>
    <w:rsid w:val="00C354E3"/>
    <w:rsid w:val="00C4697F"/>
    <w:rsid w:val="00C62CF6"/>
    <w:rsid w:val="00C63448"/>
    <w:rsid w:val="00C63F35"/>
    <w:rsid w:val="00C7037E"/>
    <w:rsid w:val="00C71889"/>
    <w:rsid w:val="00C71A74"/>
    <w:rsid w:val="00C7214E"/>
    <w:rsid w:val="00C73541"/>
    <w:rsid w:val="00C7648E"/>
    <w:rsid w:val="00C8165C"/>
    <w:rsid w:val="00C82D38"/>
    <w:rsid w:val="00C849ED"/>
    <w:rsid w:val="00C85D0E"/>
    <w:rsid w:val="00C86D30"/>
    <w:rsid w:val="00C92281"/>
    <w:rsid w:val="00C9472B"/>
    <w:rsid w:val="00C95A4E"/>
    <w:rsid w:val="00C97166"/>
    <w:rsid w:val="00CB5EDC"/>
    <w:rsid w:val="00CC03EF"/>
    <w:rsid w:val="00CC4EF4"/>
    <w:rsid w:val="00CC7753"/>
    <w:rsid w:val="00CF6B79"/>
    <w:rsid w:val="00CF7042"/>
    <w:rsid w:val="00D00741"/>
    <w:rsid w:val="00D02CCC"/>
    <w:rsid w:val="00D044E4"/>
    <w:rsid w:val="00D064C9"/>
    <w:rsid w:val="00D10555"/>
    <w:rsid w:val="00D108FD"/>
    <w:rsid w:val="00D22684"/>
    <w:rsid w:val="00D305D7"/>
    <w:rsid w:val="00D326CF"/>
    <w:rsid w:val="00D379E9"/>
    <w:rsid w:val="00D405C2"/>
    <w:rsid w:val="00D4341A"/>
    <w:rsid w:val="00D449AE"/>
    <w:rsid w:val="00D53085"/>
    <w:rsid w:val="00D553B3"/>
    <w:rsid w:val="00D558BA"/>
    <w:rsid w:val="00D55BBF"/>
    <w:rsid w:val="00D5643B"/>
    <w:rsid w:val="00D62BA7"/>
    <w:rsid w:val="00D62C81"/>
    <w:rsid w:val="00D632AF"/>
    <w:rsid w:val="00D771D4"/>
    <w:rsid w:val="00D779B3"/>
    <w:rsid w:val="00D86301"/>
    <w:rsid w:val="00D9415C"/>
    <w:rsid w:val="00D96401"/>
    <w:rsid w:val="00D96FAA"/>
    <w:rsid w:val="00DA38EA"/>
    <w:rsid w:val="00DB3C97"/>
    <w:rsid w:val="00DB78AA"/>
    <w:rsid w:val="00DC1628"/>
    <w:rsid w:val="00DC413A"/>
    <w:rsid w:val="00DC442A"/>
    <w:rsid w:val="00DD0812"/>
    <w:rsid w:val="00DD3616"/>
    <w:rsid w:val="00DD7F49"/>
    <w:rsid w:val="00DE0A50"/>
    <w:rsid w:val="00DE4D4D"/>
    <w:rsid w:val="00E01F26"/>
    <w:rsid w:val="00E0273C"/>
    <w:rsid w:val="00E07150"/>
    <w:rsid w:val="00E27694"/>
    <w:rsid w:val="00E371BB"/>
    <w:rsid w:val="00E56B25"/>
    <w:rsid w:val="00E654E4"/>
    <w:rsid w:val="00E759B1"/>
    <w:rsid w:val="00E77EFF"/>
    <w:rsid w:val="00E92EA3"/>
    <w:rsid w:val="00E96D8A"/>
    <w:rsid w:val="00EA3720"/>
    <w:rsid w:val="00EA3E08"/>
    <w:rsid w:val="00EA521A"/>
    <w:rsid w:val="00EB160C"/>
    <w:rsid w:val="00EB4EA0"/>
    <w:rsid w:val="00EC6938"/>
    <w:rsid w:val="00ED07E0"/>
    <w:rsid w:val="00ED2990"/>
    <w:rsid w:val="00EE7D3C"/>
    <w:rsid w:val="00EF4628"/>
    <w:rsid w:val="00F02964"/>
    <w:rsid w:val="00F253A0"/>
    <w:rsid w:val="00F25838"/>
    <w:rsid w:val="00F325AA"/>
    <w:rsid w:val="00F40E52"/>
    <w:rsid w:val="00F532FC"/>
    <w:rsid w:val="00F63A79"/>
    <w:rsid w:val="00F65A7D"/>
    <w:rsid w:val="00F72662"/>
    <w:rsid w:val="00F74980"/>
    <w:rsid w:val="00F74DBD"/>
    <w:rsid w:val="00F83E23"/>
    <w:rsid w:val="00F86AD1"/>
    <w:rsid w:val="00FA108D"/>
    <w:rsid w:val="00FA7BB3"/>
    <w:rsid w:val="00FB2A3E"/>
    <w:rsid w:val="00FB515C"/>
    <w:rsid w:val="00FB68C5"/>
    <w:rsid w:val="00FC1CF1"/>
    <w:rsid w:val="00FC45BD"/>
    <w:rsid w:val="00FD212A"/>
    <w:rsid w:val="00FD4B3A"/>
    <w:rsid w:val="00FD5A86"/>
    <w:rsid w:val="00FE3FC6"/>
    <w:rsid w:val="00FE426D"/>
    <w:rsid w:val="00FE6EEA"/>
    <w:rsid w:val="00FE7D28"/>
    <w:rsid w:val="00FF20D1"/>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0DC"/>
    <w:rPr>
      <w:sz w:val="24"/>
      <w:szCs w:val="24"/>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link w:val="Heading6Char"/>
    <w:uiPriority w:val="99"/>
    <w:qFormat/>
    <w:rsid w:val="008A483B"/>
    <w:pPr>
      <w:spacing w:before="240" w:after="60"/>
      <w:outlineLvl w:val="5"/>
    </w:pPr>
    <w:rPr>
      <w:b/>
      <w:bCs/>
      <w:sz w:val="22"/>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8A483B"/>
    <w:rPr>
      <w:lang w:eastAsia="en-US"/>
    </w:rPr>
  </w:style>
  <w:style w:type="paragraph" w:customStyle="1" w:styleId="DictionarySectionBreak">
    <w:name w:val="DictionarySectionBreak"/>
    <w:basedOn w:val="Normal"/>
    <w:next w:val="Normal"/>
    <w:rsid w:val="008A483B"/>
    <w:rPr>
      <w:lang w:eastAsia="en-US"/>
    </w:rPr>
  </w:style>
  <w:style w:type="paragraph" w:styleId="Footer">
    <w:name w:val="footer"/>
    <w:basedOn w:val="Normal"/>
    <w:rsid w:val="009A43F4"/>
    <w:pPr>
      <w:tabs>
        <w:tab w:val="center" w:pos="4153"/>
        <w:tab w:val="right" w:pos="8306"/>
      </w:tabs>
    </w:pPr>
    <w:rPr>
      <w:rFonts w:ascii="Arial" w:hAnsi="Arial"/>
      <w:sz w:val="18"/>
    </w:rPr>
  </w:style>
  <w:style w:type="paragraph" w:customStyle="1" w:styleId="FooterDraft">
    <w:name w:val="FooterDraft"/>
    <w:basedOn w:val="Normal"/>
    <w:rsid w:val="008A483B"/>
    <w:pPr>
      <w:jc w:val="center"/>
    </w:pPr>
    <w:rPr>
      <w:rFonts w:ascii="Arial" w:hAnsi="Arial"/>
      <w:b/>
      <w:sz w:val="40"/>
      <w:lang w:eastAsia="en-US"/>
    </w:rPr>
  </w:style>
  <w:style w:type="paragraph" w:customStyle="1" w:styleId="FooterCitation">
    <w:name w:val="FooterCitation"/>
    <w:basedOn w:val="Footer"/>
    <w:rsid w:val="00E01F26"/>
    <w:pPr>
      <w:spacing w:before="20" w:line="240" w:lineRule="exact"/>
      <w:jc w:val="center"/>
    </w:pPr>
    <w:rPr>
      <w:i/>
    </w:rPr>
  </w:style>
  <w:style w:type="paragraph" w:customStyle="1" w:styleId="HeaderBoldEven">
    <w:name w:val="HeaderBoldEven"/>
    <w:basedOn w:val="Normal"/>
    <w:rsid w:val="008A483B"/>
    <w:pPr>
      <w:spacing w:before="120" w:after="60"/>
    </w:pPr>
    <w:rPr>
      <w:rFonts w:ascii="Arial" w:hAnsi="Arial"/>
      <w:b/>
      <w:sz w:val="20"/>
      <w:lang w:eastAsia="en-US"/>
    </w:rPr>
  </w:style>
  <w:style w:type="paragraph" w:customStyle="1" w:styleId="HeaderBoldOdd">
    <w:name w:val="HeaderBoldOdd"/>
    <w:basedOn w:val="Normal"/>
    <w:rsid w:val="008A483B"/>
    <w:pPr>
      <w:spacing w:before="120" w:after="60"/>
      <w:jc w:val="right"/>
    </w:pPr>
    <w:rPr>
      <w:rFonts w:ascii="Arial" w:hAnsi="Arial"/>
      <w:b/>
      <w:sz w:val="20"/>
      <w:lang w:eastAsia="en-US"/>
    </w:rPr>
  </w:style>
  <w:style w:type="paragraph" w:customStyle="1" w:styleId="HeaderContentsPage">
    <w:name w:val="HeaderContents&quot;Page&quot;"/>
    <w:basedOn w:val="Normal"/>
    <w:rsid w:val="008A483B"/>
    <w:pPr>
      <w:spacing w:before="120" w:after="120"/>
      <w:jc w:val="right"/>
    </w:pPr>
    <w:rPr>
      <w:rFonts w:ascii="Arial" w:hAnsi="Arial"/>
      <w:sz w:val="20"/>
      <w:lang w:eastAsia="en-US"/>
    </w:rPr>
  </w:style>
  <w:style w:type="paragraph" w:customStyle="1" w:styleId="HeaderLiteEven">
    <w:name w:val="HeaderLiteEven"/>
    <w:basedOn w:val="Normal"/>
    <w:rsid w:val="008A483B"/>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8A483B"/>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8A483B"/>
    <w:rPr>
      <w:lang w:eastAsia="en-US"/>
    </w:rPr>
  </w:style>
  <w:style w:type="paragraph" w:customStyle="1" w:styleId="NotesSectionBreak">
    <w:name w:val="NotesSectionBreak"/>
    <w:basedOn w:val="Normal"/>
    <w:next w:val="Normal"/>
    <w:rsid w:val="008A483B"/>
    <w:rPr>
      <w:lang w:eastAsia="en-US"/>
    </w:rPr>
  </w:style>
  <w:style w:type="paragraph" w:customStyle="1" w:styleId="ReadersGuideSectionBreak">
    <w:name w:val="ReadersGuideSectionBreak"/>
    <w:basedOn w:val="Normal"/>
    <w:next w:val="Normal"/>
    <w:rsid w:val="008A483B"/>
    <w:rPr>
      <w:lang w:eastAsia="en-US"/>
    </w:rPr>
  </w:style>
  <w:style w:type="paragraph" w:customStyle="1" w:styleId="SchedSectionBreak">
    <w:name w:val="SchedSectionBreak"/>
    <w:basedOn w:val="Normal"/>
    <w:next w:val="Normal"/>
    <w:rsid w:val="008A483B"/>
    <w:rPr>
      <w:lang w:eastAsia="en-US"/>
    </w:rPr>
  </w:style>
  <w:style w:type="paragraph" w:customStyle="1" w:styleId="SigningPageBreak">
    <w:name w:val="SigningPageBreak"/>
    <w:basedOn w:val="Normal"/>
    <w:next w:val="Normal"/>
    <w:rsid w:val="008A483B"/>
    <w:rPr>
      <w:lang w:eastAsia="en-US"/>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link w:val="BodyTextIndent2Char"/>
    <w:uiPriority w:val="99"/>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szCs w:val="20"/>
    </w:rPr>
  </w:style>
  <w:style w:type="character" w:styleId="FollowedHyperlink">
    <w:name w:val="FollowedHyperlink"/>
    <w:basedOn w:val="DefaultParagraphFont"/>
    <w:rsid w:val="008A483B"/>
    <w:rPr>
      <w:color w:val="800080"/>
      <w:u w:val="single"/>
    </w:rPr>
  </w:style>
  <w:style w:type="paragraph" w:styleId="Header">
    <w:name w:val="header"/>
    <w:basedOn w:val="Normal"/>
    <w:rsid w:val="0061472F"/>
    <w:pPr>
      <w:tabs>
        <w:tab w:val="center" w:pos="4153"/>
        <w:tab w:val="right" w:pos="8306"/>
      </w:tabs>
    </w:pPr>
    <w:rPr>
      <w:rFonts w:ascii="Arial" w:hAnsi="Arial"/>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szCs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rsid w:val="008A483B"/>
    <w:rPr>
      <w:color w:val="0000FF"/>
      <w:u w:val="single"/>
    </w:rPr>
  </w:style>
  <w:style w:type="character" w:styleId="LineNumber">
    <w:name w:val="line number"/>
    <w:basedOn w:val="DefaultParagraphFont"/>
    <w:rsid w:val="008A483B"/>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tabs>
        <w:tab w:val="num" w:pos="360"/>
      </w:tabs>
      <w:ind w:left="360" w:hanging="360"/>
    </w:pPr>
  </w:style>
  <w:style w:type="paragraph" w:styleId="ListBullet2">
    <w:name w:val="List Bullet 2"/>
    <w:basedOn w:val="Normal"/>
    <w:rsid w:val="008A483B"/>
    <w:pPr>
      <w:tabs>
        <w:tab w:val="num" w:pos="360"/>
      </w:tabs>
    </w:pPr>
  </w:style>
  <w:style w:type="paragraph" w:styleId="ListBullet3">
    <w:name w:val="List Bullet 3"/>
    <w:basedOn w:val="Normal"/>
    <w:rsid w:val="008A483B"/>
    <w:pPr>
      <w:tabs>
        <w:tab w:val="num" w:pos="926"/>
      </w:tabs>
      <w:ind w:left="926" w:hanging="360"/>
    </w:pPr>
  </w:style>
  <w:style w:type="paragraph" w:styleId="ListBullet4">
    <w:name w:val="List Bullet 4"/>
    <w:basedOn w:val="Normal"/>
    <w:rsid w:val="008A483B"/>
    <w:pPr>
      <w:tabs>
        <w:tab w:val="num" w:pos="1209"/>
      </w:tabs>
      <w:ind w:left="1209" w:hanging="360"/>
    </w:pPr>
  </w:style>
  <w:style w:type="paragraph" w:styleId="ListBullet5">
    <w:name w:val="List Bullet 5"/>
    <w:basedOn w:val="Normal"/>
    <w:rsid w:val="008A483B"/>
    <w:pPr>
      <w:tabs>
        <w:tab w:val="num" w:pos="1492"/>
      </w:tabs>
      <w:ind w:left="1492" w:hanging="360"/>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tabs>
        <w:tab w:val="num" w:pos="360"/>
      </w:tabs>
      <w:ind w:left="360" w:hanging="360"/>
    </w:pPr>
  </w:style>
  <w:style w:type="paragraph" w:styleId="ListNumber2">
    <w:name w:val="List Number 2"/>
    <w:basedOn w:val="Normal"/>
    <w:rsid w:val="008A483B"/>
    <w:pPr>
      <w:tabs>
        <w:tab w:val="num" w:pos="643"/>
      </w:tabs>
      <w:ind w:left="643" w:hanging="360"/>
    </w:pPr>
  </w:style>
  <w:style w:type="paragraph" w:styleId="ListNumber3">
    <w:name w:val="List Number 3"/>
    <w:basedOn w:val="Normal"/>
    <w:rsid w:val="008A483B"/>
    <w:pPr>
      <w:tabs>
        <w:tab w:val="num" w:pos="926"/>
      </w:tabs>
      <w:ind w:left="926" w:hanging="360"/>
    </w:pPr>
  </w:style>
  <w:style w:type="paragraph" w:styleId="ListNumber4">
    <w:name w:val="List Number 4"/>
    <w:basedOn w:val="Normal"/>
    <w:rsid w:val="008A483B"/>
    <w:pPr>
      <w:tabs>
        <w:tab w:val="num" w:pos="1209"/>
      </w:tabs>
      <w:ind w:left="1209" w:hanging="360"/>
    </w:pPr>
  </w:style>
  <w:style w:type="paragraph" w:styleId="ListNumber5">
    <w:name w:val="List Number 5"/>
    <w:basedOn w:val="Normal"/>
    <w:rsid w:val="008A483B"/>
    <w:pPr>
      <w:tabs>
        <w:tab w:val="num" w:pos="1492"/>
      </w:tabs>
      <w:ind w:left="1492" w:hanging="360"/>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paragraph" w:styleId="NoteHeading">
    <w:name w:val="Note Heading"/>
    <w:aliases w:val="HN"/>
    <w:basedOn w:val="Normal"/>
    <w:next w:val="Normal"/>
    <w:rsid w:val="00BA46A3"/>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D07E0"/>
    <w:rPr>
      <w:rFonts w:ascii="Arial" w:hAnsi="Arial"/>
      <w:sz w:val="22"/>
      <w:szCs w:val="22"/>
    </w:rPr>
  </w:style>
  <w:style w:type="paragraph" w:styleId="PlainText">
    <w:name w:val="Plain Text"/>
    <w:basedOn w:val="Normal"/>
    <w:rsid w:val="008A483B"/>
    <w:rPr>
      <w:rFonts w:ascii="Courier New" w:hAnsi="Courier New" w:cs="Courier New"/>
      <w:sz w:val="20"/>
      <w:szCs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162D6"/>
    <w:tblPr>
      <w:tblInd w:w="0" w:type="dxa"/>
      <w:tblCellMar>
        <w:top w:w="0" w:type="dxa"/>
        <w:left w:w="108" w:type="dxa"/>
        <w:bottom w:w="0" w:type="dxa"/>
        <w:right w:w="108" w:type="dxa"/>
      </w:tblCellMar>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483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8A483B"/>
    <w:pPr>
      <w:spacing w:before="240" w:after="240" w:line="300" w:lineRule="exact"/>
      <w:ind w:left="2410" w:hanging="2410"/>
    </w:pPr>
    <w:rPr>
      <w:rFonts w:ascii="Arial" w:hAnsi="Arial"/>
      <w:b/>
      <w:sz w:val="28"/>
    </w:rPr>
  </w:style>
  <w:style w:type="paragraph" w:styleId="Title">
    <w:name w:val="Title"/>
    <w:basedOn w:val="Normal"/>
    <w:link w:val="TitleChar"/>
    <w:qFormat/>
    <w:rsid w:val="008A483B"/>
    <w:pPr>
      <w:spacing w:before="240" w:after="60"/>
    </w:pPr>
    <w:rPr>
      <w:rFonts w:ascii="Arial" w:hAnsi="Arial" w:cs="Arial"/>
      <w:b/>
      <w:bCs/>
      <w:sz w:val="40"/>
      <w:szCs w:val="40"/>
    </w:rPr>
  </w:style>
  <w:style w:type="character" w:customStyle="1" w:styleId="CharAmSchNo">
    <w:name w:val="CharAmSchNo"/>
    <w:basedOn w:val="DefaultParagraphFont"/>
    <w:rsid w:val="008A483B"/>
  </w:style>
  <w:style w:type="character" w:customStyle="1" w:styleId="CharAmSchText">
    <w:name w:val="CharAmSchText"/>
    <w:basedOn w:val="DefaultParagraphFont"/>
    <w:rsid w:val="008A483B"/>
  </w:style>
  <w:style w:type="character" w:customStyle="1" w:styleId="CharChapNo">
    <w:name w:val="CharChapNo"/>
    <w:basedOn w:val="DefaultParagraphFont"/>
    <w:rsid w:val="008A483B"/>
  </w:style>
  <w:style w:type="character" w:customStyle="1" w:styleId="CharChapText">
    <w:name w:val="CharChapText"/>
    <w:basedOn w:val="DefaultParagraphFont"/>
    <w:rsid w:val="008A483B"/>
  </w:style>
  <w:style w:type="character" w:customStyle="1" w:styleId="CharDivNo">
    <w:name w:val="CharDivNo"/>
    <w:basedOn w:val="DefaultParagraphFont"/>
    <w:rsid w:val="008A483B"/>
  </w:style>
  <w:style w:type="character" w:customStyle="1" w:styleId="CharDivText">
    <w:name w:val="CharDivText"/>
    <w:basedOn w:val="DefaultParagraphFont"/>
    <w:rsid w:val="008A483B"/>
  </w:style>
  <w:style w:type="character" w:customStyle="1" w:styleId="CharPartNo">
    <w:name w:val="CharPartNo"/>
    <w:basedOn w:val="DefaultParagraphFont"/>
    <w:rsid w:val="008A483B"/>
  </w:style>
  <w:style w:type="character" w:customStyle="1" w:styleId="CharPartText">
    <w:name w:val="CharPartText"/>
    <w:basedOn w:val="DefaultParagraphFont"/>
    <w:rsid w:val="008A483B"/>
  </w:style>
  <w:style w:type="character" w:customStyle="1" w:styleId="CharSchPTNo">
    <w:name w:val="CharSchPTNo"/>
    <w:basedOn w:val="DefaultParagraphFont"/>
    <w:rsid w:val="008A483B"/>
  </w:style>
  <w:style w:type="character" w:customStyle="1" w:styleId="CharSchPTText">
    <w:name w:val="CharSchPTText"/>
    <w:basedOn w:val="DefaultParagraphFont"/>
    <w:rsid w:val="008A483B"/>
  </w:style>
  <w:style w:type="character" w:customStyle="1" w:styleId="CharSectno">
    <w:name w:val="CharSectno"/>
    <w:basedOn w:val="DefaultParagraphFont"/>
    <w:rsid w:val="008A483B"/>
  </w:style>
  <w:style w:type="character" w:customStyle="1" w:styleId="CharENotesHeading">
    <w:name w:val="CharENotesHeading"/>
    <w:basedOn w:val="DefaultParagraphFont"/>
    <w:rsid w:val="008A483B"/>
  </w:style>
  <w:style w:type="character" w:customStyle="1" w:styleId="Citation">
    <w:name w:val="Citation"/>
    <w:basedOn w:val="DefaultParagraphFont"/>
    <w:rsid w:val="008A483B"/>
  </w:style>
  <w:style w:type="paragraph" w:customStyle="1" w:styleId="A1">
    <w:name w:val="A1"/>
    <w:aliases w:val="Heading Amendment,1. Amendment"/>
    <w:basedOn w:val="Normal"/>
    <w:next w:val="Normal"/>
    <w:rsid w:val="008A483B"/>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8A483B"/>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8A483B"/>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8A483B"/>
    <w:pPr>
      <w:keepNext/>
      <w:spacing w:before="120" w:line="260" w:lineRule="exact"/>
      <w:ind w:left="964"/>
    </w:pPr>
    <w:rPr>
      <w:i/>
      <w:lang w:eastAsia="en-US"/>
    </w:rPr>
  </w:style>
  <w:style w:type="paragraph" w:customStyle="1" w:styleId="A3">
    <w:name w:val="A3"/>
    <w:aliases w:val="1.2 amendment"/>
    <w:basedOn w:val="Normal"/>
    <w:rsid w:val="008A483B"/>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8A483B"/>
    <w:pPr>
      <w:spacing w:before="60" w:line="260" w:lineRule="exact"/>
      <w:ind w:left="1247"/>
      <w:jc w:val="both"/>
    </w:pPr>
    <w:rPr>
      <w:lang w:eastAsia="en-US"/>
    </w:rPr>
  </w:style>
  <w:style w:type="paragraph" w:customStyle="1" w:styleId="A4">
    <w:name w:val="A4"/>
    <w:aliases w:val="(a) Amendment"/>
    <w:basedOn w:val="Normal"/>
    <w:rsid w:val="008A483B"/>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8A483B"/>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8A483B"/>
    <w:pPr>
      <w:spacing w:before="120" w:line="220" w:lineRule="exact"/>
      <w:ind w:left="964"/>
      <w:jc w:val="both"/>
    </w:pPr>
    <w:rPr>
      <w:sz w:val="20"/>
      <w:lang w:eastAsia="en-US"/>
    </w:rPr>
  </w:style>
  <w:style w:type="paragraph" w:customStyle="1" w:styleId="ASref">
    <w:name w:val="AS ref"/>
    <w:basedOn w:val="Normal"/>
    <w:next w:val="A1S"/>
    <w:rsid w:val="008A483B"/>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8A483B"/>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8A483B"/>
    <w:pPr>
      <w:keepNext/>
      <w:spacing w:before="360"/>
      <w:ind w:left="2410" w:hanging="2410"/>
    </w:pPr>
    <w:rPr>
      <w:rFonts w:ascii="Arial" w:hAnsi="Arial"/>
      <w:b/>
      <w:sz w:val="28"/>
      <w:lang w:eastAsia="en-US"/>
    </w:rPr>
  </w:style>
  <w:style w:type="paragraph" w:customStyle="1" w:styleId="ContentsHead">
    <w:name w:val="ContentsHead"/>
    <w:basedOn w:val="Normal"/>
    <w:next w:val="Normal"/>
    <w:rsid w:val="008A483B"/>
    <w:pPr>
      <w:keepNext/>
      <w:pageBreakBefore/>
      <w:spacing w:before="240" w:after="240"/>
    </w:pPr>
    <w:rPr>
      <w:rFonts w:ascii="Arial" w:hAnsi="Arial"/>
      <w:b/>
      <w:sz w:val="28"/>
      <w:lang w:eastAsia="en-US"/>
    </w:rPr>
  </w:style>
  <w:style w:type="paragraph" w:customStyle="1" w:styleId="DD">
    <w:name w:val="DD"/>
    <w:aliases w:val="Dictionary Definition"/>
    <w:basedOn w:val="Normal"/>
    <w:rsid w:val="008A483B"/>
    <w:pPr>
      <w:spacing w:before="80" w:line="260" w:lineRule="exact"/>
      <w:jc w:val="both"/>
    </w:pPr>
    <w:rPr>
      <w:lang w:eastAsia="en-US"/>
    </w:rPr>
  </w:style>
  <w:style w:type="paragraph" w:customStyle="1" w:styleId="definition">
    <w:name w:val="definition"/>
    <w:basedOn w:val="Normal"/>
    <w:rsid w:val="008A483B"/>
    <w:pPr>
      <w:spacing w:before="80" w:line="260" w:lineRule="exact"/>
      <w:ind w:left="964"/>
      <w:jc w:val="both"/>
    </w:pPr>
    <w:rPr>
      <w:lang w:eastAsia="en-US"/>
    </w:rPr>
  </w:style>
  <w:style w:type="paragraph" w:customStyle="1" w:styleId="DictionaryHeading">
    <w:name w:val="Dictionary Heading"/>
    <w:basedOn w:val="Normal"/>
    <w:next w:val="DD"/>
    <w:rsid w:val="008A483B"/>
    <w:pPr>
      <w:keepNext/>
      <w:spacing w:before="480"/>
      <w:ind w:left="2552" w:hanging="2552"/>
    </w:pPr>
    <w:rPr>
      <w:rFonts w:ascii="Arial" w:hAnsi="Arial"/>
      <w:b/>
      <w:sz w:val="32"/>
      <w:lang w:eastAsia="en-US"/>
    </w:rPr>
  </w:style>
  <w:style w:type="paragraph" w:customStyle="1" w:styleId="DNote">
    <w:name w:val="DNote"/>
    <w:aliases w:val="DictionaryNote"/>
    <w:basedOn w:val="Normal"/>
    <w:rsid w:val="008A483B"/>
    <w:pPr>
      <w:spacing w:before="120" w:line="220" w:lineRule="exact"/>
      <w:ind w:left="425"/>
      <w:jc w:val="both"/>
    </w:pPr>
    <w:rPr>
      <w:sz w:val="20"/>
      <w:lang w:eastAsia="en-US"/>
    </w:rPr>
  </w:style>
  <w:style w:type="paragraph" w:customStyle="1" w:styleId="DP1a">
    <w:name w:val="DP1(a)"/>
    <w:aliases w:val="Dictionary (a)"/>
    <w:basedOn w:val="Normal"/>
    <w:rsid w:val="008A483B"/>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8A483B"/>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szCs w:val="20"/>
      <w:lang w:eastAsia="en-US"/>
    </w:rPr>
  </w:style>
  <w:style w:type="paragraph" w:customStyle="1" w:styleId="ExampleBody">
    <w:name w:val="Example Body"/>
    <w:basedOn w:val="Normal"/>
    <w:rsid w:val="008A483B"/>
    <w:pPr>
      <w:spacing w:before="60" w:line="220" w:lineRule="exact"/>
      <w:ind w:left="964"/>
      <w:jc w:val="both"/>
    </w:pPr>
    <w:rPr>
      <w:sz w:val="20"/>
      <w:lang w:eastAsia="en-US"/>
    </w:rPr>
  </w:style>
  <w:style w:type="paragraph" w:customStyle="1" w:styleId="ExampleList">
    <w:name w:val="Example List"/>
    <w:basedOn w:val="Normal"/>
    <w:rsid w:val="008A483B"/>
    <w:pPr>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rsid w:val="008A483B"/>
    <w:rPr>
      <w:sz w:val="20"/>
      <w:szCs w:val="20"/>
      <w:lang w:eastAsia="en-US"/>
    </w:rPr>
  </w:style>
  <w:style w:type="paragraph" w:customStyle="1" w:styleId="Formula">
    <w:name w:val="Formula"/>
    <w:basedOn w:val="Normal"/>
    <w:next w:val="Normal"/>
    <w:rsid w:val="008A483B"/>
    <w:pPr>
      <w:spacing w:before="180" w:after="180"/>
      <w:jc w:val="center"/>
    </w:pPr>
    <w:rPr>
      <w:lang w:eastAsia="en-US"/>
    </w:rPr>
  </w:style>
  <w:style w:type="paragraph" w:customStyle="1" w:styleId="HC">
    <w:name w:val="HC"/>
    <w:aliases w:val="Chapter Heading"/>
    <w:basedOn w:val="Normal"/>
    <w:next w:val="Normal"/>
    <w:rsid w:val="008E5537"/>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8A483B"/>
  </w:style>
  <w:style w:type="paragraph" w:customStyle="1" w:styleId="HE">
    <w:name w:val="HE"/>
    <w:aliases w:val="Example heading"/>
    <w:basedOn w:val="Normal"/>
    <w:next w:val="ExampleBody"/>
    <w:rsid w:val="008A483B"/>
    <w:pPr>
      <w:keepNext/>
      <w:spacing w:before="120" w:line="220" w:lineRule="exact"/>
      <w:ind w:left="964"/>
    </w:pPr>
    <w:rPr>
      <w:i/>
      <w:sz w:val="20"/>
      <w:lang w:eastAsia="en-US"/>
    </w:rPr>
  </w:style>
  <w:style w:type="paragraph" w:customStyle="1" w:styleId="HP">
    <w:name w:val="HP"/>
    <w:aliases w:val="Part Heading"/>
    <w:basedOn w:val="Normal"/>
    <w:next w:val="Normal"/>
    <w:uiPriority w:val="99"/>
    <w:rsid w:val="008A483B"/>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uiPriority w:val="99"/>
    <w:rsid w:val="008A483B"/>
    <w:pPr>
      <w:keepNext/>
      <w:spacing w:before="360"/>
      <w:ind w:left="964" w:hanging="964"/>
    </w:pPr>
    <w:rPr>
      <w:rFonts w:ascii="Arial" w:hAnsi="Arial"/>
      <w:b/>
      <w:lang w:eastAsia="en-US"/>
    </w:rPr>
  </w:style>
  <w:style w:type="paragraph" w:customStyle="1" w:styleId="HS">
    <w:name w:val="HS"/>
    <w:aliases w:val="Subdiv Heading"/>
    <w:basedOn w:val="Normal"/>
    <w:next w:val="HR"/>
    <w:rsid w:val="008A483B"/>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8A483B"/>
    <w:pPr>
      <w:keepNext/>
      <w:spacing w:before="300"/>
      <w:ind w:left="964"/>
    </w:pPr>
    <w:rPr>
      <w:rFonts w:ascii="Arial" w:hAnsi="Arial"/>
      <w:i/>
      <w:lang w:eastAsia="en-US"/>
    </w:rPr>
  </w:style>
  <w:style w:type="paragraph" w:customStyle="1" w:styleId="Lt">
    <w:name w:val="Lt"/>
    <w:aliases w:val="Long title"/>
    <w:basedOn w:val="Normal"/>
    <w:rsid w:val="008A483B"/>
    <w:pPr>
      <w:spacing w:before="260"/>
    </w:pPr>
    <w:rPr>
      <w:rFonts w:ascii="Arial" w:hAnsi="Arial"/>
      <w:b/>
      <w:sz w:val="28"/>
      <w:lang w:eastAsia="en-US"/>
    </w:rPr>
  </w:style>
  <w:style w:type="paragraph" w:customStyle="1" w:styleId="M1">
    <w:name w:val="M1"/>
    <w:aliases w:val="Modification Heading"/>
    <w:basedOn w:val="Normal"/>
    <w:next w:val="Normal"/>
    <w:rsid w:val="008A483B"/>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8A483B"/>
    <w:pPr>
      <w:keepNext/>
      <w:spacing w:before="120" w:line="260" w:lineRule="exact"/>
      <w:ind w:left="964"/>
    </w:pPr>
    <w:rPr>
      <w:i/>
      <w:lang w:eastAsia="en-US"/>
    </w:rPr>
  </w:style>
  <w:style w:type="paragraph" w:customStyle="1" w:styleId="M3">
    <w:name w:val="M3"/>
    <w:aliases w:val="Modification Text"/>
    <w:basedOn w:val="Normal"/>
    <w:next w:val="M1"/>
    <w:rsid w:val="008A483B"/>
    <w:pPr>
      <w:spacing w:before="60" w:line="260" w:lineRule="exact"/>
      <w:ind w:left="1247"/>
      <w:jc w:val="both"/>
    </w:pPr>
    <w:rPr>
      <w:lang w:eastAsia="en-US"/>
    </w:rPr>
  </w:style>
  <w:style w:type="paragraph" w:customStyle="1" w:styleId="Maker">
    <w:name w:val="Maker"/>
    <w:basedOn w:val="Normal"/>
    <w:rsid w:val="008A483B"/>
    <w:pPr>
      <w:tabs>
        <w:tab w:val="left" w:pos="3119"/>
      </w:tabs>
      <w:spacing w:line="300" w:lineRule="atLeast"/>
    </w:pPr>
    <w:rPr>
      <w:lang w:eastAsia="en-US"/>
    </w:rPr>
  </w:style>
  <w:style w:type="paragraph" w:customStyle="1" w:styleId="MHD">
    <w:name w:val="MHD"/>
    <w:aliases w:val="Mod Division Heading"/>
    <w:basedOn w:val="Normal"/>
    <w:next w:val="Normal"/>
    <w:rsid w:val="008A483B"/>
    <w:pPr>
      <w:keepNext/>
      <w:spacing w:before="360"/>
      <w:ind w:left="2410" w:hanging="2410"/>
    </w:pPr>
    <w:rPr>
      <w:b/>
      <w:sz w:val="28"/>
      <w:lang w:eastAsia="en-US"/>
    </w:rPr>
  </w:style>
  <w:style w:type="paragraph" w:customStyle="1" w:styleId="MHP">
    <w:name w:val="MHP"/>
    <w:aliases w:val="Mod Part Heading"/>
    <w:basedOn w:val="Normal"/>
    <w:next w:val="Normal"/>
    <w:rsid w:val="008A483B"/>
    <w:pPr>
      <w:keepNext/>
      <w:spacing w:before="360"/>
      <w:ind w:left="2410" w:hanging="2410"/>
    </w:pPr>
    <w:rPr>
      <w:b/>
      <w:sz w:val="32"/>
      <w:lang w:eastAsia="en-US"/>
    </w:rPr>
  </w:style>
  <w:style w:type="paragraph" w:customStyle="1" w:styleId="MHR">
    <w:name w:val="MHR"/>
    <w:aliases w:val="Mod Regulation Heading"/>
    <w:basedOn w:val="Normal"/>
    <w:next w:val="Normal"/>
    <w:rsid w:val="008A483B"/>
    <w:pPr>
      <w:keepNext/>
      <w:spacing w:before="360"/>
      <w:ind w:left="964" w:hanging="964"/>
    </w:pPr>
    <w:rPr>
      <w:b/>
      <w:lang w:eastAsia="en-US"/>
    </w:rPr>
  </w:style>
  <w:style w:type="paragraph" w:customStyle="1" w:styleId="MHS">
    <w:name w:val="MHS"/>
    <w:aliases w:val="Mod Subdivision Heading"/>
    <w:basedOn w:val="Normal"/>
    <w:next w:val="MHR"/>
    <w:rsid w:val="008A483B"/>
    <w:pPr>
      <w:keepNext/>
      <w:spacing w:before="360"/>
      <w:ind w:left="2410" w:hanging="2410"/>
    </w:pPr>
    <w:rPr>
      <w:b/>
      <w:lang w:eastAsia="en-US"/>
    </w:rPr>
  </w:style>
  <w:style w:type="paragraph" w:customStyle="1" w:styleId="MHSR">
    <w:name w:val="MHSR"/>
    <w:aliases w:val="Mod Subregulation Heading"/>
    <w:basedOn w:val="Normal"/>
    <w:next w:val="Normal"/>
    <w:rsid w:val="008A483B"/>
    <w:pPr>
      <w:keepNext/>
      <w:spacing w:before="300"/>
      <w:ind w:left="964" w:hanging="964"/>
    </w:pPr>
    <w:rPr>
      <w:i/>
      <w:lang w:eastAsia="en-US"/>
    </w:rPr>
  </w:style>
  <w:style w:type="paragraph" w:customStyle="1" w:styleId="Note">
    <w:name w:val="Note"/>
    <w:rsid w:val="008A483B"/>
    <w:pPr>
      <w:spacing w:before="120" w:line="220" w:lineRule="exact"/>
      <w:ind w:left="964"/>
      <w:jc w:val="both"/>
    </w:pPr>
    <w:rPr>
      <w:szCs w:val="24"/>
    </w:rPr>
  </w:style>
  <w:style w:type="paragraph" w:customStyle="1" w:styleId="NoteEnd">
    <w:name w:val="Note End"/>
    <w:basedOn w:val="Normal"/>
    <w:rsid w:val="008A483B"/>
    <w:pPr>
      <w:spacing w:before="120" w:line="240" w:lineRule="exact"/>
      <w:ind w:left="567" w:hanging="567"/>
      <w:jc w:val="both"/>
    </w:pPr>
    <w:rPr>
      <w:sz w:val="22"/>
      <w:lang w:eastAsia="en-US"/>
    </w:rPr>
  </w:style>
  <w:style w:type="paragraph" w:customStyle="1" w:styleId="Notepara">
    <w:name w:val="Note para"/>
    <w:basedOn w:val="Normal"/>
    <w:rsid w:val="008A483B"/>
    <w:pPr>
      <w:spacing w:before="60" w:line="220" w:lineRule="exact"/>
      <w:ind w:left="1304" w:hanging="340"/>
      <w:jc w:val="both"/>
    </w:pPr>
    <w:rPr>
      <w:sz w:val="20"/>
      <w:lang w:eastAsia="en-US"/>
    </w:rPr>
  </w:style>
  <w:style w:type="paragraph" w:customStyle="1" w:styleId="P1">
    <w:name w:val="P1"/>
    <w:aliases w:val="(a)"/>
    <w:basedOn w:val="Normal"/>
    <w:uiPriority w:val="99"/>
    <w:rsid w:val="008A483B"/>
    <w:pPr>
      <w:tabs>
        <w:tab w:val="right" w:pos="1191"/>
      </w:tabs>
      <w:spacing w:before="60" w:line="260" w:lineRule="exact"/>
      <w:ind w:left="1418" w:hanging="1418"/>
      <w:jc w:val="both"/>
    </w:pPr>
    <w:rPr>
      <w:lang w:eastAsia="en-US"/>
    </w:rPr>
  </w:style>
  <w:style w:type="paragraph" w:customStyle="1" w:styleId="P2">
    <w:name w:val="P2"/>
    <w:aliases w:val="(i)"/>
    <w:basedOn w:val="Normal"/>
    <w:rsid w:val="008A483B"/>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8A483B"/>
    <w:pPr>
      <w:tabs>
        <w:tab w:val="right" w:pos="2410"/>
      </w:tabs>
      <w:spacing w:before="60" w:line="260" w:lineRule="exact"/>
      <w:ind w:left="2693" w:hanging="2693"/>
      <w:jc w:val="both"/>
    </w:pPr>
    <w:rPr>
      <w:lang w:eastAsia="en-US"/>
    </w:rPr>
  </w:style>
  <w:style w:type="paragraph" w:customStyle="1" w:styleId="P4">
    <w:name w:val="P4"/>
    <w:aliases w:val="(I)"/>
    <w:basedOn w:val="Normal"/>
    <w:rsid w:val="008A483B"/>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8A483B"/>
    <w:pPr>
      <w:spacing w:before="180" w:line="260" w:lineRule="exact"/>
      <w:ind w:left="964"/>
      <w:jc w:val="both"/>
    </w:pPr>
    <w:rPr>
      <w:lang w:eastAsia="en-US"/>
    </w:rPr>
  </w:style>
  <w:style w:type="paragraph" w:customStyle="1" w:styleId="Query">
    <w:name w:val="Query"/>
    <w:aliases w:val="QY"/>
    <w:basedOn w:val="Normal"/>
    <w:rsid w:val="008A483B"/>
    <w:pPr>
      <w:spacing w:before="180" w:line="260" w:lineRule="exact"/>
      <w:ind w:left="964" w:hanging="964"/>
      <w:jc w:val="both"/>
    </w:pPr>
    <w:rPr>
      <w:b/>
      <w:i/>
      <w:lang w:eastAsia="en-US"/>
    </w:rPr>
  </w:style>
  <w:style w:type="paragraph" w:customStyle="1" w:styleId="R1">
    <w:name w:val="R1"/>
    <w:aliases w:val="1. or 1.(1)"/>
    <w:basedOn w:val="Normal"/>
    <w:next w:val="Normal"/>
    <w:rsid w:val="00533AB5"/>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533AB5"/>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8A483B"/>
    <w:pPr>
      <w:spacing w:before="60" w:line="260" w:lineRule="exact"/>
      <w:ind w:left="964"/>
      <w:jc w:val="both"/>
    </w:pPr>
    <w:rPr>
      <w:lang w:eastAsia="en-US"/>
    </w:rPr>
  </w:style>
  <w:style w:type="paragraph" w:customStyle="1" w:styleId="RGHead">
    <w:name w:val="RGHead"/>
    <w:basedOn w:val="Normal"/>
    <w:next w:val="Normal"/>
    <w:rsid w:val="008A483B"/>
    <w:pPr>
      <w:keepNext/>
      <w:spacing w:before="360"/>
    </w:pPr>
    <w:rPr>
      <w:rFonts w:ascii="Arial" w:hAnsi="Arial"/>
      <w:b/>
      <w:sz w:val="32"/>
      <w:lang w:eastAsia="en-US"/>
    </w:rPr>
  </w:style>
  <w:style w:type="paragraph" w:customStyle="1" w:styleId="RGPara">
    <w:name w:val="RGPara"/>
    <w:aliases w:val="Readers Guide Para"/>
    <w:basedOn w:val="Normal"/>
    <w:rsid w:val="008A483B"/>
    <w:pPr>
      <w:spacing w:before="120" w:line="260" w:lineRule="exact"/>
      <w:jc w:val="both"/>
    </w:pPr>
    <w:rPr>
      <w:lang w:eastAsia="en-US"/>
    </w:rPr>
  </w:style>
  <w:style w:type="paragraph" w:customStyle="1" w:styleId="RGPtHd">
    <w:name w:val="RGPtHd"/>
    <w:aliases w:val="Readers Guide PT Heading"/>
    <w:basedOn w:val="Normal"/>
    <w:next w:val="Normal"/>
    <w:rsid w:val="008A483B"/>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8A483B"/>
    <w:pPr>
      <w:keepNext/>
      <w:spacing w:before="360"/>
      <w:ind w:left="964" w:hanging="964"/>
    </w:pPr>
    <w:rPr>
      <w:rFonts w:ascii="Arial" w:hAnsi="Arial"/>
      <w:b/>
      <w:lang w:eastAsia="en-US"/>
    </w:rPr>
  </w:style>
  <w:style w:type="paragraph" w:customStyle="1" w:styleId="Rx2">
    <w:name w:val="Rx(2)"/>
    <w:aliases w:val="Subclause (2)"/>
    <w:basedOn w:val="Normal"/>
    <w:rsid w:val="008A483B"/>
    <w:pPr>
      <w:spacing w:before="180" w:line="260" w:lineRule="exact"/>
      <w:ind w:left="1134" w:hanging="1134"/>
      <w:jc w:val="both"/>
    </w:pPr>
    <w:rPr>
      <w:lang w:eastAsia="en-US"/>
    </w:rPr>
  </w:style>
  <w:style w:type="paragraph" w:customStyle="1" w:styleId="Rxa">
    <w:name w:val="Rx(a)"/>
    <w:aliases w:val="Cardpara"/>
    <w:basedOn w:val="Normal"/>
    <w:rsid w:val="008A483B"/>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8A483B"/>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8A483B"/>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8A483B"/>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8A483B"/>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8A483B"/>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8A483B"/>
    <w:pPr>
      <w:spacing w:before="120" w:line="260" w:lineRule="exact"/>
      <w:ind w:left="1134" w:hanging="1134"/>
      <w:jc w:val="both"/>
    </w:pPr>
    <w:rPr>
      <w:lang w:eastAsia="en-US"/>
    </w:rPr>
  </w:style>
  <w:style w:type="paragraph" w:customStyle="1" w:styleId="RxDef">
    <w:name w:val="Rx.Def"/>
    <w:aliases w:val="MDefinition"/>
    <w:basedOn w:val="Normal"/>
    <w:rsid w:val="008A483B"/>
    <w:pPr>
      <w:spacing w:before="80" w:line="260" w:lineRule="exact"/>
      <w:ind w:left="1134"/>
      <w:jc w:val="both"/>
    </w:pPr>
    <w:rPr>
      <w:lang w:eastAsia="en-US"/>
    </w:rPr>
  </w:style>
  <w:style w:type="paragraph" w:customStyle="1" w:styleId="RxN">
    <w:name w:val="Rx.N"/>
    <w:aliases w:val="MNote"/>
    <w:basedOn w:val="Normal"/>
    <w:rsid w:val="008A483B"/>
    <w:pPr>
      <w:spacing w:before="120" w:line="220" w:lineRule="exact"/>
      <w:ind w:left="1134"/>
      <w:jc w:val="both"/>
    </w:pPr>
    <w:rPr>
      <w:sz w:val="20"/>
      <w:lang w:eastAsia="en-US"/>
    </w:rPr>
  </w:style>
  <w:style w:type="paragraph" w:customStyle="1" w:styleId="RxSC">
    <w:name w:val="Rx.SC"/>
    <w:aliases w:val="Subclass"/>
    <w:basedOn w:val="Normal"/>
    <w:next w:val="Rx1"/>
    <w:rsid w:val="008A483B"/>
    <w:pPr>
      <w:spacing w:before="360"/>
      <w:ind w:left="2835" w:hanging="2835"/>
    </w:pPr>
    <w:rPr>
      <w:rFonts w:ascii="Arial" w:hAnsi="Arial"/>
      <w:b/>
      <w:sz w:val="28"/>
      <w:lang w:eastAsia="en-US"/>
    </w:rPr>
  </w:style>
  <w:style w:type="paragraph" w:customStyle="1" w:styleId="ScheduleHeading">
    <w:name w:val="Schedule Heading"/>
    <w:basedOn w:val="Normal"/>
    <w:next w:val="Normal"/>
    <w:rsid w:val="008A483B"/>
    <w:pPr>
      <w:keepNext/>
      <w:keepLines/>
      <w:spacing w:before="360"/>
      <w:ind w:left="964" w:hanging="964"/>
    </w:pPr>
    <w:rPr>
      <w:rFonts w:ascii="Arial" w:hAnsi="Arial"/>
      <w:b/>
      <w:lang w:eastAsia="en-US"/>
    </w:rPr>
  </w:style>
  <w:style w:type="paragraph" w:customStyle="1" w:styleId="Schedulelist">
    <w:name w:val="Schedule list"/>
    <w:basedOn w:val="Normal"/>
    <w:rsid w:val="008A483B"/>
    <w:pPr>
      <w:tabs>
        <w:tab w:val="right" w:pos="1985"/>
      </w:tabs>
      <w:spacing w:before="60" w:line="260" w:lineRule="exact"/>
      <w:ind w:left="454"/>
    </w:pPr>
    <w:rPr>
      <w:lang w:eastAsia="en-US"/>
    </w:rPr>
  </w:style>
  <w:style w:type="paragraph" w:customStyle="1" w:styleId="Schedulepara">
    <w:name w:val="Schedule para"/>
    <w:basedOn w:val="Normal"/>
    <w:rsid w:val="008A483B"/>
    <w:pPr>
      <w:tabs>
        <w:tab w:val="right" w:pos="567"/>
      </w:tabs>
      <w:spacing w:before="180" w:line="260" w:lineRule="exact"/>
      <w:ind w:left="964" w:hanging="964"/>
      <w:jc w:val="both"/>
    </w:pPr>
    <w:rPr>
      <w:lang w:eastAsia="en-US"/>
    </w:rPr>
  </w:style>
  <w:style w:type="paragraph" w:customStyle="1" w:styleId="Schedulepart">
    <w:name w:val="Schedule part"/>
    <w:basedOn w:val="Normal"/>
    <w:rsid w:val="008A483B"/>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8A483B"/>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DC413A"/>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8A483B"/>
    <w:pPr>
      <w:pBdr>
        <w:bottom w:val="single" w:sz="4" w:space="3" w:color="auto"/>
      </w:pBdr>
      <w:spacing w:before="480"/>
    </w:pPr>
    <w:rPr>
      <w:rFonts w:ascii="Arial" w:hAnsi="Arial"/>
      <w:b/>
      <w:lang w:eastAsia="en-US"/>
    </w:rPr>
  </w:style>
  <w:style w:type="paragraph" w:customStyle="1" w:styleId="TableColHead">
    <w:name w:val="TableColHead"/>
    <w:basedOn w:val="Normal"/>
    <w:rsid w:val="00A00812"/>
    <w:pPr>
      <w:keepNext/>
      <w:spacing w:before="120" w:after="60" w:line="200" w:lineRule="exact"/>
    </w:pPr>
    <w:rPr>
      <w:rFonts w:ascii="Arial" w:hAnsi="Arial"/>
      <w:b/>
      <w:sz w:val="18"/>
      <w:lang w:eastAsia="en-US"/>
    </w:rPr>
  </w:style>
  <w:style w:type="paragraph" w:customStyle="1" w:styleId="TableP1a">
    <w:name w:val="TableP1(a)"/>
    <w:basedOn w:val="Normal"/>
    <w:rsid w:val="00A93472"/>
    <w:pPr>
      <w:tabs>
        <w:tab w:val="right" w:pos="408"/>
      </w:tabs>
      <w:spacing w:after="60" w:line="240" w:lineRule="exact"/>
      <w:ind w:left="533" w:hanging="533"/>
    </w:pPr>
    <w:rPr>
      <w:sz w:val="22"/>
      <w:lang w:eastAsia="en-US"/>
    </w:rPr>
  </w:style>
  <w:style w:type="paragraph" w:customStyle="1" w:styleId="TableP2i">
    <w:name w:val="TableP2(i)"/>
    <w:basedOn w:val="Normal"/>
    <w:rsid w:val="00A93472"/>
    <w:pPr>
      <w:tabs>
        <w:tab w:val="right" w:pos="726"/>
      </w:tabs>
      <w:spacing w:after="60" w:line="240" w:lineRule="exact"/>
      <w:ind w:left="868" w:hanging="868"/>
    </w:pPr>
    <w:rPr>
      <w:sz w:val="22"/>
      <w:lang w:eastAsia="en-US"/>
    </w:rPr>
  </w:style>
  <w:style w:type="paragraph" w:customStyle="1" w:styleId="TableText">
    <w:name w:val="TableText"/>
    <w:basedOn w:val="Normal"/>
    <w:rsid w:val="008A483B"/>
    <w:pPr>
      <w:spacing w:before="60" w:after="60" w:line="240" w:lineRule="exact"/>
    </w:pPr>
    <w:rPr>
      <w:sz w:val="22"/>
      <w:lang w:eastAsia="en-US"/>
    </w:rPr>
  </w:style>
  <w:style w:type="paragraph" w:customStyle="1" w:styleId="TOC">
    <w:name w:val="TOC"/>
    <w:basedOn w:val="Normal"/>
    <w:next w:val="Normal"/>
    <w:rsid w:val="008A483B"/>
    <w:pPr>
      <w:tabs>
        <w:tab w:val="right" w:pos="7088"/>
      </w:tabs>
      <w:spacing w:after="120"/>
    </w:pPr>
    <w:rPr>
      <w:rFonts w:ascii="Arial" w:hAnsi="Arial"/>
      <w:sz w:val="20"/>
      <w:lang w:eastAsia="en-US"/>
    </w:rPr>
  </w:style>
  <w:style w:type="paragraph" w:styleId="TOC1">
    <w:name w:val="toc 1"/>
    <w:basedOn w:val="Normal"/>
    <w:next w:val="Normal"/>
    <w:rsid w:val="008A483B"/>
    <w:pPr>
      <w:keepNext/>
      <w:tabs>
        <w:tab w:val="right" w:pos="8278"/>
      </w:tabs>
      <w:spacing w:before="120"/>
      <w:ind w:left="1701" w:hanging="1701"/>
    </w:pPr>
    <w:rPr>
      <w:rFonts w:ascii="Arial" w:hAnsi="Arial"/>
      <w:b/>
      <w:lang w:eastAsia="en-US"/>
    </w:rPr>
  </w:style>
  <w:style w:type="paragraph" w:styleId="TOC2">
    <w:name w:val="toc 2"/>
    <w:basedOn w:val="Normal"/>
    <w:next w:val="Normal"/>
    <w:uiPriority w:val="39"/>
    <w:rsid w:val="008A483B"/>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uiPriority w:val="39"/>
    <w:rsid w:val="008A483B"/>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rsid w:val="008A483B"/>
    <w:pPr>
      <w:keepNext/>
      <w:tabs>
        <w:tab w:val="right" w:pos="8278"/>
      </w:tabs>
      <w:spacing w:before="80"/>
      <w:ind w:left="1843" w:right="714" w:hanging="1843"/>
    </w:pPr>
    <w:rPr>
      <w:rFonts w:ascii="Arial" w:hAnsi="Arial"/>
      <w:b/>
      <w:sz w:val="18"/>
      <w:lang w:eastAsia="en-US"/>
    </w:rPr>
  </w:style>
  <w:style w:type="paragraph" w:styleId="TOC5">
    <w:name w:val="toc 5"/>
    <w:basedOn w:val="Normal"/>
    <w:next w:val="Normal"/>
    <w:uiPriority w:val="39"/>
    <w:rsid w:val="008A483B"/>
    <w:pPr>
      <w:tabs>
        <w:tab w:val="right" w:pos="1559"/>
        <w:tab w:val="right" w:pos="8278"/>
      </w:tabs>
      <w:spacing w:before="40"/>
      <w:ind w:left="1843" w:right="714" w:hanging="1843"/>
    </w:pPr>
    <w:rPr>
      <w:rFonts w:ascii="Arial" w:hAnsi="Arial"/>
      <w:noProof/>
      <w:sz w:val="20"/>
      <w:lang w:eastAsia="en-US"/>
    </w:rPr>
  </w:style>
  <w:style w:type="paragraph" w:styleId="TOC6">
    <w:name w:val="toc 6"/>
    <w:basedOn w:val="Normal"/>
    <w:next w:val="Normal"/>
    <w:rsid w:val="008A483B"/>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rsid w:val="008A483B"/>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rsid w:val="008A483B"/>
    <w:pPr>
      <w:tabs>
        <w:tab w:val="right" w:pos="8278"/>
      </w:tabs>
      <w:spacing w:before="60"/>
      <w:ind w:left="1843" w:right="714" w:hanging="1843"/>
    </w:pPr>
    <w:rPr>
      <w:rFonts w:ascii="Arial" w:hAnsi="Arial"/>
      <w:sz w:val="20"/>
      <w:lang w:eastAsia="en-US"/>
    </w:rPr>
  </w:style>
  <w:style w:type="paragraph" w:styleId="TOC9">
    <w:name w:val="toc 9"/>
    <w:basedOn w:val="Normal"/>
    <w:next w:val="Normal"/>
    <w:uiPriority w:val="39"/>
    <w:rsid w:val="008A483B"/>
    <w:pPr>
      <w:tabs>
        <w:tab w:val="right" w:pos="8278"/>
      </w:tabs>
      <w:spacing w:before="240" w:after="120"/>
      <w:ind w:left="1843" w:hanging="1843"/>
    </w:pPr>
    <w:rPr>
      <w:rFonts w:ascii="Arial" w:hAnsi="Arial"/>
      <w:b/>
      <w:sz w:val="20"/>
      <w:lang w:eastAsia="en-US"/>
    </w:rPr>
  </w:style>
  <w:style w:type="paragraph" w:customStyle="1" w:styleId="ZA2">
    <w:name w:val="ZA2"/>
    <w:basedOn w:val="A2"/>
    <w:rsid w:val="008A483B"/>
    <w:pPr>
      <w:keepNext/>
    </w:pPr>
  </w:style>
  <w:style w:type="paragraph" w:customStyle="1" w:styleId="ZA3">
    <w:name w:val="ZA3"/>
    <w:basedOn w:val="A3"/>
    <w:rsid w:val="008A483B"/>
    <w:pPr>
      <w:keepNext/>
    </w:pPr>
  </w:style>
  <w:style w:type="paragraph" w:customStyle="1" w:styleId="ZA4">
    <w:name w:val="ZA4"/>
    <w:basedOn w:val="Normal"/>
    <w:next w:val="A4"/>
    <w:rsid w:val="008A483B"/>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8A483B"/>
    <w:pPr>
      <w:keepNext/>
    </w:pPr>
  </w:style>
  <w:style w:type="paragraph" w:customStyle="1" w:styleId="Zdefinition">
    <w:name w:val="Zdefinition"/>
    <w:basedOn w:val="definition"/>
    <w:rsid w:val="008A483B"/>
    <w:pPr>
      <w:keepNext/>
    </w:pPr>
  </w:style>
  <w:style w:type="paragraph" w:customStyle="1" w:styleId="ZDP1">
    <w:name w:val="ZDP1"/>
    <w:basedOn w:val="DP1a"/>
    <w:rsid w:val="008A483B"/>
    <w:pPr>
      <w:keepNext/>
    </w:pPr>
  </w:style>
  <w:style w:type="paragraph" w:customStyle="1" w:styleId="ZExampleBody">
    <w:name w:val="ZExample Body"/>
    <w:basedOn w:val="ExampleBody"/>
    <w:rsid w:val="008A483B"/>
    <w:pPr>
      <w:keepNext/>
    </w:pPr>
  </w:style>
  <w:style w:type="paragraph" w:customStyle="1" w:styleId="ZNote">
    <w:name w:val="ZNote"/>
    <w:basedOn w:val="Normal"/>
    <w:rsid w:val="008A483B"/>
    <w:pPr>
      <w:keepNext/>
      <w:spacing w:before="120" w:line="220" w:lineRule="exact"/>
      <w:ind w:left="964"/>
      <w:jc w:val="both"/>
    </w:pPr>
    <w:rPr>
      <w:sz w:val="20"/>
      <w:lang w:eastAsia="en-US"/>
    </w:rPr>
  </w:style>
  <w:style w:type="paragraph" w:customStyle="1" w:styleId="ZP1">
    <w:name w:val="ZP1"/>
    <w:basedOn w:val="P1"/>
    <w:rsid w:val="008A483B"/>
    <w:pPr>
      <w:keepNext/>
    </w:pPr>
  </w:style>
  <w:style w:type="paragraph" w:customStyle="1" w:styleId="ZP2">
    <w:name w:val="ZP2"/>
    <w:basedOn w:val="P2"/>
    <w:rsid w:val="008A483B"/>
    <w:pPr>
      <w:keepNext/>
    </w:pPr>
  </w:style>
  <w:style w:type="paragraph" w:customStyle="1" w:styleId="ZP3">
    <w:name w:val="ZP3"/>
    <w:basedOn w:val="P3"/>
    <w:rsid w:val="008A483B"/>
    <w:pPr>
      <w:keepNext/>
    </w:pPr>
  </w:style>
  <w:style w:type="paragraph" w:customStyle="1" w:styleId="ZR1">
    <w:name w:val="ZR1"/>
    <w:basedOn w:val="R1"/>
    <w:rsid w:val="008A483B"/>
    <w:pPr>
      <w:keepNext/>
    </w:pPr>
  </w:style>
  <w:style w:type="paragraph" w:customStyle="1" w:styleId="ZR2">
    <w:name w:val="ZR2"/>
    <w:basedOn w:val="R2"/>
    <w:rsid w:val="008A483B"/>
    <w:pPr>
      <w:keepNext/>
    </w:pPr>
  </w:style>
  <w:style w:type="paragraph" w:customStyle="1" w:styleId="ZRcN">
    <w:name w:val="ZRcN"/>
    <w:basedOn w:val="Rc"/>
    <w:rsid w:val="008A483B"/>
    <w:pPr>
      <w:keepNext/>
    </w:pPr>
  </w:style>
  <w:style w:type="paragraph" w:customStyle="1" w:styleId="ZRx2">
    <w:name w:val="ZRx(2)"/>
    <w:basedOn w:val="Rx2"/>
    <w:rsid w:val="008A483B"/>
    <w:pPr>
      <w:keepNext/>
    </w:pPr>
  </w:style>
  <w:style w:type="paragraph" w:customStyle="1" w:styleId="ZRxA">
    <w:name w:val="ZRx(A)"/>
    <w:basedOn w:val="RxA0"/>
    <w:rsid w:val="008A483B"/>
    <w:pPr>
      <w:keepNext/>
    </w:pPr>
  </w:style>
  <w:style w:type="paragraph" w:customStyle="1" w:styleId="ZRxa0">
    <w:name w:val="ZRx(a)"/>
    <w:basedOn w:val="Rxa"/>
    <w:rsid w:val="008A483B"/>
    <w:pPr>
      <w:keepNext/>
    </w:pPr>
  </w:style>
  <w:style w:type="paragraph" w:customStyle="1" w:styleId="ZRxi">
    <w:name w:val="ZRx(i)"/>
    <w:basedOn w:val="Rxi"/>
    <w:rsid w:val="008A483B"/>
    <w:pPr>
      <w:keepNext/>
    </w:pPr>
  </w:style>
  <w:style w:type="paragraph" w:customStyle="1" w:styleId="ZRx123">
    <w:name w:val="ZRx.123"/>
    <w:basedOn w:val="Rx123"/>
    <w:rsid w:val="008A483B"/>
    <w:pPr>
      <w:keepNext/>
    </w:pPr>
  </w:style>
  <w:style w:type="paragraph" w:customStyle="1" w:styleId="TableOfAmend">
    <w:name w:val="TableOfAmend"/>
    <w:basedOn w:val="Normal"/>
    <w:rsid w:val="006C42CE"/>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6C42CE"/>
    <w:pPr>
      <w:spacing w:before="0"/>
    </w:pPr>
  </w:style>
  <w:style w:type="paragraph" w:customStyle="1" w:styleId="TableOfAmendHead">
    <w:name w:val="TableOfAmendHead"/>
    <w:basedOn w:val="TableOfAmend"/>
    <w:next w:val="Normal"/>
    <w:rsid w:val="006C42CE"/>
    <w:pPr>
      <w:spacing w:after="60"/>
    </w:pPr>
    <w:rPr>
      <w:sz w:val="16"/>
    </w:rPr>
  </w:style>
  <w:style w:type="paragraph" w:customStyle="1" w:styleId="HD">
    <w:name w:val="HD"/>
    <w:aliases w:val="Division Heading"/>
    <w:basedOn w:val="Normal"/>
    <w:next w:val="HR"/>
    <w:rsid w:val="00B61BD7"/>
    <w:pPr>
      <w:keepNext/>
      <w:spacing w:before="360"/>
      <w:ind w:left="2410" w:hanging="2410"/>
    </w:pPr>
    <w:rPr>
      <w:rFonts w:ascii="Arial" w:hAnsi="Arial"/>
      <w:b/>
      <w:sz w:val="28"/>
    </w:rPr>
  </w:style>
  <w:style w:type="paragraph" w:customStyle="1" w:styleId="TableASLI">
    <w:name w:val="TableASLI"/>
    <w:basedOn w:val="Normal"/>
    <w:rsid w:val="008A483B"/>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8A483B"/>
    <w:pPr>
      <w:ind w:left="0"/>
      <w:jc w:val="both"/>
    </w:pPr>
  </w:style>
  <w:style w:type="paragraph" w:customStyle="1" w:styleId="RegNotesa">
    <w:name w:val="RegNotes(a)"/>
    <w:basedOn w:val="Normal"/>
    <w:rsid w:val="008A483B"/>
    <w:pPr>
      <w:spacing w:before="60" w:line="200" w:lineRule="exact"/>
      <w:ind w:left="425" w:hanging="425"/>
      <w:jc w:val="both"/>
    </w:pPr>
    <w:rPr>
      <w:rFonts w:ascii="Arial" w:hAnsi="Arial"/>
      <w:sz w:val="18"/>
    </w:rPr>
  </w:style>
  <w:style w:type="paragraph" w:customStyle="1" w:styleId="RegNotes1">
    <w:name w:val="RegNotes(1)"/>
    <w:basedOn w:val="RegNotesa"/>
    <w:rsid w:val="008A483B"/>
    <w:pPr>
      <w:ind w:left="850"/>
    </w:pPr>
  </w:style>
  <w:style w:type="paragraph" w:customStyle="1" w:styleId="FooterText">
    <w:name w:val="Footer Text"/>
    <w:basedOn w:val="Normal"/>
    <w:rsid w:val="008A483B"/>
    <w:rPr>
      <w:sz w:val="20"/>
    </w:rPr>
  </w:style>
  <w:style w:type="paragraph" w:customStyle="1" w:styleId="EndNotes">
    <w:name w:val="EndNotes"/>
    <w:basedOn w:val="Normal"/>
    <w:rsid w:val="008A483B"/>
    <w:pPr>
      <w:spacing w:before="120" w:line="260" w:lineRule="exact"/>
      <w:jc w:val="both"/>
    </w:pPr>
  </w:style>
  <w:style w:type="paragraph" w:customStyle="1" w:styleId="ENoteNo">
    <w:name w:val="ENoteNo"/>
    <w:basedOn w:val="EndNotes"/>
    <w:rsid w:val="008A483B"/>
    <w:pPr>
      <w:ind w:left="357" w:hanging="357"/>
    </w:pPr>
    <w:rPr>
      <w:rFonts w:ascii="Arial" w:hAnsi="Arial"/>
      <w:b/>
    </w:rPr>
  </w:style>
  <w:style w:type="paragraph" w:customStyle="1" w:styleId="CoverUpdate">
    <w:name w:val="CoverUpdate"/>
    <w:basedOn w:val="Normal"/>
    <w:rsid w:val="008A483B"/>
    <w:pPr>
      <w:spacing w:before="240"/>
    </w:pPr>
  </w:style>
  <w:style w:type="paragraph" w:customStyle="1" w:styleId="CoverAct">
    <w:name w:val="CoverAct"/>
    <w:basedOn w:val="Normal"/>
    <w:next w:val="CoverUpdate"/>
    <w:rsid w:val="008A483B"/>
    <w:pPr>
      <w:pBdr>
        <w:bottom w:val="single" w:sz="4" w:space="3" w:color="auto"/>
      </w:pBdr>
    </w:pPr>
    <w:rPr>
      <w:rFonts w:ascii="Arial" w:hAnsi="Arial"/>
      <w:i/>
      <w:sz w:val="28"/>
    </w:rPr>
  </w:style>
  <w:style w:type="paragraph" w:customStyle="1" w:styleId="CoverMade">
    <w:name w:val="CoverMade"/>
    <w:basedOn w:val="Normal"/>
    <w:rsid w:val="008A483B"/>
    <w:pPr>
      <w:spacing w:before="240" w:after="240"/>
    </w:pPr>
    <w:rPr>
      <w:rFonts w:ascii="Arial" w:hAnsi="Arial"/>
    </w:rPr>
  </w:style>
  <w:style w:type="paragraph" w:customStyle="1" w:styleId="CoverStatRule">
    <w:name w:val="CoverStatRule"/>
    <w:basedOn w:val="Normal"/>
    <w:next w:val="Normal"/>
    <w:rsid w:val="008A483B"/>
    <w:pPr>
      <w:spacing w:before="240"/>
    </w:pPr>
    <w:rPr>
      <w:rFonts w:ascii="Arial" w:hAnsi="Arial"/>
      <w:b/>
    </w:rPr>
  </w:style>
  <w:style w:type="paragraph" w:customStyle="1" w:styleId="ContentsStatRule">
    <w:name w:val="ContentsStatRule"/>
    <w:basedOn w:val="Normal"/>
    <w:rsid w:val="008A483B"/>
    <w:pPr>
      <w:spacing w:before="480"/>
    </w:pPr>
    <w:rPr>
      <w:rFonts w:ascii="Arial" w:hAnsi="Arial"/>
      <w:b/>
    </w:rPr>
  </w:style>
  <w:style w:type="paragraph" w:customStyle="1" w:styleId="ContentsPage">
    <w:name w:val="ContentsPage"/>
    <w:basedOn w:val="Normal"/>
    <w:next w:val="TOC"/>
    <w:rsid w:val="008A483B"/>
    <w:pPr>
      <w:spacing w:before="120"/>
      <w:jc w:val="right"/>
    </w:pPr>
    <w:rPr>
      <w:rFonts w:ascii="Arial" w:hAnsi="Arial"/>
    </w:rPr>
  </w:style>
  <w:style w:type="paragraph" w:customStyle="1" w:styleId="AsAmendedBy">
    <w:name w:val="AsAmendedBy"/>
    <w:basedOn w:val="Normal"/>
    <w:rsid w:val="008A483B"/>
    <w:pPr>
      <w:spacing w:before="60" w:line="200" w:lineRule="exact"/>
      <w:ind w:left="170"/>
    </w:pPr>
    <w:rPr>
      <w:rFonts w:ascii="Arial" w:hAnsi="Arial"/>
      <w:sz w:val="18"/>
    </w:rPr>
  </w:style>
  <w:style w:type="paragraph" w:customStyle="1" w:styleId="AsAmendedByBold">
    <w:name w:val="AsAmendedByBold"/>
    <w:basedOn w:val="Normal"/>
    <w:next w:val="AsAmendedBy"/>
    <w:rsid w:val="008A483B"/>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8A483B"/>
    <w:rPr>
      <w:sz w:val="16"/>
      <w:szCs w:val="20"/>
    </w:rPr>
  </w:style>
  <w:style w:type="paragraph" w:customStyle="1" w:styleId="Tablepara">
    <w:name w:val="Table para"/>
    <w:basedOn w:val="Normal"/>
    <w:rsid w:val="008A483B"/>
    <w:pPr>
      <w:spacing w:before="40" w:line="240" w:lineRule="exact"/>
      <w:ind w:left="459" w:hanging="425"/>
    </w:pPr>
    <w:rPr>
      <w:sz w:val="22"/>
      <w:szCs w:val="20"/>
    </w:rPr>
  </w:style>
  <w:style w:type="paragraph" w:customStyle="1" w:styleId="Tablesubpara">
    <w:name w:val="Table subpara"/>
    <w:basedOn w:val="Normal"/>
    <w:rsid w:val="008A483B"/>
    <w:pPr>
      <w:tabs>
        <w:tab w:val="right" w:pos="884"/>
      </w:tabs>
      <w:spacing w:before="40"/>
      <w:ind w:left="1168" w:hanging="1168"/>
    </w:pPr>
    <w:rPr>
      <w:sz w:val="22"/>
      <w:szCs w:val="20"/>
    </w:rPr>
  </w:style>
  <w:style w:type="paragraph" w:customStyle="1" w:styleId="TableTextpa">
    <w:name w:val="TableText p(a)"/>
    <w:basedOn w:val="TableText"/>
    <w:rsid w:val="008A483B"/>
    <w:pPr>
      <w:spacing w:after="0"/>
      <w:ind w:left="318" w:hanging="318"/>
    </w:pPr>
    <w:rPr>
      <w:sz w:val="18"/>
      <w:szCs w:val="20"/>
      <w:lang w:eastAsia="en-AU"/>
    </w:rPr>
  </w:style>
  <w:style w:type="character" w:customStyle="1" w:styleId="CharSchText">
    <w:name w:val="CharSchText"/>
    <w:basedOn w:val="DefaultParagraphFont"/>
    <w:rsid w:val="008A483B"/>
  </w:style>
  <w:style w:type="paragraph" w:customStyle="1" w:styleId="TableENotesHeadingAmdt">
    <w:name w:val="TableENotesHeadingAmdt"/>
    <w:basedOn w:val="Normal"/>
    <w:rsid w:val="008A483B"/>
    <w:pPr>
      <w:pageBreakBefore/>
      <w:spacing w:before="240" w:after="240" w:line="300" w:lineRule="exact"/>
      <w:ind w:left="2410" w:hanging="2410"/>
    </w:pPr>
    <w:rPr>
      <w:rFonts w:ascii="Arial" w:hAnsi="Arial"/>
      <w:b/>
      <w:sz w:val="28"/>
    </w:rPr>
  </w:style>
  <w:style w:type="paragraph" w:styleId="BalloonText">
    <w:name w:val="Balloon Text"/>
    <w:basedOn w:val="Normal"/>
    <w:rsid w:val="008A483B"/>
    <w:rPr>
      <w:rFonts w:ascii="Tahoma" w:hAnsi="Tahoma" w:cs="Tahoma"/>
      <w:sz w:val="16"/>
      <w:szCs w:val="16"/>
    </w:rPr>
  </w:style>
  <w:style w:type="paragraph" w:styleId="Caption">
    <w:name w:val="caption"/>
    <w:basedOn w:val="Normal"/>
    <w:next w:val="Normal"/>
    <w:qFormat/>
    <w:rsid w:val="008A483B"/>
    <w:pPr>
      <w:spacing w:before="120" w:after="120"/>
    </w:pPr>
    <w:rPr>
      <w:b/>
      <w:bCs/>
      <w:sz w:val="20"/>
      <w:szCs w:val="20"/>
    </w:rPr>
  </w:style>
  <w:style w:type="character" w:styleId="CommentReference">
    <w:name w:val="annotation reference"/>
    <w:basedOn w:val="DefaultParagraphFont"/>
    <w:rsid w:val="008A483B"/>
    <w:rPr>
      <w:sz w:val="16"/>
      <w:szCs w:val="16"/>
    </w:rPr>
  </w:style>
  <w:style w:type="paragraph" w:styleId="CommentText">
    <w:name w:val="annotation text"/>
    <w:basedOn w:val="Normal"/>
    <w:rsid w:val="008A483B"/>
    <w:rPr>
      <w:sz w:val="20"/>
      <w:szCs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top1">
    <w:name w:val="top1"/>
    <w:basedOn w:val="Normal"/>
    <w:rsid w:val="008A483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3512FA"/>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8A483B"/>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8A483B"/>
    <w:pPr>
      <w:keepNext/>
      <w:spacing w:before="360"/>
      <w:ind w:left="1559" w:hanging="1559"/>
    </w:pPr>
    <w:rPr>
      <w:rFonts w:ascii="Arial" w:hAnsi="Arial"/>
      <w:b/>
      <w:lang w:eastAsia="en-US"/>
    </w:rPr>
  </w:style>
  <w:style w:type="paragraph" w:customStyle="1" w:styleId="notetext">
    <w:name w:val="note(text)"/>
    <w:aliases w:val="n"/>
    <w:rsid w:val="008A483B"/>
    <w:pPr>
      <w:spacing w:before="122" w:line="198" w:lineRule="exact"/>
      <w:ind w:left="1985" w:hanging="851"/>
    </w:pPr>
    <w:rPr>
      <w:sz w:val="18"/>
      <w:szCs w:val="24"/>
    </w:rPr>
  </w:style>
  <w:style w:type="paragraph" w:customStyle="1" w:styleId="FooterPageOdd">
    <w:name w:val="FooterPageOdd"/>
    <w:basedOn w:val="Footer"/>
    <w:rsid w:val="00D62BA7"/>
    <w:pPr>
      <w:tabs>
        <w:tab w:val="clear" w:pos="4153"/>
        <w:tab w:val="clear" w:pos="8306"/>
        <w:tab w:val="center" w:pos="3600"/>
        <w:tab w:val="right" w:pos="7201"/>
      </w:tabs>
      <w:jc w:val="right"/>
    </w:pPr>
    <w:rPr>
      <w:sz w:val="22"/>
      <w:szCs w:val="18"/>
      <w:lang w:eastAsia="en-US"/>
    </w:rPr>
  </w:style>
  <w:style w:type="paragraph" w:customStyle="1" w:styleId="FooterPageEven">
    <w:name w:val="FooterPageEven"/>
    <w:basedOn w:val="FooterPageOdd"/>
    <w:rsid w:val="00D62BA7"/>
    <w:pPr>
      <w:jc w:val="left"/>
    </w:pPr>
  </w:style>
  <w:style w:type="paragraph" w:customStyle="1" w:styleId="Footerinfo">
    <w:name w:val="Footerinfo"/>
    <w:basedOn w:val="Footer"/>
    <w:rsid w:val="008A483B"/>
    <w:pPr>
      <w:tabs>
        <w:tab w:val="clear" w:pos="4153"/>
        <w:tab w:val="clear" w:pos="8306"/>
        <w:tab w:val="center" w:pos="3600"/>
        <w:tab w:val="right" w:pos="7201"/>
      </w:tabs>
    </w:pPr>
    <w:rPr>
      <w:sz w:val="12"/>
      <w:szCs w:val="18"/>
      <w:lang w:eastAsia="en-US"/>
    </w:rPr>
  </w:style>
  <w:style w:type="paragraph" w:customStyle="1" w:styleId="TableOfStatRules">
    <w:name w:val="TableOfStatRules"/>
    <w:basedOn w:val="Normal"/>
    <w:rsid w:val="006C42CE"/>
    <w:pPr>
      <w:spacing w:before="60" w:line="200" w:lineRule="exact"/>
    </w:pPr>
    <w:rPr>
      <w:rFonts w:ascii="Arial" w:hAnsi="Arial"/>
      <w:sz w:val="18"/>
    </w:rPr>
  </w:style>
  <w:style w:type="paragraph" w:customStyle="1" w:styleId="CHS">
    <w:name w:val="CHS"/>
    <w:aliases w:val="CASA Subdivision Heading"/>
    <w:basedOn w:val="HS"/>
    <w:next w:val="HR"/>
    <w:rsid w:val="00F74DBD"/>
    <w:rPr>
      <w:b w:val="0"/>
      <w:i/>
    </w:rPr>
  </w:style>
  <w:style w:type="character" w:customStyle="1" w:styleId="Heading6Char">
    <w:name w:val="Heading 6 Char"/>
    <w:basedOn w:val="DefaultParagraphFont"/>
    <w:link w:val="Heading6"/>
    <w:uiPriority w:val="99"/>
    <w:locked/>
    <w:rsid w:val="00FD5A86"/>
    <w:rPr>
      <w:b/>
      <w:bCs/>
      <w:sz w:val="22"/>
      <w:szCs w:val="22"/>
    </w:rPr>
  </w:style>
  <w:style w:type="character" w:customStyle="1" w:styleId="TitleChar">
    <w:name w:val="Title Char"/>
    <w:basedOn w:val="DefaultParagraphFont"/>
    <w:link w:val="Title"/>
    <w:uiPriority w:val="99"/>
    <w:locked/>
    <w:rsid w:val="00FD5A86"/>
    <w:rPr>
      <w:rFonts w:ascii="Arial" w:hAnsi="Arial" w:cs="Arial"/>
      <w:b/>
      <w:bCs/>
      <w:sz w:val="40"/>
      <w:szCs w:val="40"/>
    </w:rPr>
  </w:style>
  <w:style w:type="character" w:customStyle="1" w:styleId="BodyTextIndent2Char">
    <w:name w:val="Body Text Indent 2 Char"/>
    <w:basedOn w:val="DefaultParagraphFont"/>
    <w:link w:val="BodyTextIndent2"/>
    <w:uiPriority w:val="99"/>
    <w:locked/>
    <w:rsid w:val="00FD5A86"/>
    <w:rPr>
      <w:sz w:val="24"/>
      <w:szCs w:val="24"/>
    </w:rPr>
  </w:style>
  <w:style w:type="numbering" w:customStyle="1" w:styleId="Style1">
    <w:name w:val="Style1"/>
    <w:rsid w:val="00FD5A86"/>
    <w:pPr>
      <w:numPr>
        <w:numId w:val="15"/>
      </w:numPr>
    </w:pPr>
  </w:style>
  <w:style w:type="paragraph" w:styleId="ListParagraph">
    <w:name w:val="List Paragraph"/>
    <w:basedOn w:val="Normal"/>
    <w:uiPriority w:val="34"/>
    <w:qFormat/>
    <w:rsid w:val="00114FBD"/>
    <w:pPr>
      <w:ind w:left="720"/>
      <w:contextualSpacing/>
    </w:pPr>
    <w:rPr>
      <w:szCs w:val="20"/>
      <w:lang w:eastAsia="en-US"/>
    </w:rPr>
  </w:style>
  <w:style w:type="paragraph" w:customStyle="1" w:styleId="schedulenote">
    <w:name w:val="schedulenote"/>
    <w:basedOn w:val="Normal"/>
    <w:rsid w:val="000F1BA3"/>
    <w:pPr>
      <w:spacing w:before="100" w:beforeAutospacing="1" w:after="100" w:afterAutospacing="1"/>
    </w:pPr>
  </w:style>
  <w:style w:type="character" w:customStyle="1" w:styleId="italictext0">
    <w:name w:val="italictext0"/>
    <w:basedOn w:val="DefaultParagraphFont"/>
    <w:rsid w:val="000F1BA3"/>
  </w:style>
  <w:style w:type="paragraph" w:customStyle="1" w:styleId="schedulenotenumbered">
    <w:name w:val="schedulenotenumbered"/>
    <w:basedOn w:val="Normal"/>
    <w:rsid w:val="000F1BA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CONSOLInstru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CONSOLInstruments</Template>
  <TotalTime>320</TotalTime>
  <Pages>16</Pages>
  <Words>4584</Words>
  <Characters>25226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29751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vitarn</dc:creator>
  <cp:keywords/>
  <cp:lastModifiedBy>imb1jo</cp:lastModifiedBy>
  <cp:revision>18</cp:revision>
  <cp:lastPrinted>2012-06-01T01:28:00Z</cp:lastPrinted>
  <dcterms:created xsi:type="dcterms:W3CDTF">2012-05-31T03:05:00Z</dcterms:created>
  <dcterms:modified xsi:type="dcterms:W3CDTF">2012-06-04T04:24:00Z</dcterms:modified>
</cp:coreProperties>
</file>