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90D" w:rsidRPr="00F81140" w:rsidRDefault="007B190D" w:rsidP="007B190D">
      <w:pPr>
        <w:jc w:val="center"/>
        <w:rPr>
          <w:b/>
          <w:sz w:val="22"/>
          <w:szCs w:val="22"/>
        </w:rPr>
      </w:pPr>
      <w:r w:rsidRPr="00F81140">
        <w:rPr>
          <w:b/>
          <w:sz w:val="22"/>
          <w:szCs w:val="22"/>
        </w:rPr>
        <w:t>EXPLANATORY STATEMENT</w:t>
      </w:r>
    </w:p>
    <w:p w:rsidR="007B190D" w:rsidRPr="00F81140" w:rsidRDefault="007B190D" w:rsidP="007B190D">
      <w:pPr>
        <w:jc w:val="center"/>
        <w:rPr>
          <w:sz w:val="22"/>
          <w:szCs w:val="22"/>
        </w:rPr>
      </w:pPr>
    </w:p>
    <w:p w:rsidR="007B190D" w:rsidRPr="00F81140" w:rsidRDefault="007B190D" w:rsidP="007B190D">
      <w:pPr>
        <w:jc w:val="center"/>
        <w:rPr>
          <w:sz w:val="22"/>
          <w:szCs w:val="22"/>
        </w:rPr>
      </w:pPr>
      <w:r w:rsidRPr="00F81140">
        <w:rPr>
          <w:sz w:val="22"/>
          <w:szCs w:val="22"/>
        </w:rPr>
        <w:t>Issued by the authority of the Australian Communications</w:t>
      </w:r>
      <w:r w:rsidR="006D04FE">
        <w:rPr>
          <w:sz w:val="22"/>
          <w:szCs w:val="22"/>
        </w:rPr>
        <w:t xml:space="preserve"> and Media</w:t>
      </w:r>
      <w:r w:rsidRPr="00F81140">
        <w:rPr>
          <w:sz w:val="22"/>
          <w:szCs w:val="22"/>
        </w:rPr>
        <w:t xml:space="preserve"> Authority</w:t>
      </w:r>
    </w:p>
    <w:p w:rsidR="007B190D" w:rsidRDefault="007B190D" w:rsidP="007B190D">
      <w:pPr>
        <w:jc w:val="center"/>
        <w:rPr>
          <w:sz w:val="22"/>
          <w:szCs w:val="22"/>
        </w:rPr>
      </w:pPr>
    </w:p>
    <w:p w:rsidR="008E5F4C" w:rsidRPr="00F81140" w:rsidRDefault="008E5F4C" w:rsidP="008E5F4C">
      <w:pPr>
        <w:jc w:val="center"/>
        <w:rPr>
          <w:i/>
          <w:sz w:val="22"/>
          <w:szCs w:val="22"/>
        </w:rPr>
      </w:pPr>
      <w:r w:rsidRPr="00F81140">
        <w:rPr>
          <w:i/>
          <w:sz w:val="22"/>
          <w:szCs w:val="22"/>
        </w:rPr>
        <w:t>Telecommunications (Consumer Protection and Service Standards) Act 1999</w:t>
      </w:r>
    </w:p>
    <w:p w:rsidR="008E5F4C" w:rsidRDefault="008E5F4C" w:rsidP="007B190D">
      <w:pPr>
        <w:jc w:val="center"/>
        <w:rPr>
          <w:sz w:val="22"/>
          <w:szCs w:val="22"/>
        </w:rPr>
      </w:pPr>
    </w:p>
    <w:p w:rsidR="007B190D" w:rsidRPr="00AE1153" w:rsidRDefault="00B45027" w:rsidP="007B190D">
      <w:pPr>
        <w:jc w:val="center"/>
        <w:rPr>
          <w:b/>
          <w:sz w:val="22"/>
          <w:szCs w:val="22"/>
        </w:rPr>
      </w:pPr>
      <w:r w:rsidRPr="00AE1153">
        <w:rPr>
          <w:b/>
          <w:sz w:val="22"/>
          <w:szCs w:val="22"/>
        </w:rPr>
        <w:t>TELECOMMUNICATIONS (CUSTOMER SERVICE GUARANTEE) STANDARD 2011</w:t>
      </w:r>
    </w:p>
    <w:p w:rsidR="009E2320" w:rsidRPr="007639F1" w:rsidRDefault="00234512" w:rsidP="007639F1">
      <w:pPr>
        <w:pStyle w:val="ACMABodyText"/>
        <w:rPr>
          <w:b/>
          <w:sz w:val="28"/>
          <w:szCs w:val="28"/>
        </w:rPr>
      </w:pPr>
      <w:bookmarkStart w:id="0" w:name="OLE_LINK1"/>
      <w:r w:rsidRPr="007639F1">
        <w:rPr>
          <w:b/>
          <w:sz w:val="28"/>
          <w:szCs w:val="28"/>
        </w:rPr>
        <w:t>Background</w:t>
      </w:r>
      <w:bookmarkEnd w:id="0"/>
    </w:p>
    <w:p w:rsidR="00173F2B" w:rsidRPr="00B52F9D" w:rsidRDefault="009E2320" w:rsidP="009E2320">
      <w:pPr>
        <w:pStyle w:val="ACMABodyText"/>
      </w:pPr>
      <w:r>
        <w:t>Under section 115 of the</w:t>
      </w:r>
      <w:r w:rsidR="00A84427">
        <w:t xml:space="preserve"> </w:t>
      </w:r>
      <w:r w:rsidR="00B45027" w:rsidRPr="00AE1153">
        <w:rPr>
          <w:i/>
        </w:rPr>
        <w:t>Telecommunications (Consumer Protection and Service Standards) Act 1999</w:t>
      </w:r>
      <w:r w:rsidR="00123E5B">
        <w:t xml:space="preserve"> (the </w:t>
      </w:r>
      <w:r w:rsidR="00E540C1">
        <w:t>Act</w:t>
      </w:r>
      <w:r w:rsidR="00123E5B">
        <w:t>)</w:t>
      </w:r>
      <w:r>
        <w:t xml:space="preserve">, the </w:t>
      </w:r>
      <w:r w:rsidR="00123E5B">
        <w:t xml:space="preserve">Australian Communications and Media Authority (the </w:t>
      </w:r>
      <w:r w:rsidR="00C61DED">
        <w:t>ACMA</w:t>
      </w:r>
      <w:r w:rsidR="00123E5B">
        <w:t>)</w:t>
      </w:r>
      <w:r>
        <w:t xml:space="preserve"> has the power to make performance standards </w:t>
      </w:r>
      <w:r w:rsidR="00123E5B">
        <w:t xml:space="preserve">(CSG Standards) </w:t>
      </w:r>
      <w:r>
        <w:t xml:space="preserve">to be complied with by </w:t>
      </w:r>
      <w:r w:rsidR="007674BC">
        <w:t>carriage s</w:t>
      </w:r>
      <w:r w:rsidR="00772A6C">
        <w:t xml:space="preserve">ervice </w:t>
      </w:r>
      <w:r w:rsidR="007674BC">
        <w:t>p</w:t>
      </w:r>
      <w:r w:rsidR="00772A6C">
        <w:t>roviders (</w:t>
      </w:r>
      <w:r>
        <w:t>CSPs</w:t>
      </w:r>
      <w:r w:rsidR="00772A6C">
        <w:t>)</w:t>
      </w:r>
      <w:r>
        <w:t xml:space="preserve"> in relation to</w:t>
      </w:r>
      <w:r w:rsidR="00687B54">
        <w:t xml:space="preserve"> a range of </w:t>
      </w:r>
      <w:r w:rsidR="00123E5B">
        <w:t xml:space="preserve">customer service </w:t>
      </w:r>
      <w:r w:rsidR="00687B54">
        <w:t>matters</w:t>
      </w:r>
      <w:r w:rsidR="007D60EF">
        <w:t>, including</w:t>
      </w:r>
      <w:r w:rsidR="00D33E40">
        <w:t xml:space="preserve"> </w:t>
      </w:r>
      <w:r w:rsidR="00123E5B">
        <w:t>the period taken to comply with requests to connect customers and to rectify faults or service difficulties in relation to specified kinds of carriage services</w:t>
      </w:r>
      <w:r w:rsidR="00D33E40">
        <w:t xml:space="preserve">. </w:t>
      </w:r>
      <w:r w:rsidR="00021769">
        <w:t xml:space="preserve"> </w:t>
      </w:r>
      <w:r w:rsidR="00123E5B">
        <w:t>The ACMA cannot make a CSG Standard unless it is directed to do so by the Minister under section 124 of the Act.</w:t>
      </w:r>
    </w:p>
    <w:p w:rsidR="00006989" w:rsidRDefault="00006989" w:rsidP="009E2320">
      <w:pPr>
        <w:pStyle w:val="ACMABodyText"/>
        <w:rPr>
          <w:lang w:eastAsia="en-AU"/>
        </w:rPr>
      </w:pPr>
      <w:r>
        <w:rPr>
          <w:lang w:eastAsia="en-AU"/>
        </w:rPr>
        <w:t xml:space="preserve">Under section 124 of the Act, the Minister may give the ACMA </w:t>
      </w:r>
      <w:r w:rsidR="00D817C8">
        <w:rPr>
          <w:lang w:eastAsia="en-AU"/>
        </w:rPr>
        <w:t xml:space="preserve">written directions about how it is to exercise its powers under Part 5 of the Act.  In addition to making CSG Standards, the ACMA’s powers </w:t>
      </w:r>
      <w:r w:rsidR="00713963">
        <w:rPr>
          <w:lang w:eastAsia="en-AU"/>
        </w:rPr>
        <w:t>under Part 5 of the Act include</w:t>
      </w:r>
      <w:r>
        <w:rPr>
          <w:lang w:eastAsia="en-AU"/>
        </w:rPr>
        <w:t xml:space="preserve"> </w:t>
      </w:r>
      <w:r w:rsidR="00355372">
        <w:rPr>
          <w:lang w:eastAsia="en-AU"/>
        </w:rPr>
        <w:t xml:space="preserve">specifying a </w:t>
      </w:r>
      <w:r>
        <w:rPr>
          <w:lang w:eastAsia="en-AU"/>
        </w:rPr>
        <w:t>scale of damages for contravention</w:t>
      </w:r>
      <w:r w:rsidR="00B50BAB">
        <w:rPr>
          <w:lang w:eastAsia="en-AU"/>
        </w:rPr>
        <w:t>s</w:t>
      </w:r>
      <w:r>
        <w:rPr>
          <w:lang w:eastAsia="en-AU"/>
        </w:rPr>
        <w:t xml:space="preserve"> of standards and </w:t>
      </w:r>
      <w:r w:rsidR="00355372">
        <w:rPr>
          <w:lang w:eastAsia="en-AU"/>
        </w:rPr>
        <w:t xml:space="preserve">making </w:t>
      </w:r>
      <w:r w:rsidR="00D817C8">
        <w:rPr>
          <w:lang w:eastAsia="en-AU"/>
        </w:rPr>
        <w:t>provision for cu</w:t>
      </w:r>
      <w:r w:rsidR="00B50BAB">
        <w:rPr>
          <w:lang w:eastAsia="en-AU"/>
        </w:rPr>
        <w:t xml:space="preserve">stomers of CSPs to waive their </w:t>
      </w:r>
      <w:r w:rsidR="00D817C8">
        <w:rPr>
          <w:lang w:eastAsia="en-AU"/>
        </w:rPr>
        <w:t>protection and rights</w:t>
      </w:r>
      <w:r w:rsidR="00B50BAB">
        <w:rPr>
          <w:lang w:eastAsia="en-AU"/>
        </w:rPr>
        <w:t xml:space="preserve"> under Part 5 of the Act</w:t>
      </w:r>
      <w:r>
        <w:rPr>
          <w:lang w:eastAsia="en-AU"/>
        </w:rPr>
        <w:t>.</w:t>
      </w:r>
    </w:p>
    <w:p w:rsidR="00B50BAB" w:rsidRDefault="00B50BAB" w:rsidP="007B11A5">
      <w:pPr>
        <w:pStyle w:val="ACMABodyText"/>
        <w:rPr>
          <w:lang w:eastAsia="en-AU"/>
        </w:rPr>
      </w:pPr>
      <w:r>
        <w:rPr>
          <w:lang w:eastAsia="en-AU"/>
        </w:rPr>
        <w:t xml:space="preserve">The </w:t>
      </w:r>
      <w:r w:rsidR="00B45027" w:rsidRPr="00AE1153">
        <w:rPr>
          <w:i/>
          <w:lang w:eastAsia="en-AU"/>
        </w:rPr>
        <w:t>Telecommunications (Customer Service Guarantee) Direction No. 1 of 1999</w:t>
      </w:r>
      <w:r>
        <w:rPr>
          <w:lang w:eastAsia="en-AU"/>
        </w:rPr>
        <w:t xml:space="preserve"> (1999 Direction) was made on 11 December 1999 by the then Minister for Communications, Information Technology and the Arts under section 124 of the Act.  The Minister gave the ACMA further directions in 2001, 2003 and 2006 amending the 1999 Direction.</w:t>
      </w:r>
    </w:p>
    <w:p w:rsidR="007B11A5" w:rsidRPr="00980474" w:rsidRDefault="00B50BAB" w:rsidP="007B11A5">
      <w:pPr>
        <w:pStyle w:val="ACMABodyText"/>
        <w:rPr>
          <w:lang w:eastAsia="en-AU"/>
        </w:rPr>
      </w:pPr>
      <w:r>
        <w:rPr>
          <w:lang w:eastAsia="en-AU"/>
        </w:rPr>
        <w:t xml:space="preserve">In accordance with the 1999 Direction, the Australian Communications Authority </w:t>
      </w:r>
      <w:r w:rsidR="00C6516F">
        <w:rPr>
          <w:lang w:eastAsia="en-AU"/>
        </w:rPr>
        <w:t>(the ACA) (a predecessor regulator to</w:t>
      </w:r>
      <w:r>
        <w:rPr>
          <w:lang w:eastAsia="en-AU"/>
        </w:rPr>
        <w:t xml:space="preserve"> the ACMA</w:t>
      </w:r>
      <w:r w:rsidR="00C6516F">
        <w:rPr>
          <w:lang w:eastAsia="en-AU"/>
        </w:rPr>
        <w:t>)</w:t>
      </w:r>
      <w:r>
        <w:rPr>
          <w:lang w:eastAsia="en-AU"/>
        </w:rPr>
        <w:t xml:space="preserve"> made the </w:t>
      </w:r>
      <w:r w:rsidR="00B45027" w:rsidRPr="00AE1153">
        <w:rPr>
          <w:i/>
          <w:lang w:eastAsia="en-AU"/>
        </w:rPr>
        <w:t xml:space="preserve">Telecommunications (Customer Service Guarantee) </w:t>
      </w:r>
      <w:r>
        <w:rPr>
          <w:i/>
          <w:lang w:eastAsia="en-AU"/>
        </w:rPr>
        <w:t>Standard</w:t>
      </w:r>
      <w:r w:rsidR="00B45027" w:rsidRPr="00AE1153">
        <w:rPr>
          <w:i/>
          <w:lang w:eastAsia="en-AU"/>
        </w:rPr>
        <w:t xml:space="preserve"> 2000 (No. 2)</w:t>
      </w:r>
      <w:r>
        <w:rPr>
          <w:lang w:eastAsia="en-AU"/>
        </w:rPr>
        <w:t xml:space="preserve"> on 6 July 2000.  That Standard was amended in 2001, 2004 and 2006 in accordance with the subsequent Ministerial directions.</w:t>
      </w:r>
    </w:p>
    <w:p w:rsidR="00006989" w:rsidRDefault="00006989" w:rsidP="009E2320">
      <w:pPr>
        <w:pStyle w:val="ACMABodyText"/>
        <w:rPr>
          <w:lang w:eastAsia="en-AU"/>
        </w:rPr>
      </w:pPr>
      <w:r>
        <w:rPr>
          <w:lang w:eastAsia="en-AU"/>
        </w:rPr>
        <w:t xml:space="preserve">Subsection 125(2) of the Act provides that, if the Minister revokes a direction to the ACMA requiring it to make an instrument imposing a CSG </w:t>
      </w:r>
      <w:r w:rsidR="00CC3DCF">
        <w:rPr>
          <w:lang w:eastAsia="en-AU"/>
        </w:rPr>
        <w:t>s</w:t>
      </w:r>
      <w:r>
        <w:rPr>
          <w:lang w:eastAsia="en-AU"/>
        </w:rPr>
        <w:t xml:space="preserve">tandard, the ACMA must revoke the </w:t>
      </w:r>
      <w:r w:rsidR="00D55F79">
        <w:rPr>
          <w:lang w:eastAsia="en-AU"/>
        </w:rPr>
        <w:t xml:space="preserve">CSG </w:t>
      </w:r>
      <w:r>
        <w:rPr>
          <w:lang w:eastAsia="en-AU"/>
        </w:rPr>
        <w:t>standard that is in force because of the direction.</w:t>
      </w:r>
    </w:p>
    <w:p w:rsidR="009E6BAE" w:rsidRPr="009E6BAE" w:rsidRDefault="00B50BAB" w:rsidP="009E2320">
      <w:pPr>
        <w:pStyle w:val="ACMABodyText"/>
        <w:rPr>
          <w:lang w:eastAsia="en-AU"/>
        </w:rPr>
      </w:pPr>
      <w:r>
        <w:rPr>
          <w:lang w:eastAsia="en-AU"/>
        </w:rPr>
        <w:t>T</w:t>
      </w:r>
      <w:r w:rsidR="009E6BAE">
        <w:rPr>
          <w:lang w:eastAsia="en-AU"/>
        </w:rPr>
        <w:t xml:space="preserve">he 1999 Direction was revoked by the </w:t>
      </w:r>
      <w:r w:rsidR="009E6BAE" w:rsidRPr="00F72B61">
        <w:rPr>
          <w:i/>
          <w:lang w:eastAsia="en-AU"/>
        </w:rPr>
        <w:t>Communications (Redundant Regulation) Instrument of Revocation (No. 1) 2009</w:t>
      </w:r>
      <w:r w:rsidR="009E6BAE">
        <w:rPr>
          <w:lang w:eastAsia="en-AU"/>
        </w:rPr>
        <w:t>.</w:t>
      </w:r>
      <w:r>
        <w:rPr>
          <w:lang w:eastAsia="en-AU"/>
        </w:rPr>
        <w:t xml:space="preserve">  The revocation took effect on 24 December 2009, being the day after the instrument </w:t>
      </w:r>
      <w:r w:rsidR="00E1026D">
        <w:rPr>
          <w:lang w:eastAsia="en-AU"/>
        </w:rPr>
        <w:t>o</w:t>
      </w:r>
      <w:r>
        <w:rPr>
          <w:lang w:eastAsia="en-AU"/>
        </w:rPr>
        <w:t xml:space="preserve">f revocation was registered on the Federal Register of </w:t>
      </w:r>
      <w:r w:rsidR="00E1026D">
        <w:rPr>
          <w:lang w:eastAsia="en-AU"/>
        </w:rPr>
        <w:t>Legislative Instruments (FRLI).</w:t>
      </w:r>
      <w:r>
        <w:rPr>
          <w:lang w:eastAsia="en-AU"/>
        </w:rPr>
        <w:t xml:space="preserve"> </w:t>
      </w:r>
      <w:r w:rsidR="009E6BAE">
        <w:rPr>
          <w:lang w:eastAsia="en-AU"/>
        </w:rPr>
        <w:t xml:space="preserve"> The 2009 revocation instrument was made for the purpose</w:t>
      </w:r>
      <w:r w:rsidR="00E1026D">
        <w:rPr>
          <w:lang w:eastAsia="en-AU"/>
        </w:rPr>
        <w:t>s</w:t>
      </w:r>
      <w:r w:rsidR="009E6BAE">
        <w:rPr>
          <w:lang w:eastAsia="en-AU"/>
        </w:rPr>
        <w:t xml:space="preserve"> of </w:t>
      </w:r>
      <w:r w:rsidR="00E1026D">
        <w:rPr>
          <w:lang w:eastAsia="en-AU"/>
        </w:rPr>
        <w:t>removing from FRLI</w:t>
      </w:r>
      <w:r w:rsidR="009E6BAE">
        <w:rPr>
          <w:lang w:eastAsia="en-AU"/>
        </w:rPr>
        <w:t xml:space="preserve"> a number of </w:t>
      </w:r>
      <w:r w:rsidR="000735B9">
        <w:rPr>
          <w:lang w:eastAsia="en-AU"/>
        </w:rPr>
        <w:t xml:space="preserve">legislative </w:t>
      </w:r>
      <w:r w:rsidR="009E6BAE">
        <w:rPr>
          <w:lang w:eastAsia="en-AU"/>
        </w:rPr>
        <w:t>instruments</w:t>
      </w:r>
      <w:r w:rsidR="00E1026D">
        <w:rPr>
          <w:lang w:eastAsia="en-AU"/>
        </w:rPr>
        <w:t xml:space="preserve"> that were considered to be of no on-going effect and therefore redundant</w:t>
      </w:r>
      <w:r w:rsidR="009E6BAE">
        <w:rPr>
          <w:lang w:eastAsia="en-AU"/>
        </w:rPr>
        <w:t xml:space="preserve">. </w:t>
      </w:r>
      <w:r w:rsidR="00E1026D">
        <w:rPr>
          <w:lang w:eastAsia="en-AU"/>
        </w:rPr>
        <w:t xml:space="preserve"> The effect of </w:t>
      </w:r>
      <w:r w:rsidR="001C4A59">
        <w:rPr>
          <w:lang w:eastAsia="en-AU"/>
        </w:rPr>
        <w:t>s</w:t>
      </w:r>
      <w:r w:rsidR="009E6BAE">
        <w:rPr>
          <w:lang w:eastAsia="en-AU"/>
        </w:rPr>
        <w:t>ubsection 125(2) of the Act was overlooked</w:t>
      </w:r>
      <w:r w:rsidR="001C4A59">
        <w:rPr>
          <w:lang w:eastAsia="en-AU"/>
        </w:rPr>
        <w:t xml:space="preserve"> </w:t>
      </w:r>
      <w:r w:rsidR="00E1026D">
        <w:rPr>
          <w:lang w:eastAsia="en-AU"/>
        </w:rPr>
        <w:t xml:space="preserve">at the time the revocation instrument was made </w:t>
      </w:r>
      <w:r w:rsidR="001C4A59">
        <w:rPr>
          <w:lang w:eastAsia="en-AU"/>
        </w:rPr>
        <w:t xml:space="preserve">and </w:t>
      </w:r>
      <w:r w:rsidR="009E6BAE">
        <w:rPr>
          <w:lang w:eastAsia="en-AU"/>
        </w:rPr>
        <w:t xml:space="preserve">the CSG Standard in force at the time </w:t>
      </w:r>
      <w:r w:rsidR="00E1026D">
        <w:rPr>
          <w:lang w:eastAsia="en-AU"/>
        </w:rPr>
        <w:t xml:space="preserve">has not been </w:t>
      </w:r>
      <w:r w:rsidR="009E6BAE">
        <w:rPr>
          <w:lang w:eastAsia="en-AU"/>
        </w:rPr>
        <w:t>revoked.</w:t>
      </w:r>
    </w:p>
    <w:p w:rsidR="00F72B61" w:rsidRDefault="005126E2" w:rsidP="009E2320">
      <w:pPr>
        <w:pStyle w:val="ACMABodyText"/>
        <w:rPr>
          <w:lang w:eastAsia="en-AU"/>
        </w:rPr>
      </w:pPr>
      <w:r>
        <w:rPr>
          <w:lang w:eastAsia="en-AU"/>
        </w:rPr>
        <w:t xml:space="preserve">To address this administrative oversight, </w:t>
      </w:r>
      <w:r w:rsidR="00F72B61">
        <w:rPr>
          <w:lang w:eastAsia="en-AU"/>
        </w:rPr>
        <w:t xml:space="preserve">the </w:t>
      </w:r>
      <w:r w:rsidR="00F72B61" w:rsidRPr="0006088B">
        <w:rPr>
          <w:i/>
          <w:lang w:eastAsia="en-AU"/>
        </w:rPr>
        <w:t>Telecommunications (Customer Service Guarantee) Direction (No. 1) 2011</w:t>
      </w:r>
      <w:r w:rsidR="00F72B61">
        <w:rPr>
          <w:lang w:eastAsia="en-AU"/>
        </w:rPr>
        <w:t xml:space="preserve"> (</w:t>
      </w:r>
      <w:r w:rsidR="009325D5">
        <w:rPr>
          <w:lang w:eastAsia="en-AU"/>
        </w:rPr>
        <w:t xml:space="preserve">2011 </w:t>
      </w:r>
      <w:r w:rsidR="00F72B61">
        <w:rPr>
          <w:lang w:eastAsia="en-AU"/>
        </w:rPr>
        <w:t>Direction)</w:t>
      </w:r>
      <w:r w:rsidR="00E1026D">
        <w:rPr>
          <w:lang w:eastAsia="en-AU"/>
        </w:rPr>
        <w:t xml:space="preserve"> was made by the Minister for Broadband, Communications and the Digital Economy under section 124 of the Act.  The purpose of the 2011 Direction was to require </w:t>
      </w:r>
      <w:r w:rsidR="00F72B61">
        <w:rPr>
          <w:lang w:eastAsia="en-AU"/>
        </w:rPr>
        <w:t xml:space="preserve">the ACMA to make a new </w:t>
      </w:r>
      <w:r w:rsidR="00F72B61">
        <w:rPr>
          <w:lang w:eastAsia="en-AU"/>
        </w:rPr>
        <w:lastRenderedPageBreak/>
        <w:t xml:space="preserve">instrument imposing standards under section 115 of the Act </w:t>
      </w:r>
      <w:r w:rsidR="00E1026D">
        <w:rPr>
          <w:lang w:eastAsia="en-AU"/>
        </w:rPr>
        <w:t>in</w:t>
      </w:r>
      <w:r w:rsidR="00F72B61">
        <w:rPr>
          <w:lang w:eastAsia="en-AU"/>
        </w:rPr>
        <w:t xml:space="preserve"> the same terms as the </w:t>
      </w:r>
      <w:r w:rsidR="00E1026D" w:rsidRPr="00B50BAB">
        <w:rPr>
          <w:i/>
          <w:lang w:eastAsia="en-AU"/>
        </w:rPr>
        <w:t xml:space="preserve">Telecommunications (Customer Service Guarantee) </w:t>
      </w:r>
      <w:r w:rsidR="00E1026D">
        <w:rPr>
          <w:i/>
          <w:lang w:eastAsia="en-AU"/>
        </w:rPr>
        <w:t>Standard</w:t>
      </w:r>
      <w:r w:rsidR="00E1026D" w:rsidRPr="00B50BAB">
        <w:rPr>
          <w:i/>
          <w:lang w:eastAsia="en-AU"/>
        </w:rPr>
        <w:t xml:space="preserve"> 2000 (No. 2</w:t>
      </w:r>
      <w:r w:rsidR="00B45027" w:rsidRPr="00AE1153">
        <w:rPr>
          <w:lang w:eastAsia="en-AU"/>
        </w:rPr>
        <w:t>)</w:t>
      </w:r>
      <w:r w:rsidR="00E1026D">
        <w:rPr>
          <w:lang w:eastAsia="en-AU"/>
        </w:rPr>
        <w:t>, as</w:t>
      </w:r>
      <w:r w:rsidR="00B60EBF">
        <w:rPr>
          <w:lang w:eastAsia="en-AU"/>
        </w:rPr>
        <w:t xml:space="preserve"> </w:t>
      </w:r>
      <w:r w:rsidR="00F72B61">
        <w:rPr>
          <w:lang w:eastAsia="en-AU"/>
        </w:rPr>
        <w:t>in force on 23 December 2009.</w:t>
      </w:r>
    </w:p>
    <w:p w:rsidR="00495FE7" w:rsidRDefault="00495FE7" w:rsidP="00633B15">
      <w:pPr>
        <w:pStyle w:val="ACMABodyText"/>
        <w:rPr>
          <w:lang w:eastAsia="en-AU"/>
        </w:rPr>
      </w:pPr>
      <w:r>
        <w:rPr>
          <w:lang w:eastAsia="en-AU"/>
        </w:rPr>
        <w:t>Under section 117 of the Act, the ACMA may specify a scale of damages for contraventions of CSG Standards.  Under section 120 of the Act, the ACMA may make provision for customers of CSPs to waive, in whole or in part, their protection and rights under Part 5 of the Act.</w:t>
      </w:r>
    </w:p>
    <w:p w:rsidR="00633B15" w:rsidDel="00633B15" w:rsidRDefault="00F36C05" w:rsidP="00633B15">
      <w:pPr>
        <w:pStyle w:val="ACMABodyText"/>
        <w:rPr>
          <w:lang w:eastAsia="en-AU"/>
        </w:rPr>
      </w:pPr>
      <w:r>
        <w:rPr>
          <w:lang w:eastAsia="en-AU"/>
        </w:rPr>
        <w:t xml:space="preserve">The </w:t>
      </w:r>
      <w:r w:rsidR="0006637D">
        <w:rPr>
          <w:lang w:eastAsia="en-AU"/>
        </w:rPr>
        <w:t xml:space="preserve">2011 </w:t>
      </w:r>
      <w:r>
        <w:rPr>
          <w:lang w:eastAsia="en-AU"/>
        </w:rPr>
        <w:t xml:space="preserve">Direction </w:t>
      </w:r>
      <w:r w:rsidR="00E469D2">
        <w:rPr>
          <w:lang w:eastAsia="en-AU"/>
        </w:rPr>
        <w:t>did</w:t>
      </w:r>
      <w:r>
        <w:rPr>
          <w:lang w:eastAsia="en-AU"/>
        </w:rPr>
        <w:t xml:space="preserve"> not require the ACMA to specify matters under section 117 or section 120 of the Act</w:t>
      </w:r>
      <w:r w:rsidR="00633B15">
        <w:rPr>
          <w:lang w:eastAsia="en-AU"/>
        </w:rPr>
        <w:t xml:space="preserve">, which are currently included in the </w:t>
      </w:r>
      <w:r w:rsidR="00633B15" w:rsidRPr="00B50BAB">
        <w:rPr>
          <w:i/>
          <w:lang w:eastAsia="en-AU"/>
        </w:rPr>
        <w:t xml:space="preserve">Telecommunications (Customer Service Guarantee) </w:t>
      </w:r>
      <w:r w:rsidR="00633B15">
        <w:rPr>
          <w:i/>
          <w:lang w:eastAsia="en-AU"/>
        </w:rPr>
        <w:t>Standard</w:t>
      </w:r>
      <w:r w:rsidR="00633B15" w:rsidRPr="00B50BAB">
        <w:rPr>
          <w:i/>
          <w:lang w:eastAsia="en-AU"/>
        </w:rPr>
        <w:t xml:space="preserve"> 2000 (No. 2)</w:t>
      </w:r>
      <w:r w:rsidR="00633B15">
        <w:rPr>
          <w:lang w:eastAsia="en-AU"/>
        </w:rPr>
        <w:t>.  However, the ACMA may exercise its powers under sections 117 and 120 of the Act even if the Minister has not given the ACMA directions to do so</w:t>
      </w:r>
      <w:r>
        <w:rPr>
          <w:lang w:eastAsia="en-AU"/>
        </w:rPr>
        <w:t>.</w:t>
      </w:r>
    </w:p>
    <w:p w:rsidR="00633B15" w:rsidRDefault="00633B15" w:rsidP="00633B15">
      <w:pPr>
        <w:pStyle w:val="ACMABodyText"/>
        <w:rPr>
          <w:lang w:eastAsia="en-AU"/>
        </w:rPr>
      </w:pPr>
      <w:r>
        <w:rPr>
          <w:lang w:eastAsia="en-AU"/>
        </w:rPr>
        <w:t>The purposes of this instrument are to:</w:t>
      </w:r>
    </w:p>
    <w:p w:rsidR="00C67A07" w:rsidRDefault="00633B15" w:rsidP="00AE1153">
      <w:pPr>
        <w:pStyle w:val="ACMABodyText"/>
        <w:numPr>
          <w:ilvl w:val="0"/>
          <w:numId w:val="17"/>
        </w:numPr>
        <w:ind w:hanging="436"/>
        <w:rPr>
          <w:lang w:eastAsia="en-AU"/>
        </w:rPr>
      </w:pPr>
      <w:r>
        <w:rPr>
          <w:lang w:eastAsia="en-AU"/>
        </w:rPr>
        <w:t xml:space="preserve">revoke the </w:t>
      </w:r>
      <w:r w:rsidRPr="00B50BAB">
        <w:rPr>
          <w:i/>
          <w:lang w:eastAsia="en-AU"/>
        </w:rPr>
        <w:t xml:space="preserve">Telecommunications (Customer Service Guarantee) </w:t>
      </w:r>
      <w:r>
        <w:rPr>
          <w:i/>
          <w:lang w:eastAsia="en-AU"/>
        </w:rPr>
        <w:t>Standard</w:t>
      </w:r>
      <w:r w:rsidRPr="00B50BAB">
        <w:rPr>
          <w:i/>
          <w:lang w:eastAsia="en-AU"/>
        </w:rPr>
        <w:t xml:space="preserve"> 2000 (No. 2)</w:t>
      </w:r>
      <w:r>
        <w:rPr>
          <w:lang w:eastAsia="en-AU"/>
        </w:rPr>
        <w:t>, in accordance with subsection 125(2) of the Act;</w:t>
      </w:r>
    </w:p>
    <w:p w:rsidR="00C67A07" w:rsidRDefault="00633B15" w:rsidP="00AE1153">
      <w:pPr>
        <w:pStyle w:val="ACMABodyText"/>
        <w:numPr>
          <w:ilvl w:val="0"/>
          <w:numId w:val="17"/>
        </w:numPr>
        <w:ind w:hanging="436"/>
        <w:rPr>
          <w:lang w:eastAsia="en-AU"/>
        </w:rPr>
      </w:pPr>
      <w:r>
        <w:rPr>
          <w:lang w:eastAsia="en-AU"/>
        </w:rPr>
        <w:t xml:space="preserve">make a standard under section 115 of the Act in the same terms as the </w:t>
      </w:r>
      <w:r w:rsidRPr="00B50BAB">
        <w:rPr>
          <w:i/>
          <w:lang w:eastAsia="en-AU"/>
        </w:rPr>
        <w:t xml:space="preserve">Telecommunications (Customer Service Guarantee) </w:t>
      </w:r>
      <w:r>
        <w:rPr>
          <w:i/>
          <w:lang w:eastAsia="en-AU"/>
        </w:rPr>
        <w:t>Standard</w:t>
      </w:r>
      <w:r w:rsidRPr="00B50BAB">
        <w:rPr>
          <w:i/>
          <w:lang w:eastAsia="en-AU"/>
        </w:rPr>
        <w:t xml:space="preserve"> 2000 (No. 2)</w:t>
      </w:r>
      <w:r w:rsidR="00FF700C">
        <w:rPr>
          <w:lang w:eastAsia="en-AU"/>
        </w:rPr>
        <w:t>, as in force</w:t>
      </w:r>
      <w:r w:rsidR="00495FE7">
        <w:rPr>
          <w:lang w:eastAsia="en-AU"/>
        </w:rPr>
        <w:t xml:space="preserve"> on 23 December 2009</w:t>
      </w:r>
      <w:r>
        <w:rPr>
          <w:lang w:eastAsia="en-AU"/>
        </w:rPr>
        <w:t>, in accordance with the 2011 Direction; and</w:t>
      </w:r>
    </w:p>
    <w:p w:rsidR="00C67A07" w:rsidRDefault="00495FE7" w:rsidP="00AE1153">
      <w:pPr>
        <w:pStyle w:val="ACMABodyText"/>
        <w:numPr>
          <w:ilvl w:val="0"/>
          <w:numId w:val="17"/>
        </w:numPr>
        <w:ind w:hanging="436"/>
        <w:rPr>
          <w:lang w:eastAsia="en-AU"/>
        </w:rPr>
      </w:pPr>
      <w:r>
        <w:rPr>
          <w:lang w:eastAsia="en-AU"/>
        </w:rPr>
        <w:t xml:space="preserve">to specify a scale of damages under section 117 of the Act for contraventions of </w:t>
      </w:r>
      <w:r w:rsidR="009E1A1D">
        <w:rPr>
          <w:lang w:eastAsia="en-AU"/>
        </w:rPr>
        <w:t xml:space="preserve">CSG </w:t>
      </w:r>
      <w:r>
        <w:rPr>
          <w:lang w:eastAsia="en-AU"/>
        </w:rPr>
        <w:t xml:space="preserve">standards and to make provision under section 120 of the Act for CSP customers to waive their CSG protection and rights in the same terms as the </w:t>
      </w:r>
      <w:r w:rsidRPr="00B50BAB">
        <w:rPr>
          <w:i/>
          <w:lang w:eastAsia="en-AU"/>
        </w:rPr>
        <w:t xml:space="preserve">Telecommunications (Customer Service Guarantee) </w:t>
      </w:r>
      <w:r>
        <w:rPr>
          <w:i/>
          <w:lang w:eastAsia="en-AU"/>
        </w:rPr>
        <w:t>Standard</w:t>
      </w:r>
      <w:r w:rsidRPr="00B50BAB">
        <w:rPr>
          <w:i/>
          <w:lang w:eastAsia="en-AU"/>
        </w:rPr>
        <w:t xml:space="preserve"> 2000 (No. 2)</w:t>
      </w:r>
      <w:r>
        <w:rPr>
          <w:lang w:eastAsia="en-AU"/>
        </w:rPr>
        <w:t xml:space="preserve">, </w:t>
      </w:r>
      <w:r w:rsidR="009E1A1D">
        <w:rPr>
          <w:lang w:eastAsia="en-AU"/>
        </w:rPr>
        <w:t xml:space="preserve">thereby maintaining the status quo by continuing </w:t>
      </w:r>
      <w:r>
        <w:rPr>
          <w:lang w:eastAsia="en-AU"/>
        </w:rPr>
        <w:t>existing arrangements</w:t>
      </w:r>
      <w:r w:rsidR="009E1A1D">
        <w:rPr>
          <w:lang w:eastAsia="en-AU"/>
        </w:rPr>
        <w:t>.</w:t>
      </w:r>
    </w:p>
    <w:p w:rsidR="0006088B" w:rsidRDefault="009C7CF0" w:rsidP="009E2320">
      <w:pPr>
        <w:pStyle w:val="ACMABodyText"/>
        <w:rPr>
          <w:lang w:eastAsia="en-AU"/>
        </w:rPr>
      </w:pPr>
      <w:r>
        <w:rPr>
          <w:lang w:eastAsia="en-AU"/>
        </w:rPr>
        <w:t xml:space="preserve">The name of the </w:t>
      </w:r>
      <w:r w:rsidR="00B85089">
        <w:rPr>
          <w:lang w:eastAsia="en-AU"/>
        </w:rPr>
        <w:t xml:space="preserve">new </w:t>
      </w:r>
      <w:r w:rsidR="0006637D">
        <w:rPr>
          <w:lang w:eastAsia="en-AU"/>
        </w:rPr>
        <w:t xml:space="preserve">CSG Standard </w:t>
      </w:r>
      <w:r>
        <w:rPr>
          <w:lang w:eastAsia="en-AU"/>
        </w:rPr>
        <w:t xml:space="preserve">is the </w:t>
      </w:r>
      <w:r w:rsidRPr="00731D4D">
        <w:rPr>
          <w:i/>
          <w:lang w:eastAsia="en-AU"/>
        </w:rPr>
        <w:t xml:space="preserve">Telecommunications (Customer Service </w:t>
      </w:r>
      <w:r w:rsidR="00FF4C98" w:rsidRPr="00731D4D">
        <w:rPr>
          <w:i/>
          <w:lang w:eastAsia="en-AU"/>
        </w:rPr>
        <w:t>Guarantee) Standard 2011</w:t>
      </w:r>
      <w:r w:rsidR="00386D73">
        <w:rPr>
          <w:lang w:eastAsia="en-AU"/>
        </w:rPr>
        <w:t>.</w:t>
      </w:r>
    </w:p>
    <w:p w:rsidR="009D4C50" w:rsidRPr="009D4C50" w:rsidRDefault="006E6CED" w:rsidP="009C281A">
      <w:pPr>
        <w:pStyle w:val="ACMABodyText"/>
        <w:rPr>
          <w:b/>
        </w:rPr>
      </w:pPr>
      <w:r>
        <w:rPr>
          <w:b/>
          <w:sz w:val="28"/>
          <w:szCs w:val="28"/>
        </w:rPr>
        <w:t>Consultation</w:t>
      </w:r>
    </w:p>
    <w:p w:rsidR="008C1677" w:rsidRPr="00BB3608" w:rsidRDefault="008C1677" w:rsidP="003C4450">
      <w:pPr>
        <w:pStyle w:val="ACMABodyText"/>
        <w:rPr>
          <w:b/>
          <w:i/>
        </w:rPr>
      </w:pPr>
      <w:r w:rsidRPr="00BB3608">
        <w:rPr>
          <w:b/>
          <w:i/>
        </w:rPr>
        <w:t>Previous instruments</w:t>
      </w:r>
    </w:p>
    <w:p w:rsidR="003C4450" w:rsidRPr="00E86FBB" w:rsidRDefault="003C4450" w:rsidP="003C4450">
      <w:pPr>
        <w:pStyle w:val="ACMABodyText"/>
      </w:pPr>
      <w:r w:rsidRPr="00E86FBB">
        <w:t xml:space="preserve">Prior to making the </w:t>
      </w:r>
      <w:r w:rsidR="006F7E4D" w:rsidRPr="006F7E4D">
        <w:rPr>
          <w:i/>
        </w:rPr>
        <w:t>Telecommunications (Customer Service Guarantee) Standard 2000 (No. 2)</w:t>
      </w:r>
      <w:r w:rsidR="006F7E4D">
        <w:t>,</w:t>
      </w:r>
      <w:r w:rsidRPr="00E86FBB">
        <w:t xml:space="preserve"> the ACA undertook consultation with the telecommunications industry and groups representing consumers of carriage services. Comments received from these groups were taken into account by the ACA when making </w:t>
      </w:r>
      <w:r w:rsidR="00C6516F">
        <w:t>that</w:t>
      </w:r>
      <w:r w:rsidRPr="00E86FBB">
        <w:t xml:space="preserve"> Standard.</w:t>
      </w:r>
    </w:p>
    <w:p w:rsidR="003C4450" w:rsidRDefault="003C4450" w:rsidP="003C4450">
      <w:pPr>
        <w:pStyle w:val="ACMABodyText"/>
      </w:pPr>
      <w:r>
        <w:t xml:space="preserve">In addition, before making the 2001, 2004 and 2006 </w:t>
      </w:r>
      <w:r w:rsidR="007C2E96">
        <w:t>a</w:t>
      </w:r>
      <w:r>
        <w:t>mend</w:t>
      </w:r>
      <w:r w:rsidR="007C2E96">
        <w:t>ing</w:t>
      </w:r>
      <w:r>
        <w:t xml:space="preserve"> Standards, based on the three Directions received from the Minister, the ACA</w:t>
      </w:r>
      <w:r w:rsidR="00C6516F">
        <w:t xml:space="preserve"> or </w:t>
      </w:r>
      <w:r w:rsidR="006E6DA5">
        <w:t>ACMA again</w:t>
      </w:r>
      <w:r w:rsidR="0050152D">
        <w:t xml:space="preserve"> </w:t>
      </w:r>
      <w:r>
        <w:t xml:space="preserve">consulted stakeholders and considered and applied </w:t>
      </w:r>
      <w:r w:rsidR="006E6DA5">
        <w:t>(where appropriate)</w:t>
      </w:r>
      <w:r>
        <w:t xml:space="preserve"> the comments and suggestions </w:t>
      </w:r>
      <w:r w:rsidR="00FE4CC6">
        <w:t>received</w:t>
      </w:r>
      <w:r>
        <w:t xml:space="preserve"> during consultation on each of the </w:t>
      </w:r>
      <w:r w:rsidR="008C1677">
        <w:t xml:space="preserve">three </w:t>
      </w:r>
      <w:r w:rsidR="001E5D99">
        <w:t>a</w:t>
      </w:r>
      <w:r>
        <w:t>mend</w:t>
      </w:r>
      <w:r w:rsidR="001E5D99">
        <w:t>ing</w:t>
      </w:r>
      <w:r>
        <w:t xml:space="preserve"> Standards. </w:t>
      </w:r>
    </w:p>
    <w:p w:rsidR="008C1677" w:rsidRPr="00BB3608" w:rsidRDefault="008C1677" w:rsidP="00A90F43">
      <w:pPr>
        <w:pStyle w:val="ACMABodyText"/>
        <w:rPr>
          <w:b/>
          <w:i/>
        </w:rPr>
      </w:pPr>
      <w:r w:rsidRPr="00BB3608">
        <w:rPr>
          <w:b/>
          <w:i/>
        </w:rPr>
        <w:t>Current instrument</w:t>
      </w:r>
    </w:p>
    <w:p w:rsidR="009E1A1D" w:rsidRDefault="00A90F43" w:rsidP="00665724">
      <w:pPr>
        <w:pStyle w:val="ACMABodyText"/>
      </w:pPr>
      <w:r>
        <w:t>In revoking the</w:t>
      </w:r>
      <w:r w:rsidR="00B50C89">
        <w:t xml:space="preserve"> </w:t>
      </w:r>
      <w:r w:rsidR="00B50C89" w:rsidRPr="00CE5834">
        <w:rPr>
          <w:i/>
        </w:rPr>
        <w:t>Telecommunications (Customer Service Guarantee) Standard 2000 (No. 2)</w:t>
      </w:r>
      <w:r>
        <w:t xml:space="preserve"> </w:t>
      </w:r>
      <w:r w:rsidRPr="00386EBA">
        <w:t xml:space="preserve">and making </w:t>
      </w:r>
      <w:r>
        <w:t xml:space="preserve">the new </w:t>
      </w:r>
      <w:r w:rsidRPr="00386EBA">
        <w:t xml:space="preserve">CSG </w:t>
      </w:r>
      <w:r>
        <w:t>S</w:t>
      </w:r>
      <w:r w:rsidRPr="00386EBA">
        <w:t>tandard</w:t>
      </w:r>
      <w:r w:rsidR="00D72DBF">
        <w:t xml:space="preserve"> </w:t>
      </w:r>
      <w:r w:rsidR="009E1A1D">
        <w:t>in</w:t>
      </w:r>
      <w:r w:rsidR="00D72DBF">
        <w:t xml:space="preserve"> the same terms</w:t>
      </w:r>
      <w:r w:rsidR="00B50C89">
        <w:t>,</w:t>
      </w:r>
      <w:r w:rsidRPr="00386EBA">
        <w:t xml:space="preserve"> </w:t>
      </w:r>
      <w:r>
        <w:t>the ACMA did not undertake consultation.</w:t>
      </w:r>
      <w:r w:rsidR="00C6516F">
        <w:t xml:space="preserve"> </w:t>
      </w:r>
      <w:r>
        <w:t xml:space="preserve"> </w:t>
      </w:r>
      <w:r w:rsidR="00B50C89">
        <w:t xml:space="preserve">The new CSG Standard </w:t>
      </w:r>
      <w:r w:rsidR="00B53163">
        <w:t>d</w:t>
      </w:r>
      <w:r w:rsidR="008E39FF">
        <w:t>oes</w:t>
      </w:r>
      <w:r w:rsidR="00CB4D33">
        <w:t xml:space="preserve"> </w:t>
      </w:r>
      <w:r w:rsidRPr="00386EBA">
        <w:t xml:space="preserve">not alter existing arrangements and </w:t>
      </w:r>
      <w:r w:rsidR="008E39FF">
        <w:t>is</w:t>
      </w:r>
      <w:r w:rsidRPr="00386EBA">
        <w:t xml:space="preserve"> </w:t>
      </w:r>
      <w:r w:rsidR="00FE4CC6">
        <w:t xml:space="preserve">considered to be </w:t>
      </w:r>
      <w:r w:rsidRPr="00386EBA">
        <w:t>‘machinery in nature’.</w:t>
      </w:r>
      <w:r w:rsidR="00C6516F">
        <w:t xml:space="preserve"> </w:t>
      </w:r>
      <w:r w:rsidRPr="00386EBA">
        <w:t xml:space="preserve"> </w:t>
      </w:r>
      <w:r w:rsidR="00BB3608">
        <w:t>This approach accord</w:t>
      </w:r>
      <w:r w:rsidR="008E39FF">
        <w:t>s</w:t>
      </w:r>
      <w:r w:rsidR="00BB3608">
        <w:t xml:space="preserve"> with </w:t>
      </w:r>
      <w:r w:rsidR="008C1677">
        <w:t xml:space="preserve">section </w:t>
      </w:r>
      <w:r w:rsidRPr="00386EBA">
        <w:t xml:space="preserve">18 of the </w:t>
      </w:r>
      <w:r w:rsidR="00B45027" w:rsidRPr="00AE1153">
        <w:rPr>
          <w:i/>
        </w:rPr>
        <w:t>Legislative Instruments Act 2003</w:t>
      </w:r>
      <w:r w:rsidR="009E1A1D">
        <w:t>,</w:t>
      </w:r>
      <w:r w:rsidRPr="00386EBA">
        <w:t xml:space="preserve"> </w:t>
      </w:r>
      <w:r w:rsidR="006E6DA5">
        <w:t>which provide</w:t>
      </w:r>
      <w:r w:rsidR="009E1A1D">
        <w:t>s</w:t>
      </w:r>
      <w:r w:rsidR="006E6DA5">
        <w:t xml:space="preserve"> that consultation is not </w:t>
      </w:r>
      <w:r w:rsidR="009E1A1D">
        <w:t>necessary</w:t>
      </w:r>
      <w:r w:rsidR="006E6DA5">
        <w:t xml:space="preserve"> where</w:t>
      </w:r>
      <w:r w:rsidR="007E01B1">
        <w:t xml:space="preserve"> </w:t>
      </w:r>
      <w:r w:rsidR="006E6DA5">
        <w:t>an instrument is</w:t>
      </w:r>
      <w:r w:rsidR="006E6DA5" w:rsidRPr="007E01B1">
        <w:t xml:space="preserve"> of a machinery nature and does not substantially alter existing </w:t>
      </w:r>
      <w:r w:rsidR="007E01B1" w:rsidRPr="007E01B1">
        <w:t>arrangements</w:t>
      </w:r>
      <w:r w:rsidR="007E01B1">
        <w:t xml:space="preserve">. </w:t>
      </w:r>
      <w:r w:rsidR="00C6516F">
        <w:t xml:space="preserve"> </w:t>
      </w:r>
      <w:r w:rsidR="00771FBF">
        <w:t xml:space="preserve">As </w:t>
      </w:r>
      <w:r w:rsidRPr="00386EBA">
        <w:t xml:space="preserve">the overall impact of this regulatory proposal on </w:t>
      </w:r>
      <w:r w:rsidR="00D300D3">
        <w:t>CSPs</w:t>
      </w:r>
      <w:r w:rsidR="00AE1153">
        <w:t xml:space="preserve"> </w:t>
      </w:r>
      <w:r w:rsidR="008E39FF">
        <w:t>is</w:t>
      </w:r>
      <w:r w:rsidR="00771FBF" w:rsidRPr="00386EBA">
        <w:t xml:space="preserve"> </w:t>
      </w:r>
      <w:r w:rsidRPr="00386EBA">
        <w:t>low</w:t>
      </w:r>
      <w:r w:rsidR="006E6DA5">
        <w:t>,</w:t>
      </w:r>
      <w:r w:rsidRPr="00386EBA">
        <w:t xml:space="preserve"> the ACMA </w:t>
      </w:r>
      <w:r w:rsidR="008D3E49">
        <w:t xml:space="preserve">sought and </w:t>
      </w:r>
      <w:r w:rsidRPr="00386EBA">
        <w:t xml:space="preserve">obtained a Regulatory Impact Statement </w:t>
      </w:r>
      <w:r w:rsidRPr="00386EBA">
        <w:lastRenderedPageBreak/>
        <w:t>exemption from the Office of Best Practice Regulation on 21 February 2011 (Ref</w:t>
      </w:r>
      <w:r w:rsidR="008D3E49">
        <w:t>.</w:t>
      </w:r>
      <w:r w:rsidRPr="00386EBA">
        <w:t xml:space="preserve"> ID: 12349).</w:t>
      </w:r>
    </w:p>
    <w:p w:rsidR="00A73764" w:rsidRPr="009D4C50" w:rsidRDefault="009E1932" w:rsidP="00A73764">
      <w:pPr>
        <w:pStyle w:val="ACMABodyText"/>
        <w:rPr>
          <w:b/>
        </w:rPr>
      </w:pPr>
      <w:r>
        <w:rPr>
          <w:b/>
          <w:sz w:val="28"/>
          <w:szCs w:val="28"/>
        </w:rPr>
        <w:t xml:space="preserve">The </w:t>
      </w:r>
      <w:r w:rsidR="00A73764">
        <w:rPr>
          <w:b/>
          <w:sz w:val="28"/>
          <w:szCs w:val="28"/>
        </w:rPr>
        <w:t xml:space="preserve">New Standard </w:t>
      </w:r>
    </w:p>
    <w:p w:rsidR="00A73764" w:rsidRDefault="0081326C" w:rsidP="009E1A1D">
      <w:pPr>
        <w:pStyle w:val="ACMABodyText"/>
        <w:rPr>
          <w:lang w:eastAsia="en-AU"/>
        </w:rPr>
      </w:pPr>
      <w:r>
        <w:rPr>
          <w:lang w:eastAsia="en-AU"/>
        </w:rPr>
        <w:t>There are no substantive differences between th</w:t>
      </w:r>
      <w:r w:rsidR="00AE668D">
        <w:rPr>
          <w:lang w:eastAsia="en-AU"/>
        </w:rPr>
        <w:t xml:space="preserve">e </w:t>
      </w:r>
      <w:r w:rsidR="00AE668D" w:rsidRPr="00A55943">
        <w:rPr>
          <w:i/>
          <w:lang w:eastAsia="en-AU"/>
        </w:rPr>
        <w:t>Telecommunications (Customer Service Guarantee) Standard 2011</w:t>
      </w:r>
      <w:r w:rsidR="00AE668D" w:rsidRPr="00F21926">
        <w:rPr>
          <w:lang w:eastAsia="en-AU"/>
        </w:rPr>
        <w:t>(the New Standard)</w:t>
      </w:r>
      <w:r w:rsidR="00AE668D">
        <w:rPr>
          <w:i/>
          <w:lang w:eastAsia="en-AU"/>
        </w:rPr>
        <w:t xml:space="preserve"> </w:t>
      </w:r>
      <w:r>
        <w:rPr>
          <w:lang w:eastAsia="en-AU"/>
        </w:rPr>
        <w:t xml:space="preserve">and the </w:t>
      </w:r>
      <w:r w:rsidRPr="00A55943">
        <w:rPr>
          <w:i/>
          <w:lang w:eastAsia="en-AU"/>
        </w:rPr>
        <w:t>Telecommunications (Customer Service Guarantee) Standard 20</w:t>
      </w:r>
      <w:r>
        <w:rPr>
          <w:i/>
          <w:lang w:eastAsia="en-AU"/>
        </w:rPr>
        <w:t xml:space="preserve">00 (No. 2) </w:t>
      </w:r>
      <w:r w:rsidRPr="00F21926">
        <w:rPr>
          <w:lang w:eastAsia="en-AU"/>
        </w:rPr>
        <w:t xml:space="preserve">(the former Standard).  </w:t>
      </w:r>
      <w:r>
        <w:rPr>
          <w:lang w:eastAsia="en-AU"/>
        </w:rPr>
        <w:t xml:space="preserve">The new Standard </w:t>
      </w:r>
      <w:r w:rsidR="00AE668D">
        <w:rPr>
          <w:lang w:eastAsia="en-AU"/>
        </w:rPr>
        <w:t>is in the same terms as the</w:t>
      </w:r>
      <w:r>
        <w:rPr>
          <w:lang w:eastAsia="en-AU"/>
        </w:rPr>
        <w:t xml:space="preserve"> former Standard</w:t>
      </w:r>
      <w:r w:rsidR="00AE668D">
        <w:rPr>
          <w:lang w:eastAsia="en-AU"/>
        </w:rPr>
        <w:t xml:space="preserve"> other</w:t>
      </w:r>
      <w:r w:rsidR="00C6516F">
        <w:rPr>
          <w:lang w:eastAsia="en-AU"/>
        </w:rPr>
        <w:t xml:space="preserve"> than to the extent noted below:</w:t>
      </w:r>
    </w:p>
    <w:p w:rsidR="00AE668D" w:rsidRDefault="00AE668D" w:rsidP="00AE668D">
      <w:pPr>
        <w:pStyle w:val="ACMABodyText"/>
        <w:numPr>
          <w:ilvl w:val="0"/>
          <w:numId w:val="19"/>
        </w:numPr>
        <w:rPr>
          <w:lang w:eastAsia="en-AU"/>
        </w:rPr>
      </w:pPr>
      <w:r>
        <w:rPr>
          <w:lang w:eastAsia="en-AU"/>
        </w:rPr>
        <w:t>The section numbers have been updated.</w:t>
      </w:r>
    </w:p>
    <w:p w:rsidR="00AE668D" w:rsidRDefault="00AE668D" w:rsidP="00AE668D">
      <w:pPr>
        <w:pStyle w:val="ACMABodyText"/>
        <w:numPr>
          <w:ilvl w:val="0"/>
          <w:numId w:val="19"/>
        </w:numPr>
        <w:rPr>
          <w:lang w:eastAsia="en-AU"/>
        </w:rPr>
      </w:pPr>
      <w:r>
        <w:rPr>
          <w:lang w:eastAsia="en-AU"/>
        </w:rPr>
        <w:t>An obsolete definition has been removed (see the definition of “designated basic rate ISDN service” in section 4 of the former Standard).</w:t>
      </w:r>
    </w:p>
    <w:p w:rsidR="00AE668D" w:rsidRDefault="00AE668D" w:rsidP="00AE668D">
      <w:pPr>
        <w:pStyle w:val="ACMABodyText"/>
        <w:numPr>
          <w:ilvl w:val="0"/>
          <w:numId w:val="19"/>
        </w:numPr>
        <w:rPr>
          <w:lang w:eastAsia="en-AU"/>
        </w:rPr>
      </w:pPr>
      <w:r>
        <w:rPr>
          <w:lang w:eastAsia="en-AU"/>
        </w:rPr>
        <w:t xml:space="preserve">Some </w:t>
      </w:r>
      <w:r w:rsidR="009E1932">
        <w:rPr>
          <w:lang w:eastAsia="en-AU"/>
        </w:rPr>
        <w:t>N</w:t>
      </w:r>
      <w:r>
        <w:rPr>
          <w:lang w:eastAsia="en-AU"/>
        </w:rPr>
        <w:t xml:space="preserve">otes have been updated </w:t>
      </w:r>
      <w:r w:rsidR="009E1932">
        <w:rPr>
          <w:lang w:eastAsia="en-AU"/>
        </w:rPr>
        <w:t>so that they</w:t>
      </w:r>
      <w:r>
        <w:rPr>
          <w:lang w:eastAsia="en-AU"/>
        </w:rPr>
        <w:t xml:space="preserve"> refer to current instruments and documents.</w:t>
      </w:r>
    </w:p>
    <w:p w:rsidR="00AE668D" w:rsidRDefault="00AE668D" w:rsidP="00AE668D">
      <w:pPr>
        <w:pStyle w:val="ACMABodyText"/>
        <w:numPr>
          <w:ilvl w:val="0"/>
          <w:numId w:val="19"/>
        </w:numPr>
        <w:rPr>
          <w:lang w:eastAsia="en-AU"/>
        </w:rPr>
      </w:pPr>
      <w:r>
        <w:rPr>
          <w:lang w:eastAsia="en-AU"/>
        </w:rPr>
        <w:t>Transitional provisions have been included to ensure that processes that were in place, and protections that were available, under the former Standard will continue to be available under the new Standard.</w:t>
      </w:r>
    </w:p>
    <w:p w:rsidR="009E1A1D" w:rsidRDefault="009E1932" w:rsidP="009E1A1D">
      <w:pPr>
        <w:pStyle w:val="ACMABodyText"/>
        <w:rPr>
          <w:lang w:eastAsia="en-AU"/>
        </w:rPr>
      </w:pPr>
      <w:r>
        <w:rPr>
          <w:lang w:eastAsia="en-AU"/>
        </w:rPr>
        <w:t>Details of the N</w:t>
      </w:r>
      <w:r w:rsidR="009E1A1D">
        <w:rPr>
          <w:lang w:eastAsia="en-AU"/>
        </w:rPr>
        <w:t>ew Standard</w:t>
      </w:r>
      <w:r w:rsidR="00A55943">
        <w:rPr>
          <w:lang w:eastAsia="en-AU"/>
        </w:rPr>
        <w:t xml:space="preserve">—the </w:t>
      </w:r>
      <w:r w:rsidR="00A55943" w:rsidRPr="00A55943">
        <w:rPr>
          <w:i/>
          <w:lang w:eastAsia="en-AU"/>
        </w:rPr>
        <w:t>Telecommunications (Customer Service Guarantee) Standard 2011</w:t>
      </w:r>
      <w:r w:rsidR="00A55943">
        <w:rPr>
          <w:lang w:eastAsia="en-AU"/>
        </w:rPr>
        <w:t>—</w:t>
      </w:r>
      <w:r w:rsidR="009E1A1D">
        <w:rPr>
          <w:lang w:eastAsia="en-AU"/>
        </w:rPr>
        <w:t>are set out in the Attachment.</w:t>
      </w:r>
    </w:p>
    <w:p w:rsidR="00C67A07" w:rsidRPr="00AE1153" w:rsidRDefault="00B50C89" w:rsidP="00AE1153">
      <w:pPr>
        <w:pStyle w:val="ACMABodyText"/>
        <w:jc w:val="center"/>
        <w:rPr>
          <w:b/>
          <w:sz w:val="28"/>
          <w:szCs w:val="28"/>
        </w:rPr>
      </w:pPr>
      <w:r>
        <w:rPr>
          <w:b/>
          <w:u w:val="single"/>
        </w:rPr>
        <w:br w:type="page"/>
      </w:r>
      <w:r w:rsidR="00B45027" w:rsidRPr="00AE1153">
        <w:rPr>
          <w:b/>
          <w:sz w:val="28"/>
          <w:szCs w:val="28"/>
          <w:u w:val="single"/>
        </w:rPr>
        <w:t>ATTACHMENT</w:t>
      </w:r>
    </w:p>
    <w:p w:rsidR="007B1D58" w:rsidRPr="00AE1153" w:rsidRDefault="008F29EB" w:rsidP="006E6CED">
      <w:pPr>
        <w:pStyle w:val="ACMABodyText"/>
        <w:rPr>
          <w:b/>
          <w:sz w:val="28"/>
          <w:szCs w:val="28"/>
        </w:rPr>
      </w:pPr>
      <w:r w:rsidRPr="00AA7A2D">
        <w:rPr>
          <w:b/>
          <w:sz w:val="28"/>
          <w:szCs w:val="28"/>
        </w:rPr>
        <w:t xml:space="preserve">Notes </w:t>
      </w:r>
      <w:r w:rsidR="00D3094D" w:rsidRPr="00AA7A2D">
        <w:rPr>
          <w:b/>
          <w:sz w:val="28"/>
          <w:szCs w:val="28"/>
        </w:rPr>
        <w:t xml:space="preserve">on </w:t>
      </w:r>
      <w:r w:rsidR="000E12D1" w:rsidRPr="00AA7A2D">
        <w:rPr>
          <w:b/>
          <w:sz w:val="28"/>
          <w:szCs w:val="28"/>
        </w:rPr>
        <w:t>s</w:t>
      </w:r>
      <w:r w:rsidRPr="00AA7A2D">
        <w:rPr>
          <w:b/>
          <w:sz w:val="28"/>
          <w:szCs w:val="28"/>
        </w:rPr>
        <w:t>ections</w:t>
      </w:r>
    </w:p>
    <w:p w:rsidR="007B1D58" w:rsidRDefault="004B1FAE" w:rsidP="004B1FAE">
      <w:pPr>
        <w:rPr>
          <w:b/>
        </w:rPr>
      </w:pPr>
      <w:r w:rsidRPr="004B1FAE">
        <w:rPr>
          <w:b/>
        </w:rPr>
        <w:t>Part 1</w:t>
      </w:r>
      <w:r w:rsidR="00142856">
        <w:rPr>
          <w:b/>
        </w:rPr>
        <w:t xml:space="preserve"> – Introductory</w:t>
      </w:r>
    </w:p>
    <w:p w:rsidR="00142856" w:rsidRPr="004B1FAE" w:rsidRDefault="00142856" w:rsidP="004B1FAE">
      <w:pPr>
        <w:rPr>
          <w:b/>
        </w:rPr>
      </w:pPr>
    </w:p>
    <w:p w:rsidR="007B1D58" w:rsidRPr="005C5E78" w:rsidRDefault="008F29EB" w:rsidP="007B1D58">
      <w:pPr>
        <w:rPr>
          <w:b/>
        </w:rPr>
      </w:pPr>
      <w:r w:rsidRPr="005C5E78">
        <w:rPr>
          <w:b/>
        </w:rPr>
        <w:t xml:space="preserve">Section 1 – </w:t>
      </w:r>
      <w:r w:rsidR="00B17DD6">
        <w:rPr>
          <w:b/>
        </w:rPr>
        <w:t>Name of instrument</w:t>
      </w:r>
    </w:p>
    <w:p w:rsidR="007B1D58" w:rsidRPr="005C5E78" w:rsidRDefault="00AA7A2D" w:rsidP="00144834">
      <w:pPr>
        <w:spacing w:before="80" w:after="120"/>
      </w:pPr>
      <w:r>
        <w:t xml:space="preserve">Section 1 provides that the name of the instrument is the </w:t>
      </w:r>
      <w:r w:rsidR="00B45027" w:rsidRPr="00AE1153">
        <w:rPr>
          <w:i/>
        </w:rPr>
        <w:t>Telecommunications (Customer Service Guarantee) Standard 2011</w:t>
      </w:r>
      <w:r>
        <w:t>.</w:t>
      </w:r>
    </w:p>
    <w:p w:rsidR="004D21D8" w:rsidRDefault="004D21D8" w:rsidP="003E40EA">
      <w:pPr>
        <w:rPr>
          <w:b/>
        </w:rPr>
      </w:pPr>
    </w:p>
    <w:p w:rsidR="003E40EA" w:rsidRPr="005C5E78" w:rsidRDefault="003E40EA" w:rsidP="003E40EA">
      <w:pPr>
        <w:rPr>
          <w:b/>
        </w:rPr>
      </w:pPr>
      <w:r w:rsidRPr="005C5E78">
        <w:rPr>
          <w:b/>
        </w:rPr>
        <w:t xml:space="preserve">Section </w:t>
      </w:r>
      <w:r>
        <w:rPr>
          <w:b/>
        </w:rPr>
        <w:t>2</w:t>
      </w:r>
      <w:r w:rsidRPr="005C5E78">
        <w:rPr>
          <w:b/>
        </w:rPr>
        <w:t xml:space="preserve"> – </w:t>
      </w:r>
      <w:r>
        <w:rPr>
          <w:b/>
        </w:rPr>
        <w:t>Commencement</w:t>
      </w:r>
    </w:p>
    <w:p w:rsidR="007B1D58" w:rsidRDefault="003E40EA" w:rsidP="00F720E5">
      <w:pPr>
        <w:spacing w:before="80" w:after="120"/>
      </w:pPr>
      <w:r>
        <w:t xml:space="preserve">Section 2 provides </w:t>
      </w:r>
      <w:r w:rsidR="00AA7A2D">
        <w:t>that</w:t>
      </w:r>
      <w:r w:rsidR="00C243EC">
        <w:t xml:space="preserve"> the </w:t>
      </w:r>
      <w:r w:rsidR="00DF0744" w:rsidRPr="00731D4D">
        <w:rPr>
          <w:i/>
        </w:rPr>
        <w:t>Telecommunications (Customer Service Guarantee) Standard 2011</w:t>
      </w:r>
      <w:r w:rsidR="00C243EC">
        <w:t xml:space="preserve"> </w:t>
      </w:r>
      <w:r w:rsidR="00AA7A2D">
        <w:t>will</w:t>
      </w:r>
      <w:r>
        <w:t xml:space="preserve"> commence </w:t>
      </w:r>
      <w:r w:rsidR="00F41EA7">
        <w:t>on the day it is registered on the Federal Register of Legislative Instruments.</w:t>
      </w:r>
    </w:p>
    <w:p w:rsidR="004D21D8" w:rsidRDefault="004D21D8" w:rsidP="009E2320">
      <w:pPr>
        <w:autoSpaceDE w:val="0"/>
        <w:autoSpaceDN w:val="0"/>
        <w:adjustRightInd w:val="0"/>
        <w:rPr>
          <w:b/>
          <w:bCs/>
        </w:rPr>
      </w:pPr>
    </w:p>
    <w:p w:rsidR="009E2320" w:rsidRPr="005C5E78" w:rsidRDefault="00973848" w:rsidP="009E2320">
      <w:pPr>
        <w:autoSpaceDE w:val="0"/>
        <w:autoSpaceDN w:val="0"/>
        <w:adjustRightInd w:val="0"/>
        <w:rPr>
          <w:b/>
          <w:bCs/>
        </w:rPr>
      </w:pPr>
      <w:r w:rsidRPr="005C5E78">
        <w:rPr>
          <w:b/>
          <w:bCs/>
        </w:rPr>
        <w:t xml:space="preserve">Section 3 – </w:t>
      </w:r>
      <w:r w:rsidR="00A929B0">
        <w:rPr>
          <w:b/>
          <w:bCs/>
        </w:rPr>
        <w:t>Revocation</w:t>
      </w:r>
      <w:r w:rsidRPr="005C5E78">
        <w:rPr>
          <w:b/>
          <w:bCs/>
        </w:rPr>
        <w:t xml:space="preserve"> of </w:t>
      </w:r>
      <w:r w:rsidRPr="005C5E78">
        <w:rPr>
          <w:b/>
          <w:bCs/>
          <w:i/>
        </w:rPr>
        <w:t>Telecommunications (Customer Service Guarantee) Standard 2000 (No.</w:t>
      </w:r>
      <w:r w:rsidR="00FF78AB">
        <w:rPr>
          <w:b/>
          <w:bCs/>
          <w:i/>
        </w:rPr>
        <w:t xml:space="preserve"> </w:t>
      </w:r>
      <w:r w:rsidRPr="005C5E78">
        <w:rPr>
          <w:b/>
          <w:bCs/>
          <w:i/>
        </w:rPr>
        <w:t>2)</w:t>
      </w:r>
    </w:p>
    <w:p w:rsidR="00973848" w:rsidRPr="00973848" w:rsidRDefault="00820136" w:rsidP="00144834">
      <w:pPr>
        <w:autoSpaceDE w:val="0"/>
        <w:autoSpaceDN w:val="0"/>
        <w:adjustRightInd w:val="0"/>
        <w:spacing w:before="80" w:after="120"/>
        <w:rPr>
          <w:i/>
        </w:rPr>
      </w:pPr>
      <w:r w:rsidRPr="00243EB2">
        <w:t>Section 3</w:t>
      </w:r>
      <w:r w:rsidR="00820F6D" w:rsidRPr="00243EB2">
        <w:t xml:space="preserve"> </w:t>
      </w:r>
      <w:r w:rsidR="00A929B0" w:rsidRPr="00243EB2">
        <w:t>revokes</w:t>
      </w:r>
      <w:r w:rsidR="00973848" w:rsidRPr="00243EB2">
        <w:t xml:space="preserve"> the </w:t>
      </w:r>
      <w:r w:rsidR="001B074A" w:rsidRPr="001B074A">
        <w:rPr>
          <w:i/>
        </w:rPr>
        <w:t>Telecommunications (Customer Service Guarantee) Standard 2000 (No. 2)</w:t>
      </w:r>
      <w:r w:rsidR="00906864">
        <w:t>.</w:t>
      </w:r>
      <w:r w:rsidR="00243EB2">
        <w:t xml:space="preserve"> </w:t>
      </w:r>
    </w:p>
    <w:p w:rsidR="004D21D8" w:rsidRDefault="004D21D8" w:rsidP="00C70C36">
      <w:pPr>
        <w:rPr>
          <w:b/>
        </w:rPr>
      </w:pPr>
    </w:p>
    <w:p w:rsidR="00C70C36" w:rsidRPr="005C5E78" w:rsidRDefault="00C70C36" w:rsidP="00C70C36">
      <w:pPr>
        <w:rPr>
          <w:b/>
        </w:rPr>
      </w:pPr>
      <w:r w:rsidRPr="005C5E78">
        <w:rPr>
          <w:b/>
        </w:rPr>
        <w:t xml:space="preserve">Section </w:t>
      </w:r>
      <w:r>
        <w:rPr>
          <w:b/>
        </w:rPr>
        <w:t>4</w:t>
      </w:r>
      <w:r w:rsidRPr="005C5E78">
        <w:rPr>
          <w:b/>
        </w:rPr>
        <w:t xml:space="preserve"> – </w:t>
      </w:r>
      <w:r w:rsidR="00C243EC">
        <w:rPr>
          <w:b/>
        </w:rPr>
        <w:t>Interpretation</w:t>
      </w:r>
    </w:p>
    <w:p w:rsidR="004D21D8" w:rsidRDefault="004D21D8" w:rsidP="00C70C36">
      <w:r>
        <w:t xml:space="preserve">Section 4 defines the terms used in the </w:t>
      </w:r>
      <w:r w:rsidR="002720A4" w:rsidRPr="00731D4D">
        <w:rPr>
          <w:i/>
        </w:rPr>
        <w:t>Telecommunications (Customer Service Guarantee) Standard 2011</w:t>
      </w:r>
      <w:r>
        <w:t>.</w:t>
      </w:r>
    </w:p>
    <w:p w:rsidR="004D21D8" w:rsidRDefault="004D21D8" w:rsidP="00C70C36">
      <w:pPr>
        <w:rPr>
          <w:b/>
        </w:rPr>
      </w:pPr>
    </w:p>
    <w:p w:rsidR="00142856" w:rsidRDefault="00CC7268" w:rsidP="00CC7268">
      <w:pPr>
        <w:rPr>
          <w:b/>
        </w:rPr>
      </w:pPr>
      <w:r w:rsidRPr="004B1FAE">
        <w:rPr>
          <w:b/>
        </w:rPr>
        <w:t xml:space="preserve">Part </w:t>
      </w:r>
      <w:r>
        <w:rPr>
          <w:b/>
        </w:rPr>
        <w:t>2</w:t>
      </w:r>
      <w:r w:rsidR="00240471">
        <w:rPr>
          <w:b/>
        </w:rPr>
        <w:t xml:space="preserve"> </w:t>
      </w:r>
      <w:r w:rsidR="00142856">
        <w:rPr>
          <w:b/>
        </w:rPr>
        <w:t>– Performance standards</w:t>
      </w:r>
    </w:p>
    <w:p w:rsidR="00142856" w:rsidRDefault="00142856" w:rsidP="00CC7268">
      <w:pPr>
        <w:rPr>
          <w:b/>
        </w:rPr>
      </w:pPr>
    </w:p>
    <w:p w:rsidR="00CC7268" w:rsidRPr="004B1FAE" w:rsidRDefault="00240471" w:rsidP="00CC7268">
      <w:pPr>
        <w:rPr>
          <w:b/>
        </w:rPr>
      </w:pPr>
      <w:r>
        <w:rPr>
          <w:b/>
        </w:rPr>
        <w:t xml:space="preserve">Division 1 </w:t>
      </w:r>
      <w:r w:rsidR="00914189">
        <w:rPr>
          <w:b/>
        </w:rPr>
        <w:t>–</w:t>
      </w:r>
      <w:r>
        <w:rPr>
          <w:b/>
        </w:rPr>
        <w:t xml:space="preserve"> Preliminary </w:t>
      </w:r>
    </w:p>
    <w:p w:rsidR="007A6CC0" w:rsidRDefault="007A6CC0" w:rsidP="00C70C36">
      <w:pPr>
        <w:rPr>
          <w:b/>
        </w:rPr>
      </w:pPr>
    </w:p>
    <w:p w:rsidR="00C70C36" w:rsidRPr="005C5E78" w:rsidRDefault="004D21D8" w:rsidP="00C70C36">
      <w:pPr>
        <w:rPr>
          <w:b/>
        </w:rPr>
      </w:pPr>
      <w:r>
        <w:rPr>
          <w:b/>
        </w:rPr>
        <w:t>S</w:t>
      </w:r>
      <w:r w:rsidR="00C70C36" w:rsidRPr="005C5E78">
        <w:rPr>
          <w:b/>
        </w:rPr>
        <w:t xml:space="preserve">ection </w:t>
      </w:r>
      <w:r w:rsidR="00C70C36">
        <w:rPr>
          <w:b/>
        </w:rPr>
        <w:t>5</w:t>
      </w:r>
      <w:r w:rsidR="00C70C36" w:rsidRPr="005C5E78">
        <w:rPr>
          <w:b/>
        </w:rPr>
        <w:t xml:space="preserve"> – </w:t>
      </w:r>
      <w:r w:rsidR="00C70C36">
        <w:rPr>
          <w:b/>
        </w:rPr>
        <w:t>Arrangements with customers</w:t>
      </w:r>
    </w:p>
    <w:p w:rsidR="00C70C36" w:rsidRDefault="00AA7A2D" w:rsidP="00F720E5">
      <w:pPr>
        <w:autoSpaceDE w:val="0"/>
        <w:autoSpaceDN w:val="0"/>
        <w:adjustRightInd w:val="0"/>
        <w:spacing w:before="80" w:after="120"/>
      </w:pPr>
      <w:r>
        <w:t>S</w:t>
      </w:r>
      <w:r w:rsidR="00F860B1">
        <w:t xml:space="preserve">ection </w:t>
      </w:r>
      <w:r>
        <w:t xml:space="preserve">5 </w:t>
      </w:r>
      <w:r w:rsidR="00F860B1">
        <w:t>provides that</w:t>
      </w:r>
      <w:r w:rsidR="00390CCA">
        <w:t>,</w:t>
      </w:r>
      <w:r w:rsidR="00F860B1">
        <w:t xml:space="preserve"> in its </w:t>
      </w:r>
      <w:r w:rsidR="006A611D">
        <w:t>dealings with customers, a CSP must make reasonable efforts to obtain the agreement of the customer, particularly in regard to the connection period and to the rectification period</w:t>
      </w:r>
      <w:r>
        <w:t xml:space="preserve"> for faults or service difficulties</w:t>
      </w:r>
      <w:r w:rsidR="006A611D">
        <w:t xml:space="preserve">. It is intended that CSPs should offer reasonable arrangements in relation to the </w:t>
      </w:r>
      <w:r>
        <w:t>period that may be taken by the CSP to connect a customer to a service and to rectify faults or service difficulties for the customer</w:t>
      </w:r>
      <w:r w:rsidR="00A00110">
        <w:t xml:space="preserve">. </w:t>
      </w:r>
      <w:r>
        <w:t xml:space="preserve">Subsection 5(3) requires a </w:t>
      </w:r>
      <w:r w:rsidR="00A00110">
        <w:t>CSP to comply with arrangements it has made under this section.</w:t>
      </w:r>
    </w:p>
    <w:p w:rsidR="00A00110" w:rsidRDefault="00BB6AF0" w:rsidP="00F720E5">
      <w:pPr>
        <w:autoSpaceDE w:val="0"/>
        <w:autoSpaceDN w:val="0"/>
        <w:adjustRightInd w:val="0"/>
        <w:spacing w:before="80" w:after="120"/>
      </w:pPr>
      <w:r>
        <w:t>Subsection 5(4)</w:t>
      </w:r>
      <w:r w:rsidR="00091CE8">
        <w:t xml:space="preserve"> provides that CSPs must keep a record of the arrangements made </w:t>
      </w:r>
      <w:r w:rsidR="00AA7A2D">
        <w:t>with customers</w:t>
      </w:r>
      <w:r w:rsidR="00091CE8">
        <w:t xml:space="preserve"> and must retain </w:t>
      </w:r>
      <w:r w:rsidR="00AA7A2D">
        <w:t xml:space="preserve">a copy of </w:t>
      </w:r>
      <w:r w:rsidR="00091CE8">
        <w:t>that record for a period of two years. This retention period has been selected as it is consistent with subsection 116(6) of the Act, which requires an action for damages to be instituted within a two</w:t>
      </w:r>
      <w:r w:rsidR="00F57908">
        <w:t>-</w:t>
      </w:r>
      <w:r w:rsidR="00091CE8">
        <w:t>year period. See also subsection 3</w:t>
      </w:r>
      <w:r w:rsidR="00AA7A2D">
        <w:t>1</w:t>
      </w:r>
      <w:r w:rsidR="00091CE8">
        <w:t xml:space="preserve">(5), which </w:t>
      </w:r>
      <w:r w:rsidR="00AA7A2D">
        <w:t>requires</w:t>
      </w:r>
      <w:r w:rsidR="00091CE8">
        <w:t xml:space="preserve"> the retention of records relating to the waiver </w:t>
      </w:r>
      <w:r w:rsidR="00AA7A2D">
        <w:t xml:space="preserve">by a customer </w:t>
      </w:r>
      <w:r w:rsidR="00091CE8">
        <w:t>of protection and rights under Part 5 of the Act</w:t>
      </w:r>
      <w:r w:rsidR="00AA7A2D">
        <w:t xml:space="preserve"> for a period of two years</w:t>
      </w:r>
      <w:r w:rsidR="00091CE8">
        <w:t>.</w:t>
      </w:r>
    </w:p>
    <w:p w:rsidR="00091CE8" w:rsidRDefault="00091CE8" w:rsidP="00F720E5">
      <w:pPr>
        <w:autoSpaceDE w:val="0"/>
        <w:autoSpaceDN w:val="0"/>
        <w:adjustRightInd w:val="0"/>
        <w:spacing w:before="80" w:after="120"/>
      </w:pPr>
      <w:r>
        <w:t xml:space="preserve">Subsection 5(5) provides that if, when making arrangements with a customer, a CSP has relied </w:t>
      </w:r>
      <w:r w:rsidR="00390CCA">
        <w:t xml:space="preserve">on </w:t>
      </w:r>
      <w:r>
        <w:t xml:space="preserve">or is likely to rely on an exemption from compliance with the </w:t>
      </w:r>
      <w:r w:rsidR="00F01630">
        <w:t xml:space="preserve">CSG </w:t>
      </w:r>
      <w:r>
        <w:t xml:space="preserve">Standard, the CSP must inform the customer of its reliance or likely reliance on the exemption. This is intended to achieve the objective of customers being informed of when a CSP is relying </w:t>
      </w:r>
      <w:r w:rsidR="00390CCA">
        <w:t xml:space="preserve">on </w:t>
      </w:r>
      <w:r>
        <w:t>or likely to rely on an exemption. See also section</w:t>
      </w:r>
      <w:r w:rsidR="00AA7A2D">
        <w:t>s 23 and</w:t>
      </w:r>
      <w:r>
        <w:t xml:space="preserve"> 24</w:t>
      </w:r>
      <w:r w:rsidR="00AA7A2D">
        <w:t>,</w:t>
      </w:r>
      <w:r>
        <w:t xml:space="preserve"> which deal with the procedures CSPs must follow if they inten</w:t>
      </w:r>
      <w:r w:rsidR="006C3C33">
        <w:t>d</w:t>
      </w:r>
      <w:r>
        <w:t xml:space="preserve"> to rely on an exemption.</w:t>
      </w:r>
    </w:p>
    <w:p w:rsidR="00091CE8" w:rsidRPr="005C5E78" w:rsidRDefault="00091CE8" w:rsidP="00091CE8">
      <w:pPr>
        <w:rPr>
          <w:b/>
        </w:rPr>
      </w:pPr>
      <w:r w:rsidRPr="005C5E78">
        <w:rPr>
          <w:b/>
        </w:rPr>
        <w:t xml:space="preserve">Section </w:t>
      </w:r>
      <w:r>
        <w:rPr>
          <w:b/>
        </w:rPr>
        <w:t>6</w:t>
      </w:r>
      <w:r w:rsidRPr="005C5E78">
        <w:rPr>
          <w:b/>
        </w:rPr>
        <w:t xml:space="preserve"> – </w:t>
      </w:r>
      <w:r>
        <w:rPr>
          <w:b/>
        </w:rPr>
        <w:t>Information to be given to customers</w:t>
      </w:r>
    </w:p>
    <w:p w:rsidR="00091CE8" w:rsidRDefault="00AA7A2D" w:rsidP="00091CE8">
      <w:pPr>
        <w:autoSpaceDE w:val="0"/>
        <w:autoSpaceDN w:val="0"/>
        <w:adjustRightInd w:val="0"/>
        <w:spacing w:before="80" w:after="120"/>
      </w:pPr>
      <w:r>
        <w:t>S</w:t>
      </w:r>
      <w:r w:rsidR="00091CE8">
        <w:t xml:space="preserve">ection </w:t>
      </w:r>
      <w:r>
        <w:t xml:space="preserve">6 </w:t>
      </w:r>
      <w:r w:rsidR="00091CE8">
        <w:t>places obligations on CSP</w:t>
      </w:r>
      <w:r w:rsidR="00903C60">
        <w:t>s</w:t>
      </w:r>
      <w:r w:rsidR="00091CE8">
        <w:t xml:space="preserve"> to inform customers about the </w:t>
      </w:r>
      <w:r w:rsidR="00903C60">
        <w:t>CSG</w:t>
      </w:r>
      <w:r w:rsidR="00091CE8">
        <w:t xml:space="preserve">. Subsection 6(1) requires a CSP to provide written information to customers about </w:t>
      </w:r>
      <w:r>
        <w:t xml:space="preserve">the applicable performance standards, the CSP’s </w:t>
      </w:r>
      <w:r w:rsidR="00091CE8">
        <w:t>obligations under th</w:t>
      </w:r>
      <w:r>
        <w:t>os</w:t>
      </w:r>
      <w:r w:rsidR="00091CE8">
        <w:t xml:space="preserve">e </w:t>
      </w:r>
      <w:r>
        <w:t>standards</w:t>
      </w:r>
      <w:r w:rsidR="00091CE8">
        <w:t xml:space="preserve"> and</w:t>
      </w:r>
      <w:r>
        <w:t xml:space="preserve"> the</w:t>
      </w:r>
      <w:r w:rsidR="00091CE8">
        <w:t xml:space="preserve"> customer</w:t>
      </w:r>
      <w:r>
        <w:t>’s</w:t>
      </w:r>
      <w:r w:rsidR="00091CE8">
        <w:t xml:space="preserve"> entitlements to damages for contravention of a performance standard, as soon as practicable after connecting the customer to a CSG service. </w:t>
      </w:r>
      <w:r w:rsidR="002C7290">
        <w:t xml:space="preserve">Subsection 6(2) requires a </w:t>
      </w:r>
      <w:r w:rsidR="00091CE8">
        <w:t>CSP</w:t>
      </w:r>
      <w:r w:rsidR="002C7290">
        <w:t xml:space="preserve"> to</w:t>
      </w:r>
      <w:r w:rsidR="00091CE8">
        <w:t xml:space="preserve"> make the same information available to </w:t>
      </w:r>
      <w:r w:rsidR="002C7290">
        <w:t xml:space="preserve">its </w:t>
      </w:r>
      <w:r w:rsidR="00091CE8">
        <w:t>customers every two years</w:t>
      </w:r>
      <w:r w:rsidR="005C710B">
        <w:t xml:space="preserve"> or on request by the customer (subsection 6(3))</w:t>
      </w:r>
      <w:r w:rsidR="00091CE8">
        <w:t>.</w:t>
      </w:r>
    </w:p>
    <w:p w:rsidR="009B601F" w:rsidRDefault="009B601F" w:rsidP="005254B4">
      <w:pPr>
        <w:rPr>
          <w:b/>
        </w:rPr>
      </w:pPr>
    </w:p>
    <w:p w:rsidR="005254B4" w:rsidRPr="005C5E78" w:rsidRDefault="005254B4" w:rsidP="005254B4">
      <w:pPr>
        <w:rPr>
          <w:b/>
        </w:rPr>
      </w:pPr>
      <w:r w:rsidRPr="005C5E78">
        <w:rPr>
          <w:b/>
        </w:rPr>
        <w:t xml:space="preserve">Section </w:t>
      </w:r>
      <w:r w:rsidR="002C7290">
        <w:rPr>
          <w:b/>
        </w:rPr>
        <w:t>7</w:t>
      </w:r>
      <w:r w:rsidRPr="005C5E78">
        <w:rPr>
          <w:b/>
        </w:rPr>
        <w:t xml:space="preserve"> – </w:t>
      </w:r>
      <w:r>
        <w:rPr>
          <w:b/>
        </w:rPr>
        <w:t>Cooperation of customers with carriage service providers</w:t>
      </w:r>
    </w:p>
    <w:p w:rsidR="000B1ABF" w:rsidRDefault="005254B4" w:rsidP="005254B4">
      <w:pPr>
        <w:autoSpaceDE w:val="0"/>
        <w:autoSpaceDN w:val="0"/>
        <w:adjustRightInd w:val="0"/>
        <w:spacing w:before="80" w:after="120"/>
        <w:rPr>
          <w:highlight w:val="yellow"/>
        </w:rPr>
      </w:pPr>
      <w:r w:rsidRPr="000B1ABF">
        <w:t xml:space="preserve">Section </w:t>
      </w:r>
      <w:r w:rsidR="002C7290" w:rsidRPr="000B1ABF">
        <w:t>7</w:t>
      </w:r>
      <w:r w:rsidRPr="000B1ABF">
        <w:t xml:space="preserve"> sets out matters intended to protect a CSP in situations where the customer does not cooperate with the CSP</w:t>
      </w:r>
      <w:r w:rsidR="000B1ABF" w:rsidRPr="000B1ABF">
        <w:t>.</w:t>
      </w:r>
    </w:p>
    <w:p w:rsidR="000B1ABF" w:rsidRDefault="000B1ABF" w:rsidP="005254B4">
      <w:pPr>
        <w:autoSpaceDE w:val="0"/>
        <w:autoSpaceDN w:val="0"/>
        <w:adjustRightInd w:val="0"/>
        <w:spacing w:before="80" w:after="120"/>
      </w:pPr>
      <w:r>
        <w:t xml:space="preserve">Subsection 7(1) states that a CSG performance standard does not apply </w:t>
      </w:r>
      <w:r w:rsidR="00CB5788" w:rsidRPr="000B1ABF">
        <w:t xml:space="preserve">where the CSP has made a reasonable offer of an interim </w:t>
      </w:r>
      <w:r>
        <w:t xml:space="preserve">or </w:t>
      </w:r>
      <w:r w:rsidR="002C7290" w:rsidRPr="000B1ABF">
        <w:t>an</w:t>
      </w:r>
      <w:r w:rsidR="00CB5788" w:rsidRPr="000B1ABF">
        <w:t xml:space="preserve"> alternative service to the customer</w:t>
      </w:r>
      <w:r w:rsidR="002C7290" w:rsidRPr="000B1ABF">
        <w:t xml:space="preserve"> and the customer </w:t>
      </w:r>
      <w:r w:rsidR="008E39FF">
        <w:t xml:space="preserve">either refuses or </w:t>
      </w:r>
      <w:r w:rsidR="002C7290" w:rsidRPr="000B1ABF">
        <w:t>accepts th</w:t>
      </w:r>
      <w:r w:rsidR="00922360">
        <w:t>at</w:t>
      </w:r>
      <w:r w:rsidR="002C7290" w:rsidRPr="000B1ABF">
        <w:t xml:space="preserve"> offer</w:t>
      </w:r>
      <w:r>
        <w:t>.</w:t>
      </w:r>
      <w:r w:rsidR="00CB5788" w:rsidRPr="000B1ABF">
        <w:t xml:space="preserve"> </w:t>
      </w:r>
      <w:r>
        <w:t xml:space="preserve">Definitions for interim and alternative service are included in section 4 of the CSG Standard. This provision is intended to allow CSPs to provide a customer with a temporary service in cases where they are unable to meet the CSG performance standard </w:t>
      </w:r>
      <w:r w:rsidR="00382599">
        <w:t xml:space="preserve">associated with the </w:t>
      </w:r>
      <w:r>
        <w:t>connection or rectification of a service.</w:t>
      </w:r>
    </w:p>
    <w:p w:rsidR="000B1ABF" w:rsidRDefault="000B1ABF" w:rsidP="005254B4">
      <w:pPr>
        <w:autoSpaceDE w:val="0"/>
        <w:autoSpaceDN w:val="0"/>
        <w:adjustRightInd w:val="0"/>
        <w:spacing w:before="80" w:after="120"/>
      </w:pPr>
      <w:r>
        <w:t xml:space="preserve">Subsections 7(2) and 7(3) define a reasonable offer to supply an interim or alternative service and what information must be given to a customer regarding the functionality and the terms and conditions of supply </w:t>
      </w:r>
      <w:r w:rsidR="00922360">
        <w:t>for</w:t>
      </w:r>
      <w:r>
        <w:t xml:space="preserve"> </w:t>
      </w:r>
      <w:r w:rsidR="00922360">
        <w:t>that</w:t>
      </w:r>
      <w:r>
        <w:t xml:space="preserve"> service. The intention of these provisions is that a CSP must supply a customer with sufficient information about the proposal for the supply of an interim or alternative service so that a customer is able to make an informed choice.</w:t>
      </w:r>
    </w:p>
    <w:p w:rsidR="006562AB" w:rsidRDefault="006562AB" w:rsidP="005254B4">
      <w:pPr>
        <w:autoSpaceDE w:val="0"/>
        <w:autoSpaceDN w:val="0"/>
        <w:adjustRightInd w:val="0"/>
        <w:spacing w:before="80" w:after="120"/>
      </w:pPr>
      <w:r>
        <w:t>Subsection 7(4) provides examples of certain circumstances where a CSP may be considered to have not contravened a CSG performance standard as a result of a customer failing to cooperate with the CSP.</w:t>
      </w:r>
    </w:p>
    <w:p w:rsidR="005254B4" w:rsidRDefault="00CB5788" w:rsidP="005254B4">
      <w:pPr>
        <w:autoSpaceDE w:val="0"/>
        <w:autoSpaceDN w:val="0"/>
        <w:adjustRightInd w:val="0"/>
        <w:spacing w:before="80" w:after="120"/>
      </w:pPr>
      <w:r w:rsidRPr="000B1ABF">
        <w:t xml:space="preserve">Subsection </w:t>
      </w:r>
      <w:r w:rsidR="00E01DB9" w:rsidRPr="000B1ABF">
        <w:t>7</w:t>
      </w:r>
      <w:r w:rsidRPr="000B1ABF">
        <w:t>(5) provides that a CSP must not supply the customer with an interim service for a period of more than six months in lieu of the connection of a standard telephone service, unless the customer agrees with this arrangement</w:t>
      </w:r>
      <w:r w:rsidR="005254B4" w:rsidRPr="000B1ABF">
        <w:t>.</w:t>
      </w:r>
    </w:p>
    <w:p w:rsidR="005254B4" w:rsidRDefault="005254B4" w:rsidP="005254B4">
      <w:pPr>
        <w:rPr>
          <w:b/>
        </w:rPr>
      </w:pPr>
    </w:p>
    <w:p w:rsidR="005254B4" w:rsidRDefault="005254B4" w:rsidP="005254B4">
      <w:pPr>
        <w:rPr>
          <w:b/>
        </w:rPr>
      </w:pPr>
      <w:r>
        <w:rPr>
          <w:b/>
        </w:rPr>
        <w:t>Division 2 – Connection to specified services</w:t>
      </w:r>
    </w:p>
    <w:p w:rsidR="00283CE0" w:rsidRDefault="00283CE0" w:rsidP="001E212A">
      <w:pPr>
        <w:rPr>
          <w:b/>
        </w:rPr>
      </w:pPr>
    </w:p>
    <w:p w:rsidR="001E212A" w:rsidRPr="005C5E78" w:rsidRDefault="001E212A" w:rsidP="001E212A">
      <w:pPr>
        <w:rPr>
          <w:b/>
        </w:rPr>
      </w:pPr>
      <w:r w:rsidRPr="005C5E78">
        <w:rPr>
          <w:b/>
        </w:rPr>
        <w:t xml:space="preserve">Section </w:t>
      </w:r>
      <w:r w:rsidR="002C7290">
        <w:rPr>
          <w:b/>
        </w:rPr>
        <w:t>8</w:t>
      </w:r>
      <w:r w:rsidRPr="005C5E78">
        <w:rPr>
          <w:b/>
        </w:rPr>
        <w:t xml:space="preserve"> – </w:t>
      </w:r>
      <w:r>
        <w:rPr>
          <w:b/>
        </w:rPr>
        <w:t>Guaranteed maximum connection periods</w:t>
      </w:r>
    </w:p>
    <w:p w:rsidR="001D63BB" w:rsidRDefault="001D63BB" w:rsidP="001D63BB">
      <w:pPr>
        <w:autoSpaceDE w:val="0"/>
        <w:autoSpaceDN w:val="0"/>
        <w:adjustRightInd w:val="0"/>
        <w:spacing w:before="80" w:after="120"/>
      </w:pPr>
      <w:r>
        <w:t>Section 8 requires a CSP to comply with a request by a customer for connection to a specified service within the guaranteed maximum connection period.</w:t>
      </w:r>
    </w:p>
    <w:p w:rsidR="001D63BB" w:rsidRDefault="001D63BB" w:rsidP="001D63BB">
      <w:pPr>
        <w:autoSpaceDE w:val="0"/>
        <w:autoSpaceDN w:val="0"/>
        <w:adjustRightInd w:val="0"/>
        <w:spacing w:before="80" w:after="120"/>
      </w:pPr>
      <w:r>
        <w:t xml:space="preserve">Subsection 8(1) provides for the guaranteed maximum connection period for connections for sites where the service to be connected is in close proximity to an external plant facility used to supply the service and the facility has sufficient available capacity, to be determined under Part 2 of Schedule 1. </w:t>
      </w:r>
    </w:p>
    <w:p w:rsidR="001D63BB" w:rsidRDefault="001D63BB" w:rsidP="001D63BB">
      <w:pPr>
        <w:autoSpaceDE w:val="0"/>
        <w:autoSpaceDN w:val="0"/>
        <w:adjustRightInd w:val="0"/>
        <w:spacing w:before="80" w:after="120"/>
      </w:pPr>
      <w:r>
        <w:t>Where the site is not in close proximity to an external plant facility or where there is insufficient available capacity to supply the service, subsection 8(2) provides that the guaranteed maximum connection period for a customer is to be determined in accordance with an approved standard marketing plan for a primary universal service provider for the relevant area.</w:t>
      </w:r>
    </w:p>
    <w:p w:rsidR="001D63BB" w:rsidRDefault="001D63BB" w:rsidP="001D63BB">
      <w:pPr>
        <w:autoSpaceDE w:val="0"/>
        <w:autoSpaceDN w:val="0"/>
        <w:adjustRightInd w:val="0"/>
        <w:spacing w:before="80" w:after="120"/>
      </w:pPr>
      <w:r>
        <w:t>Subsection 8(3) requires a CSP to comply with a request for connection by a customer within the guaranteed maximum connection period, unless arrangements for a shorter or longer connection period have been made with the customer under section 9.</w:t>
      </w:r>
    </w:p>
    <w:p w:rsidR="001D63BB" w:rsidRDefault="001D63BB" w:rsidP="001D63BB">
      <w:pPr>
        <w:autoSpaceDE w:val="0"/>
        <w:autoSpaceDN w:val="0"/>
        <w:adjustRightInd w:val="0"/>
        <w:spacing w:before="80" w:after="120"/>
      </w:pPr>
      <w:r>
        <w:t xml:space="preserve">Subsection 8(4) is a specific provision designed to protect the CSP in circumstances where a customer does not provide the CSP with </w:t>
      </w:r>
      <w:r w:rsidR="004A5110">
        <w:t xml:space="preserve">sufficient </w:t>
      </w:r>
      <w:r>
        <w:t>information required to enable the connection.</w:t>
      </w:r>
    </w:p>
    <w:p w:rsidR="001D63BB" w:rsidRPr="00DC731B" w:rsidRDefault="001D63BB" w:rsidP="001D63BB">
      <w:pPr>
        <w:autoSpaceDE w:val="0"/>
        <w:autoSpaceDN w:val="0"/>
        <w:adjustRightInd w:val="0"/>
        <w:spacing w:before="80" w:after="120"/>
      </w:pPr>
      <w:r>
        <w:t>Subsection 8(5) has been included to make it clear that the guaranteed maximum connection period is not intended to apply if a customer who is connected by a CSP to a specified service requests another CSP to supply the service. This provision is intended to ensure that this standard does not apply to the transfer of services between CSPs — known more generally in the industry as ‘churn’.</w:t>
      </w:r>
    </w:p>
    <w:p w:rsidR="00B3647A" w:rsidRDefault="00B3647A" w:rsidP="00952DD8">
      <w:pPr>
        <w:rPr>
          <w:b/>
        </w:rPr>
      </w:pPr>
    </w:p>
    <w:p w:rsidR="00952DD8" w:rsidRPr="005C5E78" w:rsidRDefault="00952DD8" w:rsidP="00952DD8">
      <w:pPr>
        <w:rPr>
          <w:b/>
        </w:rPr>
      </w:pPr>
      <w:r w:rsidRPr="005C5E78">
        <w:rPr>
          <w:b/>
        </w:rPr>
        <w:t xml:space="preserve">Section </w:t>
      </w:r>
      <w:r w:rsidR="003B596C">
        <w:rPr>
          <w:b/>
        </w:rPr>
        <w:t>9</w:t>
      </w:r>
      <w:r w:rsidRPr="005C5E78">
        <w:rPr>
          <w:b/>
        </w:rPr>
        <w:t xml:space="preserve"> – </w:t>
      </w:r>
      <w:r>
        <w:rPr>
          <w:b/>
        </w:rPr>
        <w:t>Arrangements about connection periods</w:t>
      </w:r>
    </w:p>
    <w:p w:rsidR="00952DD8" w:rsidRDefault="003B596C" w:rsidP="00952DD8">
      <w:pPr>
        <w:autoSpaceDE w:val="0"/>
        <w:autoSpaceDN w:val="0"/>
        <w:adjustRightInd w:val="0"/>
        <w:spacing w:before="80" w:after="120"/>
      </w:pPr>
      <w:r>
        <w:t xml:space="preserve">Section 9 </w:t>
      </w:r>
      <w:r w:rsidR="00952DD8">
        <w:t xml:space="preserve">provides that the CSP may </w:t>
      </w:r>
      <w:r>
        <w:t xml:space="preserve">make arrangements with a customer for a </w:t>
      </w:r>
      <w:r w:rsidR="00952DD8">
        <w:t>shorter</w:t>
      </w:r>
      <w:r w:rsidR="00DA080C">
        <w:t xml:space="preserve"> or longer </w:t>
      </w:r>
      <w:r w:rsidR="00952DD8">
        <w:t>connection period than the connection period</w:t>
      </w:r>
      <w:r w:rsidR="00DA080C">
        <w:t xml:space="preserve"> set out in the </w:t>
      </w:r>
      <w:r w:rsidR="0000431B">
        <w:t xml:space="preserve">CSG </w:t>
      </w:r>
      <w:r w:rsidR="00DA080C">
        <w:t>Standard.</w:t>
      </w:r>
      <w:r w:rsidR="00952DD8">
        <w:t xml:space="preserve"> </w:t>
      </w:r>
      <w:r w:rsidR="00DA080C">
        <w:t xml:space="preserve">Subsection 9(2) provides that a </w:t>
      </w:r>
      <w:r w:rsidR="0034041E">
        <w:t>CSP may make</w:t>
      </w:r>
      <w:r w:rsidR="00952DD8">
        <w:t xml:space="preserve"> arrangements </w:t>
      </w:r>
      <w:r>
        <w:t xml:space="preserve">for a longer connection period than </w:t>
      </w:r>
      <w:r w:rsidR="00952DD8">
        <w:t>the guaranteed maximum connection period</w:t>
      </w:r>
      <w:r w:rsidR="00DA080C">
        <w:t xml:space="preserve"> either where a customer wants a connection made after the end of the maximum connection period or where the CSP makes an offer to the customer and a significant number of other customers</w:t>
      </w:r>
      <w:r w:rsidR="005D0774">
        <w:t xml:space="preserve"> and offers a significant service benefit for acceptance of the longer connection period. Where a customer accepts the CSP’s offer of a longer connection period, under subsection 9(3) the CSP must inform the customer of the fact that the arrangement will result in a connection being made outside the guaranteed maximum connection period and what protections and rights under Part 5 of the Act will apply to the service being supplied.</w:t>
      </w:r>
    </w:p>
    <w:p w:rsidR="002C403D" w:rsidRDefault="002C403D" w:rsidP="00952DD8">
      <w:pPr>
        <w:rPr>
          <w:b/>
        </w:rPr>
      </w:pPr>
    </w:p>
    <w:p w:rsidR="00952DD8" w:rsidRDefault="00952DD8" w:rsidP="00952DD8">
      <w:pPr>
        <w:rPr>
          <w:b/>
        </w:rPr>
      </w:pPr>
      <w:r>
        <w:rPr>
          <w:b/>
        </w:rPr>
        <w:t xml:space="preserve">Division 3 – </w:t>
      </w:r>
      <w:r w:rsidR="00EC6413">
        <w:rPr>
          <w:b/>
        </w:rPr>
        <w:t>Rectification of faults or service difficulties</w:t>
      </w:r>
    </w:p>
    <w:p w:rsidR="00836FAA" w:rsidRDefault="00836FAA" w:rsidP="00952DD8">
      <w:pPr>
        <w:rPr>
          <w:b/>
        </w:rPr>
      </w:pPr>
    </w:p>
    <w:p w:rsidR="00952DD8" w:rsidRPr="005C5E78" w:rsidRDefault="00952DD8" w:rsidP="00952DD8">
      <w:pPr>
        <w:rPr>
          <w:b/>
        </w:rPr>
      </w:pPr>
      <w:r w:rsidRPr="005C5E78">
        <w:rPr>
          <w:b/>
        </w:rPr>
        <w:t xml:space="preserve">Section </w:t>
      </w:r>
      <w:r w:rsidR="00EC6413">
        <w:rPr>
          <w:b/>
        </w:rPr>
        <w:t>1</w:t>
      </w:r>
      <w:r w:rsidR="00B239C3">
        <w:rPr>
          <w:b/>
        </w:rPr>
        <w:t>0</w:t>
      </w:r>
      <w:r w:rsidRPr="005C5E78">
        <w:rPr>
          <w:b/>
        </w:rPr>
        <w:t xml:space="preserve"> – </w:t>
      </w:r>
      <w:r w:rsidR="00EC6413">
        <w:rPr>
          <w:b/>
        </w:rPr>
        <w:t>Application of Division 3</w:t>
      </w:r>
    </w:p>
    <w:p w:rsidR="00952DD8" w:rsidRDefault="00A85898" w:rsidP="00952DD8">
      <w:pPr>
        <w:autoSpaceDE w:val="0"/>
        <w:autoSpaceDN w:val="0"/>
        <w:adjustRightInd w:val="0"/>
        <w:spacing w:before="80" w:after="120"/>
      </w:pPr>
      <w:r>
        <w:t>Section 1</w:t>
      </w:r>
      <w:r w:rsidR="00B239C3">
        <w:t>0</w:t>
      </w:r>
      <w:r>
        <w:t xml:space="preserve"> provides that </w:t>
      </w:r>
      <w:r w:rsidR="00B239C3">
        <w:t xml:space="preserve">Division 3 does not apply to </w:t>
      </w:r>
      <w:r>
        <w:t xml:space="preserve">a fault or service difficulty </w:t>
      </w:r>
      <w:r w:rsidR="00B239C3">
        <w:t xml:space="preserve">in relation to </w:t>
      </w:r>
      <w:r>
        <w:t xml:space="preserve">call barring or a limitation on the making of external calls if the service was </w:t>
      </w:r>
      <w:r w:rsidR="008C255E">
        <w:t xml:space="preserve">supplied by the CSP with </w:t>
      </w:r>
      <w:r w:rsidR="002E2752">
        <w:t xml:space="preserve">that </w:t>
      </w:r>
      <w:r w:rsidR="008C255E">
        <w:t xml:space="preserve">feature because of the customer’s credit </w:t>
      </w:r>
      <w:r w:rsidR="002E2752">
        <w:t>standing</w:t>
      </w:r>
      <w:r w:rsidR="00952DD8">
        <w:t>.</w:t>
      </w:r>
    </w:p>
    <w:p w:rsidR="00060559" w:rsidRDefault="00060559" w:rsidP="008C255E">
      <w:pPr>
        <w:rPr>
          <w:b/>
        </w:rPr>
      </w:pPr>
    </w:p>
    <w:p w:rsidR="008C255E" w:rsidRPr="005C5E78" w:rsidRDefault="008C255E" w:rsidP="008C255E">
      <w:pPr>
        <w:rPr>
          <w:b/>
        </w:rPr>
      </w:pPr>
      <w:r w:rsidRPr="005C5E78">
        <w:rPr>
          <w:b/>
        </w:rPr>
        <w:t xml:space="preserve">Section </w:t>
      </w:r>
      <w:r>
        <w:rPr>
          <w:b/>
        </w:rPr>
        <w:t>1</w:t>
      </w:r>
      <w:r w:rsidR="00B239C3">
        <w:rPr>
          <w:b/>
        </w:rPr>
        <w:t>1</w:t>
      </w:r>
      <w:r w:rsidRPr="005C5E78">
        <w:rPr>
          <w:b/>
        </w:rPr>
        <w:t xml:space="preserve"> – </w:t>
      </w:r>
      <w:r>
        <w:rPr>
          <w:b/>
        </w:rPr>
        <w:t>Guaranteed maximum rectification periods</w:t>
      </w:r>
    </w:p>
    <w:p w:rsidR="00531A0B" w:rsidRDefault="002E2752" w:rsidP="008C255E">
      <w:pPr>
        <w:autoSpaceDE w:val="0"/>
        <w:autoSpaceDN w:val="0"/>
        <w:adjustRightInd w:val="0"/>
        <w:spacing w:before="80" w:after="120"/>
      </w:pPr>
      <w:r>
        <w:t xml:space="preserve">Section 11 requires </w:t>
      </w:r>
      <w:r w:rsidR="008C255E">
        <w:t xml:space="preserve">a CSP </w:t>
      </w:r>
      <w:r>
        <w:t xml:space="preserve">to </w:t>
      </w:r>
      <w:r w:rsidR="008C255E">
        <w:t xml:space="preserve">rectify a fault or service difficulty </w:t>
      </w:r>
      <w:r w:rsidR="00531A0B">
        <w:t xml:space="preserve">reported to the CSP by a customer </w:t>
      </w:r>
      <w:r w:rsidR="008C255E">
        <w:t xml:space="preserve">within the </w:t>
      </w:r>
      <w:r w:rsidR="00531A0B">
        <w:t xml:space="preserve">applicable </w:t>
      </w:r>
      <w:r w:rsidR="008C255E">
        <w:t xml:space="preserve">guaranteed maximum rectification period. </w:t>
      </w:r>
    </w:p>
    <w:p w:rsidR="00531A0B" w:rsidRDefault="00531A0B" w:rsidP="00531A0B">
      <w:pPr>
        <w:autoSpaceDE w:val="0"/>
        <w:autoSpaceDN w:val="0"/>
        <w:adjustRightInd w:val="0"/>
        <w:spacing w:before="80" w:after="120"/>
      </w:pPr>
      <w:r>
        <w:t>The guaranteed maximum rectification period for an urban centre with a population equal to or greater than 10,000 people</w:t>
      </w:r>
      <w:r w:rsidR="00013801">
        <w:t>,</w:t>
      </w:r>
      <w:r>
        <w:t xml:space="preserve"> is set at the end of the first full working day after a customer report of a fault or service difficulty is received by the CSP.</w:t>
      </w:r>
    </w:p>
    <w:p w:rsidR="00531A0B" w:rsidRDefault="008C255E" w:rsidP="008C255E">
      <w:pPr>
        <w:autoSpaceDE w:val="0"/>
        <w:autoSpaceDN w:val="0"/>
        <w:adjustRightInd w:val="0"/>
        <w:spacing w:before="80" w:after="120"/>
      </w:pPr>
      <w:r>
        <w:t xml:space="preserve">The rectification of faults or service difficulties in an </w:t>
      </w:r>
      <w:r w:rsidR="00531A0B">
        <w:t xml:space="preserve">urban centre </w:t>
      </w:r>
      <w:r>
        <w:t>with a population of fewer</w:t>
      </w:r>
      <w:r w:rsidR="007B4273">
        <w:t xml:space="preserve"> than 10,000 people</w:t>
      </w:r>
      <w:r w:rsidR="00531A0B">
        <w:t xml:space="preserve"> or a locality with a population of greater than 200 people</w:t>
      </w:r>
      <w:r w:rsidR="00013801">
        <w:t>,</w:t>
      </w:r>
      <w:r w:rsidR="007B4273">
        <w:t xml:space="preserve"> may take longer to rectify because of the distances involved and possible need to transport specialist staff and equipment to the service site</w:t>
      </w:r>
      <w:r w:rsidR="00AE4D9E">
        <w:t xml:space="preserve"> concerned</w:t>
      </w:r>
      <w:r w:rsidR="007B4273">
        <w:t xml:space="preserve">. </w:t>
      </w:r>
      <w:r w:rsidR="001A26E5">
        <w:t xml:space="preserve">Due to this, except where section 12 applies, the maximum guaranteed </w:t>
      </w:r>
      <w:r w:rsidR="00071187">
        <w:t>rectification</w:t>
      </w:r>
      <w:r w:rsidR="001A26E5">
        <w:t xml:space="preserve"> period in these areas is 2 full working days after the customer report of a fault or service difficulty.</w:t>
      </w:r>
    </w:p>
    <w:p w:rsidR="001A26E5" w:rsidRDefault="001A26E5" w:rsidP="008C255E">
      <w:pPr>
        <w:autoSpaceDE w:val="0"/>
        <w:autoSpaceDN w:val="0"/>
        <w:adjustRightInd w:val="0"/>
        <w:spacing w:before="80" w:after="120"/>
      </w:pPr>
      <w:r>
        <w:t>For sites other than those described in subsections (2) and (3), unless section 12 applies, the maximum guaranteed connection period is 3 full working days after the report of the fault or service difficulty.</w:t>
      </w:r>
    </w:p>
    <w:p w:rsidR="00B4373B" w:rsidRDefault="00B4373B" w:rsidP="004A22CC">
      <w:pPr>
        <w:rPr>
          <w:b/>
        </w:rPr>
      </w:pPr>
    </w:p>
    <w:p w:rsidR="004A22CC" w:rsidRPr="005C5E78" w:rsidRDefault="004A22CC" w:rsidP="004A22CC">
      <w:pPr>
        <w:rPr>
          <w:b/>
        </w:rPr>
      </w:pPr>
      <w:r w:rsidRPr="005C5E78">
        <w:rPr>
          <w:b/>
        </w:rPr>
        <w:t xml:space="preserve">Section </w:t>
      </w:r>
      <w:r>
        <w:rPr>
          <w:b/>
        </w:rPr>
        <w:t>1</w:t>
      </w:r>
      <w:r w:rsidR="00B56C55">
        <w:rPr>
          <w:b/>
        </w:rPr>
        <w:t>2</w:t>
      </w:r>
      <w:r w:rsidRPr="005C5E78">
        <w:rPr>
          <w:b/>
        </w:rPr>
        <w:t xml:space="preserve"> – </w:t>
      </w:r>
      <w:r>
        <w:rPr>
          <w:b/>
        </w:rPr>
        <w:t>Sites to which subsection 1</w:t>
      </w:r>
      <w:r w:rsidR="00B56C55">
        <w:rPr>
          <w:b/>
        </w:rPr>
        <w:t>1</w:t>
      </w:r>
      <w:r w:rsidR="009F2FDB">
        <w:rPr>
          <w:b/>
        </w:rPr>
        <w:t xml:space="preserve"> </w:t>
      </w:r>
      <w:r>
        <w:rPr>
          <w:b/>
        </w:rPr>
        <w:t>(3) or (4) applies</w:t>
      </w:r>
    </w:p>
    <w:p w:rsidR="00D140F8" w:rsidRDefault="00531A0B" w:rsidP="004A22CC">
      <w:pPr>
        <w:autoSpaceDE w:val="0"/>
        <w:autoSpaceDN w:val="0"/>
        <w:adjustRightInd w:val="0"/>
        <w:spacing w:before="80" w:after="120"/>
      </w:pPr>
      <w:r>
        <w:t xml:space="preserve">Section 12 applies to </w:t>
      </w:r>
      <w:r w:rsidR="003A502D">
        <w:t>a fault or service difficulty</w:t>
      </w:r>
      <w:r w:rsidR="00C31587">
        <w:t xml:space="preserve"> in relation to a site mentioned in subsection 11(3) or 11(4)</w:t>
      </w:r>
      <w:r w:rsidR="003A502D">
        <w:t xml:space="preserve"> </w:t>
      </w:r>
      <w:r>
        <w:t xml:space="preserve">that </w:t>
      </w:r>
      <w:r w:rsidR="003A502D">
        <w:t xml:space="preserve">can be rectified without external or internal plant work or the </w:t>
      </w:r>
      <w:r>
        <w:t>CSP</w:t>
      </w:r>
      <w:r w:rsidR="003A502D">
        <w:t xml:space="preserve"> attending the premises of the customer</w:t>
      </w:r>
      <w:r w:rsidR="00742766">
        <w:t xml:space="preserve"> or where the service has been disconnected by </w:t>
      </w:r>
      <w:r w:rsidR="00D140F8">
        <w:t xml:space="preserve">the CSP due to </w:t>
      </w:r>
      <w:r w:rsidR="00742766">
        <w:t xml:space="preserve">an administrative error not involving damage to </w:t>
      </w:r>
      <w:r w:rsidR="00D140F8">
        <w:t xml:space="preserve">a </w:t>
      </w:r>
      <w:r w:rsidR="00742766">
        <w:t>facilit</w:t>
      </w:r>
      <w:r w:rsidR="00D140F8">
        <w:t>y.</w:t>
      </w:r>
    </w:p>
    <w:p w:rsidR="000D2726" w:rsidRDefault="00D140F8" w:rsidP="004A22CC">
      <w:pPr>
        <w:autoSpaceDE w:val="0"/>
        <w:autoSpaceDN w:val="0"/>
        <w:adjustRightInd w:val="0"/>
        <w:spacing w:before="80" w:after="120"/>
      </w:pPr>
      <w:r>
        <w:t>Subsection 12(2) provides that t</w:t>
      </w:r>
      <w:r w:rsidR="00742766">
        <w:t xml:space="preserve">he </w:t>
      </w:r>
      <w:r w:rsidR="00335FC9">
        <w:t xml:space="preserve">guaranteed </w:t>
      </w:r>
      <w:r w:rsidR="00742766">
        <w:t xml:space="preserve">maximum rectification period </w:t>
      </w:r>
      <w:r>
        <w:t xml:space="preserve">in these circumstances </w:t>
      </w:r>
      <w:r w:rsidR="00742766">
        <w:t xml:space="preserve">is the end of the first </w:t>
      </w:r>
      <w:r>
        <w:t xml:space="preserve">full </w:t>
      </w:r>
      <w:r w:rsidR="00742766">
        <w:t xml:space="preserve">working day after the fault is reported </w:t>
      </w:r>
      <w:r>
        <w:t xml:space="preserve">to the CSP </w:t>
      </w:r>
      <w:r w:rsidR="00742766">
        <w:t>by the customer.</w:t>
      </w:r>
    </w:p>
    <w:p w:rsidR="00742766" w:rsidRDefault="00742766" w:rsidP="004A22CC">
      <w:pPr>
        <w:autoSpaceDE w:val="0"/>
        <w:autoSpaceDN w:val="0"/>
        <w:adjustRightInd w:val="0"/>
        <w:spacing w:before="80" w:after="120"/>
      </w:pPr>
      <w:r>
        <w:t>Subsection 1</w:t>
      </w:r>
      <w:r w:rsidR="00B56C55">
        <w:t>2</w:t>
      </w:r>
      <w:r>
        <w:t>(3) provides that</w:t>
      </w:r>
      <w:r w:rsidR="009040A2">
        <w:t>,</w:t>
      </w:r>
      <w:r>
        <w:t xml:space="preserve"> if a person other than the customer reports a fault or service difficulty to the CSP on behalf of the customer, the guaranteed maximum rectification period begins when the fault or service difficulty is reported. This provision is intended to provide customers located </w:t>
      </w:r>
      <w:r w:rsidRPr="007B55CE">
        <w:t xml:space="preserve">in </w:t>
      </w:r>
      <w:r w:rsidR="009150AE">
        <w:t>these</w:t>
      </w:r>
      <w:r w:rsidR="00D140F8" w:rsidRPr="007B55CE">
        <w:t xml:space="preserve"> </w:t>
      </w:r>
      <w:r w:rsidRPr="007B55CE">
        <w:t>sites</w:t>
      </w:r>
      <w:r>
        <w:t xml:space="preserve"> with flexible options for reporting faults or service difficulties.</w:t>
      </w:r>
    </w:p>
    <w:p w:rsidR="00462D78" w:rsidRDefault="00462D78" w:rsidP="000D453A">
      <w:pPr>
        <w:rPr>
          <w:b/>
        </w:rPr>
      </w:pPr>
    </w:p>
    <w:p w:rsidR="000D453A" w:rsidRPr="005C5E78" w:rsidRDefault="000D453A" w:rsidP="000D453A">
      <w:pPr>
        <w:rPr>
          <w:b/>
        </w:rPr>
      </w:pPr>
      <w:r w:rsidRPr="005C5E78">
        <w:rPr>
          <w:b/>
        </w:rPr>
        <w:t xml:space="preserve">Section </w:t>
      </w:r>
      <w:r>
        <w:rPr>
          <w:b/>
        </w:rPr>
        <w:t>1</w:t>
      </w:r>
      <w:r w:rsidR="00B56C55">
        <w:rPr>
          <w:b/>
        </w:rPr>
        <w:t>3</w:t>
      </w:r>
      <w:r w:rsidRPr="005C5E78">
        <w:rPr>
          <w:b/>
        </w:rPr>
        <w:t xml:space="preserve"> – </w:t>
      </w:r>
      <w:r>
        <w:rPr>
          <w:b/>
        </w:rPr>
        <w:t>Reports by carriage service providers of faults etc</w:t>
      </w:r>
    </w:p>
    <w:p w:rsidR="008C255E" w:rsidRDefault="000D453A" w:rsidP="000D453A">
      <w:pPr>
        <w:autoSpaceDE w:val="0"/>
        <w:autoSpaceDN w:val="0"/>
        <w:adjustRightInd w:val="0"/>
        <w:spacing w:before="80" w:after="120"/>
      </w:pPr>
      <w:r>
        <w:t>Section 1</w:t>
      </w:r>
      <w:r w:rsidR="00B56C55">
        <w:t>3</w:t>
      </w:r>
      <w:r>
        <w:t xml:space="preserve"> recognises situations in which one CSP (the first provider) uses the network facilities of another CSP (the second provider) to deliver services to its customers. </w:t>
      </w:r>
      <w:r w:rsidR="00B83C06">
        <w:t xml:space="preserve">The section applies where the first provider becomes aware that there is a fault or service difficulty in the network of the second provider or that an act or omission of the second provider may contribute to the first provider contravening a </w:t>
      </w:r>
      <w:r w:rsidR="00585FB8">
        <w:t xml:space="preserve">CSG </w:t>
      </w:r>
      <w:r w:rsidR="00B83C06">
        <w:t xml:space="preserve">performance standard.  </w:t>
      </w:r>
      <w:r>
        <w:t xml:space="preserve">Subsection </w:t>
      </w:r>
      <w:r w:rsidR="006F40FD">
        <w:t>13</w:t>
      </w:r>
      <w:r>
        <w:t>(2) requires the first provider</w:t>
      </w:r>
      <w:r w:rsidR="00B83C06">
        <w:t xml:space="preserve"> to report the matter to the second provider as soon as practicable after becoming aware of it</w:t>
      </w:r>
      <w:r>
        <w:t xml:space="preserve">. </w:t>
      </w:r>
    </w:p>
    <w:p w:rsidR="007472D3" w:rsidRDefault="007472D3" w:rsidP="00C310D3">
      <w:pPr>
        <w:rPr>
          <w:b/>
        </w:rPr>
      </w:pPr>
    </w:p>
    <w:p w:rsidR="00C310D3" w:rsidRPr="005C5E78" w:rsidRDefault="00C310D3" w:rsidP="00C310D3">
      <w:pPr>
        <w:rPr>
          <w:b/>
        </w:rPr>
      </w:pPr>
      <w:r w:rsidRPr="005C5E78">
        <w:rPr>
          <w:b/>
        </w:rPr>
        <w:t xml:space="preserve">Section </w:t>
      </w:r>
      <w:r>
        <w:rPr>
          <w:b/>
        </w:rPr>
        <w:t>1</w:t>
      </w:r>
      <w:r w:rsidR="00B83C06">
        <w:rPr>
          <w:b/>
        </w:rPr>
        <w:t>4</w:t>
      </w:r>
      <w:r w:rsidRPr="005C5E78">
        <w:rPr>
          <w:b/>
        </w:rPr>
        <w:t xml:space="preserve"> – </w:t>
      </w:r>
      <w:r w:rsidR="00BB57D1">
        <w:rPr>
          <w:b/>
        </w:rPr>
        <w:t>Arrangements about rectification periods</w:t>
      </w:r>
    </w:p>
    <w:p w:rsidR="000D453A" w:rsidRDefault="00C310D3" w:rsidP="00C310D3">
      <w:pPr>
        <w:autoSpaceDE w:val="0"/>
        <w:autoSpaceDN w:val="0"/>
        <w:adjustRightInd w:val="0"/>
        <w:spacing w:before="80" w:after="120"/>
      </w:pPr>
      <w:r>
        <w:t>Section 1</w:t>
      </w:r>
      <w:r w:rsidR="00B83C06">
        <w:t>4</w:t>
      </w:r>
      <w:r>
        <w:t xml:space="preserve"> </w:t>
      </w:r>
      <w:r w:rsidR="00234245">
        <w:t xml:space="preserve">allows for </w:t>
      </w:r>
      <w:r w:rsidR="00BB57D1">
        <w:t xml:space="preserve">arrangements to rectify a fault or service difficulty </w:t>
      </w:r>
      <w:r w:rsidR="00E646F6">
        <w:t xml:space="preserve">in a </w:t>
      </w:r>
      <w:r w:rsidR="00BB57D1">
        <w:t xml:space="preserve">period that is shorter than the guaranteed maximum rectification period. Arrangements may also provide for a rectification period that is longer than the maximum rectification period if the customer wants the fault or difficulty to be rectified on a day after the end of that period. These provisions are intended to allow a degree of flexibility </w:t>
      </w:r>
      <w:r w:rsidR="00A24608">
        <w:t>depending on the type of fault or service difficulty being experienced by the customer or the particular circumstances of the customer.</w:t>
      </w:r>
    </w:p>
    <w:p w:rsidR="00785E57" w:rsidRDefault="00785E57" w:rsidP="007F1C08">
      <w:pPr>
        <w:rPr>
          <w:b/>
        </w:rPr>
      </w:pPr>
    </w:p>
    <w:p w:rsidR="007F1C08" w:rsidRDefault="007F1C08" w:rsidP="007F1C08">
      <w:pPr>
        <w:rPr>
          <w:b/>
        </w:rPr>
      </w:pPr>
      <w:r>
        <w:rPr>
          <w:b/>
        </w:rPr>
        <w:t>Division 4 – Appointments with customers</w:t>
      </w:r>
    </w:p>
    <w:p w:rsidR="00913F11" w:rsidRDefault="00913F11" w:rsidP="007F1C08">
      <w:pPr>
        <w:rPr>
          <w:b/>
        </w:rPr>
      </w:pPr>
    </w:p>
    <w:p w:rsidR="007F1C08" w:rsidRPr="005C5E78" w:rsidRDefault="007F1C08" w:rsidP="007F1C08">
      <w:pPr>
        <w:rPr>
          <w:b/>
        </w:rPr>
      </w:pPr>
      <w:r w:rsidRPr="005C5E78">
        <w:rPr>
          <w:b/>
        </w:rPr>
        <w:t xml:space="preserve">Section </w:t>
      </w:r>
      <w:r>
        <w:rPr>
          <w:b/>
        </w:rPr>
        <w:t>1</w:t>
      </w:r>
      <w:r w:rsidR="00A24608">
        <w:rPr>
          <w:b/>
        </w:rPr>
        <w:t>5</w:t>
      </w:r>
      <w:r w:rsidRPr="005C5E78">
        <w:rPr>
          <w:b/>
        </w:rPr>
        <w:t xml:space="preserve"> – </w:t>
      </w:r>
      <w:r>
        <w:rPr>
          <w:b/>
        </w:rPr>
        <w:t>Interpretation</w:t>
      </w:r>
    </w:p>
    <w:p w:rsidR="007F1C08" w:rsidRDefault="00322585" w:rsidP="007F1C08">
      <w:pPr>
        <w:autoSpaceDE w:val="0"/>
        <w:autoSpaceDN w:val="0"/>
        <w:adjustRightInd w:val="0"/>
        <w:spacing w:before="80" w:after="120"/>
      </w:pPr>
      <w:r>
        <w:t>Subs</w:t>
      </w:r>
      <w:r w:rsidR="00DC4E35">
        <w:t xml:space="preserve">ection </w:t>
      </w:r>
      <w:r>
        <w:t xml:space="preserve">15(1) </w:t>
      </w:r>
      <w:r w:rsidR="00DC4E35">
        <w:t>provides that in Division 4 a reference to a customer of a CSP includes a reference to someone who represents the customer.</w:t>
      </w:r>
    </w:p>
    <w:p w:rsidR="00DC4E35" w:rsidRDefault="00DC4E35" w:rsidP="007F1C08">
      <w:pPr>
        <w:autoSpaceDE w:val="0"/>
        <w:autoSpaceDN w:val="0"/>
        <w:adjustRightInd w:val="0"/>
        <w:spacing w:before="80" w:after="120"/>
      </w:pPr>
      <w:r>
        <w:t>Subsection 1</w:t>
      </w:r>
      <w:r w:rsidR="00322585">
        <w:t>5</w:t>
      </w:r>
      <w:r>
        <w:t>(2) provides that in Division 4 a reference to a proposed appointment includes reference to an appointment that is changed in accordance with subsection 1</w:t>
      </w:r>
      <w:r w:rsidR="00322585">
        <w:t>6</w:t>
      </w:r>
      <w:r>
        <w:t>(4).</w:t>
      </w:r>
    </w:p>
    <w:p w:rsidR="00ED16C7" w:rsidRPr="005C5E78" w:rsidRDefault="00ED16C7" w:rsidP="00ED16C7">
      <w:pPr>
        <w:rPr>
          <w:b/>
        </w:rPr>
      </w:pPr>
      <w:r w:rsidRPr="005C5E78">
        <w:rPr>
          <w:b/>
        </w:rPr>
        <w:t xml:space="preserve">Section </w:t>
      </w:r>
      <w:r>
        <w:rPr>
          <w:b/>
        </w:rPr>
        <w:t>1</w:t>
      </w:r>
      <w:r w:rsidR="00322585">
        <w:rPr>
          <w:b/>
        </w:rPr>
        <w:t>6</w:t>
      </w:r>
      <w:r w:rsidRPr="005C5E78">
        <w:rPr>
          <w:b/>
        </w:rPr>
        <w:t xml:space="preserve"> – </w:t>
      </w:r>
      <w:r>
        <w:rPr>
          <w:b/>
        </w:rPr>
        <w:t>Making and changing appointments</w:t>
      </w:r>
    </w:p>
    <w:p w:rsidR="00ED16C7" w:rsidRDefault="00BF56B4" w:rsidP="00ED16C7">
      <w:pPr>
        <w:autoSpaceDE w:val="0"/>
        <w:autoSpaceDN w:val="0"/>
        <w:adjustRightInd w:val="0"/>
        <w:spacing w:before="80" w:after="120"/>
      </w:pPr>
      <w:r>
        <w:t>S</w:t>
      </w:r>
      <w:r w:rsidR="00ED16C7">
        <w:t>ection</w:t>
      </w:r>
      <w:r>
        <w:t xml:space="preserve"> 16</w:t>
      </w:r>
      <w:r w:rsidR="00ED16C7">
        <w:t xml:space="preserve"> deals with the making and changing of appointments</w:t>
      </w:r>
      <w:r>
        <w:t xml:space="preserve"> for connecting a specified service or for rectifying a fault or service difficulty</w:t>
      </w:r>
      <w:r w:rsidR="00ED16C7">
        <w:t>, and requires a CSP to keep an appointment to which the CSP is a party.</w:t>
      </w:r>
    </w:p>
    <w:p w:rsidR="00427CD9" w:rsidRDefault="00ED16C7" w:rsidP="00ED16C7">
      <w:pPr>
        <w:autoSpaceDE w:val="0"/>
        <w:autoSpaceDN w:val="0"/>
        <w:adjustRightInd w:val="0"/>
        <w:spacing w:before="80" w:after="120"/>
      </w:pPr>
      <w:r>
        <w:t>Subsection</w:t>
      </w:r>
      <w:r w:rsidR="00234245">
        <w:t>s</w:t>
      </w:r>
      <w:r>
        <w:t xml:space="preserve"> </w:t>
      </w:r>
      <w:r w:rsidR="00234245">
        <w:t>16</w:t>
      </w:r>
      <w:r>
        <w:t>(2)</w:t>
      </w:r>
      <w:r w:rsidR="00234245">
        <w:t xml:space="preserve"> and 16(3)</w:t>
      </w:r>
      <w:r>
        <w:t xml:space="preserve"> </w:t>
      </w:r>
      <w:r w:rsidR="00BF56B4">
        <w:t>require</w:t>
      </w:r>
      <w:r>
        <w:t xml:space="preserve"> that the day </w:t>
      </w:r>
      <w:r w:rsidR="003C6643">
        <w:t>(</w:t>
      </w:r>
      <w:r>
        <w:t>and time of day</w:t>
      </w:r>
      <w:r w:rsidR="003C6643">
        <w:t>)</w:t>
      </w:r>
      <w:r>
        <w:t xml:space="preserve"> proposed by the CSP </w:t>
      </w:r>
      <w:r w:rsidR="00BF56B4">
        <w:t xml:space="preserve">for an appointment </w:t>
      </w:r>
      <w:r>
        <w:t xml:space="preserve">must be convenient </w:t>
      </w:r>
      <w:r w:rsidR="00BF56B4">
        <w:t>for</w:t>
      </w:r>
      <w:r>
        <w:t xml:space="preserve"> the customer</w:t>
      </w:r>
      <w:r w:rsidR="00234245">
        <w:t xml:space="preserve"> and that the CSP may propose an appointment at a particular time of day or period between 2 particular times of day not more than </w:t>
      </w:r>
      <w:r w:rsidR="00427CD9">
        <w:t>5 hours apart.</w:t>
      </w:r>
    </w:p>
    <w:p w:rsidR="00427CD9" w:rsidRDefault="00427CD9" w:rsidP="00ED16C7">
      <w:pPr>
        <w:autoSpaceDE w:val="0"/>
        <w:autoSpaceDN w:val="0"/>
        <w:adjustRightInd w:val="0"/>
        <w:spacing w:before="80" w:after="120"/>
      </w:pPr>
      <w:r>
        <w:t>Subsection 16(4) provides for changes to the day, time of day or location of the appointment by either party by giving at least 24 hours notice of the change or by obtaining the agreement of the other party.</w:t>
      </w:r>
    </w:p>
    <w:p w:rsidR="00ED16C7" w:rsidRDefault="00427CD9" w:rsidP="00993CDA">
      <w:pPr>
        <w:autoSpaceDE w:val="0"/>
        <w:autoSpaceDN w:val="0"/>
        <w:adjustRightInd w:val="0"/>
        <w:spacing w:before="80" w:after="120"/>
      </w:pPr>
      <w:r>
        <w:t>Subsection 16(5) requires a CSP to keep an appointment to which it is a party</w:t>
      </w:r>
      <w:r w:rsidR="00ED16C7">
        <w:t>.</w:t>
      </w:r>
      <w:r w:rsidR="00BF56B4">
        <w:t xml:space="preserve">  </w:t>
      </w:r>
    </w:p>
    <w:p w:rsidR="00E1588F" w:rsidRDefault="00E1588F" w:rsidP="00CD26AB">
      <w:pPr>
        <w:rPr>
          <w:b/>
        </w:rPr>
      </w:pPr>
    </w:p>
    <w:p w:rsidR="00CD26AB" w:rsidRPr="005C5E78" w:rsidRDefault="00CD26AB" w:rsidP="00CD26AB">
      <w:pPr>
        <w:rPr>
          <w:b/>
        </w:rPr>
      </w:pPr>
      <w:r w:rsidRPr="005C5E78">
        <w:rPr>
          <w:b/>
        </w:rPr>
        <w:t xml:space="preserve">Section </w:t>
      </w:r>
      <w:r>
        <w:rPr>
          <w:b/>
        </w:rPr>
        <w:t>1</w:t>
      </w:r>
      <w:r w:rsidR="00BF56B4">
        <w:rPr>
          <w:b/>
        </w:rPr>
        <w:t>7</w:t>
      </w:r>
      <w:r w:rsidRPr="005C5E78">
        <w:rPr>
          <w:b/>
        </w:rPr>
        <w:t xml:space="preserve"> – </w:t>
      </w:r>
      <w:r w:rsidR="00063A81">
        <w:rPr>
          <w:b/>
        </w:rPr>
        <w:t>Criteria for determining whether an appointment is kept</w:t>
      </w:r>
    </w:p>
    <w:p w:rsidR="008C255E" w:rsidRDefault="005D4B60" w:rsidP="00CD26AB">
      <w:pPr>
        <w:autoSpaceDE w:val="0"/>
        <w:autoSpaceDN w:val="0"/>
        <w:adjustRightInd w:val="0"/>
        <w:spacing w:before="80" w:after="120"/>
      </w:pPr>
      <w:r>
        <w:t>Section 1</w:t>
      </w:r>
      <w:r w:rsidR="00BF56B4">
        <w:t>7</w:t>
      </w:r>
      <w:r>
        <w:t xml:space="preserve"> sets </w:t>
      </w:r>
      <w:r w:rsidR="00297F32">
        <w:t>out the criteria for determining whether an appointment has been kept</w:t>
      </w:r>
      <w:r w:rsidR="00542757">
        <w:t xml:space="preserve"> by a CSP</w:t>
      </w:r>
      <w:r w:rsidR="00297F32">
        <w:t>. The criteria var</w:t>
      </w:r>
      <w:r w:rsidR="00200CB6">
        <w:t>y</w:t>
      </w:r>
      <w:r w:rsidR="00297F32">
        <w:t xml:space="preserve"> depending on </w:t>
      </w:r>
      <w:r w:rsidR="00200CB6">
        <w:t>whether the CSP makes an appointment for a particular time of day or for a period between two particular times of day</w:t>
      </w:r>
      <w:r w:rsidR="00297F32">
        <w:t xml:space="preserve"> and makes allowances for circumstances where a CSP may have to travel a long distance to attend an appointment at a site located in a community with a population </w:t>
      </w:r>
      <w:r w:rsidR="00200CB6">
        <w:t xml:space="preserve">equal to or </w:t>
      </w:r>
      <w:r w:rsidR="00297F32">
        <w:t>less than 2,500 people.</w:t>
      </w:r>
      <w:r w:rsidR="002A5DE2">
        <w:t xml:space="preserve">  </w:t>
      </w:r>
    </w:p>
    <w:p w:rsidR="00ED6AD9" w:rsidRDefault="00297F32" w:rsidP="00CD26AB">
      <w:pPr>
        <w:autoSpaceDE w:val="0"/>
        <w:autoSpaceDN w:val="0"/>
        <w:adjustRightInd w:val="0"/>
        <w:spacing w:before="80" w:after="120"/>
      </w:pPr>
      <w:r>
        <w:t xml:space="preserve">Under </w:t>
      </w:r>
      <w:r w:rsidR="00ED6AD9">
        <w:t>subsections 17(1) and 17(2)</w:t>
      </w:r>
      <w:r>
        <w:t>, if a CSP makes an appointment for a particular time of day or for a period between tw</w:t>
      </w:r>
      <w:r w:rsidR="0034311A">
        <w:t>o</w:t>
      </w:r>
      <w:r>
        <w:t xml:space="preserve"> particular times of day that are not more than four hours apart, the CSP is taken to have kept the appointment if the provider is present at the site </w:t>
      </w:r>
      <w:r w:rsidR="00200CB6">
        <w:t xml:space="preserve">of the appointment </w:t>
      </w:r>
      <w:r>
        <w:t xml:space="preserve">not </w:t>
      </w:r>
      <w:r w:rsidR="00200CB6">
        <w:t>later</w:t>
      </w:r>
      <w:r>
        <w:t xml:space="preserve"> than 15 minute after the time of the appointment</w:t>
      </w:r>
      <w:r w:rsidR="00200CB6">
        <w:t xml:space="preserve"> or after the end of the period, as the case may be</w:t>
      </w:r>
      <w:r>
        <w:t>.</w:t>
      </w:r>
      <w:r w:rsidR="00200CB6">
        <w:t xml:space="preserve"> </w:t>
      </w:r>
    </w:p>
    <w:p w:rsidR="00297F32" w:rsidRDefault="00297F32" w:rsidP="00CD26AB">
      <w:pPr>
        <w:autoSpaceDE w:val="0"/>
        <w:autoSpaceDN w:val="0"/>
        <w:adjustRightInd w:val="0"/>
        <w:spacing w:before="80" w:after="120"/>
      </w:pPr>
      <w:r>
        <w:t xml:space="preserve">If a CSP makes an appointment for a period </w:t>
      </w:r>
      <w:r w:rsidR="00200CB6">
        <w:t xml:space="preserve">between two particular times of day </w:t>
      </w:r>
      <w:r>
        <w:t xml:space="preserve">that </w:t>
      </w:r>
      <w:r w:rsidR="00200CB6">
        <w:t>are</w:t>
      </w:r>
      <w:r>
        <w:t xml:space="preserve"> more than four but not more than five hours </w:t>
      </w:r>
      <w:r w:rsidR="00A87C99">
        <w:t>apart</w:t>
      </w:r>
      <w:r>
        <w:t>, the CSP is taken to have kept the appointment if the provider is present at the site of the appointment within that period</w:t>
      </w:r>
      <w:r w:rsidR="00ED6AD9">
        <w:t xml:space="preserve"> (subsection 17(3))</w:t>
      </w:r>
      <w:r>
        <w:t>.</w:t>
      </w:r>
    </w:p>
    <w:p w:rsidR="00297F32" w:rsidRDefault="00D22463" w:rsidP="00CD26AB">
      <w:pPr>
        <w:autoSpaceDE w:val="0"/>
        <w:autoSpaceDN w:val="0"/>
        <w:adjustRightInd w:val="0"/>
        <w:spacing w:before="80" w:after="120"/>
      </w:pPr>
      <w:r>
        <w:t>Subsection 1</w:t>
      </w:r>
      <w:r w:rsidR="00E3193C">
        <w:t>7</w:t>
      </w:r>
      <w:r>
        <w:t>(4)</w:t>
      </w:r>
      <w:r w:rsidR="007F2952">
        <w:t xml:space="preserve"> provides that if the CSP makes an appointment </w:t>
      </w:r>
      <w:r w:rsidR="00E3193C">
        <w:t xml:space="preserve">for a period between two particular times of day that are more than four but not more than five hours apart and the appointment is </w:t>
      </w:r>
      <w:r w:rsidR="007F2952">
        <w:t xml:space="preserve">at a site located in a community with </w:t>
      </w:r>
      <w:r w:rsidR="00E3193C">
        <w:t xml:space="preserve">a population equal to or less than </w:t>
      </w:r>
      <w:r w:rsidR="007F2952">
        <w:t>2,500 people and the CSP has to travel a long distance to attend the site, the provider is taken to have kept the appointment if the provider is present at the site not later than 45 minutes after the end of the period.</w:t>
      </w:r>
    </w:p>
    <w:p w:rsidR="000E3C57" w:rsidRDefault="000E3C57" w:rsidP="00CD26AB">
      <w:pPr>
        <w:autoSpaceDE w:val="0"/>
        <w:autoSpaceDN w:val="0"/>
        <w:adjustRightInd w:val="0"/>
        <w:spacing w:before="80" w:after="120"/>
      </w:pPr>
      <w:r>
        <w:t>Subsection 1</w:t>
      </w:r>
      <w:r w:rsidR="00E3193C">
        <w:t>7</w:t>
      </w:r>
      <w:r>
        <w:t>(5) provides that if a CSP does not keep an appointment in accordance with this section, the CSP is taken to have missed the appointment.</w:t>
      </w:r>
      <w:r w:rsidR="006658C2">
        <w:t xml:space="preserve"> In determining whether a CSP has contravened this section, regard must be had to whether the customer cooperated with the CSP (note to subsection 17(5)).</w:t>
      </w:r>
    </w:p>
    <w:p w:rsidR="008C1038" w:rsidRDefault="008C1038" w:rsidP="00670ADE">
      <w:pPr>
        <w:rPr>
          <w:b/>
        </w:rPr>
      </w:pPr>
    </w:p>
    <w:p w:rsidR="00670ADE" w:rsidRDefault="00C6516F" w:rsidP="00670ADE">
      <w:pPr>
        <w:rPr>
          <w:b/>
        </w:rPr>
      </w:pPr>
      <w:r>
        <w:rPr>
          <w:b/>
        </w:rPr>
        <w:br w:type="page"/>
      </w:r>
      <w:r w:rsidR="00670ADE">
        <w:rPr>
          <w:b/>
        </w:rPr>
        <w:t>Part 3 – Exemption from performance standards</w:t>
      </w:r>
    </w:p>
    <w:p w:rsidR="008C1038" w:rsidRDefault="008C1038" w:rsidP="00670ADE">
      <w:pPr>
        <w:rPr>
          <w:b/>
        </w:rPr>
      </w:pPr>
    </w:p>
    <w:p w:rsidR="00670ADE" w:rsidRPr="005C5E78" w:rsidRDefault="00670ADE" w:rsidP="00670ADE">
      <w:pPr>
        <w:rPr>
          <w:b/>
        </w:rPr>
      </w:pPr>
      <w:r w:rsidRPr="005C5E78">
        <w:rPr>
          <w:b/>
        </w:rPr>
        <w:t xml:space="preserve">Section </w:t>
      </w:r>
      <w:r>
        <w:rPr>
          <w:b/>
        </w:rPr>
        <w:t>1</w:t>
      </w:r>
      <w:r w:rsidR="00E3193C">
        <w:rPr>
          <w:b/>
        </w:rPr>
        <w:t>8</w:t>
      </w:r>
      <w:r w:rsidRPr="005C5E78">
        <w:rPr>
          <w:b/>
        </w:rPr>
        <w:t xml:space="preserve"> – </w:t>
      </w:r>
      <w:r>
        <w:rPr>
          <w:b/>
        </w:rPr>
        <w:t xml:space="preserve">Supply of more than </w:t>
      </w:r>
      <w:r w:rsidR="00C04BF1">
        <w:rPr>
          <w:b/>
        </w:rPr>
        <w:t>5</w:t>
      </w:r>
      <w:r>
        <w:rPr>
          <w:b/>
        </w:rPr>
        <w:t xml:space="preserve"> eligible telephone services</w:t>
      </w:r>
    </w:p>
    <w:p w:rsidR="00952DD8" w:rsidRDefault="005C1115" w:rsidP="00670ADE">
      <w:pPr>
        <w:autoSpaceDE w:val="0"/>
        <w:autoSpaceDN w:val="0"/>
        <w:adjustRightInd w:val="0"/>
        <w:spacing w:before="80" w:after="120"/>
      </w:pPr>
      <w:r>
        <w:t>S</w:t>
      </w:r>
      <w:r w:rsidR="00853EBF">
        <w:t xml:space="preserve">ection </w:t>
      </w:r>
      <w:r>
        <w:t xml:space="preserve">18 </w:t>
      </w:r>
      <w:r w:rsidR="00853EBF">
        <w:t xml:space="preserve">is intended to limit the CSG to situations where the customer is unlikely to be in a strong bargaining position with the CSP </w:t>
      </w:r>
      <w:r w:rsidR="00427CD9">
        <w:t xml:space="preserve">due to the fact that only a small number of services </w:t>
      </w:r>
      <w:r w:rsidR="00D648D0">
        <w:t>are</w:t>
      </w:r>
      <w:r w:rsidR="00427CD9">
        <w:t xml:space="preserve"> supplied </w:t>
      </w:r>
      <w:r w:rsidR="00853EBF">
        <w:t xml:space="preserve">(for example, residential and small business customers). The section </w:t>
      </w:r>
      <w:r w:rsidR="00427CD9">
        <w:t>limits</w:t>
      </w:r>
      <w:r w:rsidR="00853EBF">
        <w:t xml:space="preserve"> the CSG to </w:t>
      </w:r>
      <w:r w:rsidR="00427CD9">
        <w:t xml:space="preserve">circumstances </w:t>
      </w:r>
      <w:r w:rsidR="00853EBF">
        <w:t xml:space="preserve">where </w:t>
      </w:r>
      <w:r w:rsidR="00107F1A">
        <w:t>a</w:t>
      </w:r>
      <w:r w:rsidR="00853EBF">
        <w:t xml:space="preserve"> CSP supplies </w:t>
      </w:r>
      <w:r w:rsidR="00107F1A">
        <w:t xml:space="preserve">a customer </w:t>
      </w:r>
      <w:r w:rsidR="007C5595">
        <w:t xml:space="preserve">with </w:t>
      </w:r>
      <w:r w:rsidR="00853EBF">
        <w:t xml:space="preserve">five or less </w:t>
      </w:r>
      <w:r w:rsidR="00CC3818">
        <w:t>eligible</w:t>
      </w:r>
      <w:r w:rsidR="00853EBF">
        <w:t xml:space="preserve"> telephone services on separate lines.</w:t>
      </w:r>
    </w:p>
    <w:p w:rsidR="00120849" w:rsidRDefault="00120849" w:rsidP="00670ADE">
      <w:pPr>
        <w:autoSpaceDE w:val="0"/>
        <w:autoSpaceDN w:val="0"/>
        <w:adjustRightInd w:val="0"/>
        <w:spacing w:before="80" w:after="120"/>
      </w:pPr>
      <w:r>
        <w:t>Subsection 1</w:t>
      </w:r>
      <w:r w:rsidR="00E3193C">
        <w:t>8</w:t>
      </w:r>
      <w:r>
        <w:t xml:space="preserve">(1) exempts a CSP from compliance with </w:t>
      </w:r>
      <w:r w:rsidR="00107F1A">
        <w:t xml:space="preserve">a </w:t>
      </w:r>
      <w:r w:rsidR="002A4D91">
        <w:t xml:space="preserve">CSG </w:t>
      </w:r>
      <w:r w:rsidR="00107F1A">
        <w:t>performance standard</w:t>
      </w:r>
      <w:r>
        <w:t xml:space="preserve"> if the CSP is supplying the customer with more than five eligible telephone services at one time.</w:t>
      </w:r>
    </w:p>
    <w:p w:rsidR="004A0FBE" w:rsidRDefault="00F63F41" w:rsidP="00670ADE">
      <w:pPr>
        <w:autoSpaceDE w:val="0"/>
        <w:autoSpaceDN w:val="0"/>
        <w:adjustRightInd w:val="0"/>
        <w:spacing w:before="80" w:after="120"/>
      </w:pPr>
      <w:r>
        <w:t>Subsection 1</w:t>
      </w:r>
      <w:r w:rsidR="00E3193C">
        <w:t>8</w:t>
      </w:r>
      <w:r>
        <w:t>(2) exempts a CSP from compliance with</w:t>
      </w:r>
      <w:r w:rsidR="00107F1A">
        <w:t xml:space="preserve"> a </w:t>
      </w:r>
      <w:r w:rsidR="002A4D91">
        <w:t xml:space="preserve">CSG </w:t>
      </w:r>
      <w:r w:rsidR="00107F1A">
        <w:t>performance standard</w:t>
      </w:r>
      <w:r>
        <w:t xml:space="preserve"> </w:t>
      </w:r>
      <w:r w:rsidR="002A4D91">
        <w:t>(</w:t>
      </w:r>
      <w:r w:rsidR="007C5595">
        <w:t>for all services provided to the customer</w:t>
      </w:r>
      <w:r w:rsidR="002A4D91">
        <w:t>)</w:t>
      </w:r>
      <w:r w:rsidR="007C5595">
        <w:t xml:space="preserve"> i</w:t>
      </w:r>
      <w:r>
        <w:t xml:space="preserve">f the CSP is already supplying a customer with five eligible services and arrangements </w:t>
      </w:r>
      <w:r w:rsidR="007C5595">
        <w:t xml:space="preserve">are made </w:t>
      </w:r>
      <w:r>
        <w:t xml:space="preserve">for the supply of one or more additional services to the customer. </w:t>
      </w:r>
    </w:p>
    <w:p w:rsidR="00C04BF1" w:rsidRDefault="00C04BF1" w:rsidP="00FF72FF">
      <w:pPr>
        <w:rPr>
          <w:b/>
        </w:rPr>
      </w:pPr>
    </w:p>
    <w:p w:rsidR="00FF72FF" w:rsidRPr="005C5E78" w:rsidRDefault="00FF72FF" w:rsidP="00FF72FF">
      <w:pPr>
        <w:rPr>
          <w:b/>
        </w:rPr>
      </w:pPr>
      <w:r w:rsidRPr="005C5E78">
        <w:rPr>
          <w:b/>
        </w:rPr>
        <w:t xml:space="preserve">Section </w:t>
      </w:r>
      <w:r w:rsidR="00107F1A">
        <w:rPr>
          <w:b/>
        </w:rPr>
        <w:t>19</w:t>
      </w:r>
      <w:r w:rsidRPr="005C5E78">
        <w:rPr>
          <w:b/>
        </w:rPr>
        <w:t xml:space="preserve"> – </w:t>
      </w:r>
      <w:r>
        <w:rPr>
          <w:b/>
        </w:rPr>
        <w:t>Maintenance and upgrades</w:t>
      </w:r>
    </w:p>
    <w:p w:rsidR="007C5595" w:rsidRDefault="007C5595" w:rsidP="00FF72FF">
      <w:pPr>
        <w:autoSpaceDE w:val="0"/>
        <w:autoSpaceDN w:val="0"/>
        <w:adjustRightInd w:val="0"/>
        <w:spacing w:before="80" w:after="120"/>
      </w:pPr>
      <w:r>
        <w:t xml:space="preserve">Section </w:t>
      </w:r>
      <w:r w:rsidR="00D66A40">
        <w:t xml:space="preserve">19 </w:t>
      </w:r>
      <w:r w:rsidR="00F268DD">
        <w:t xml:space="preserve">provides that </w:t>
      </w:r>
      <w:r w:rsidR="00E55EB7">
        <w:t xml:space="preserve">a </w:t>
      </w:r>
      <w:r w:rsidR="00F268DD">
        <w:t xml:space="preserve">CSP </w:t>
      </w:r>
      <w:r w:rsidR="00E55EB7">
        <w:t>is</w:t>
      </w:r>
      <w:r w:rsidR="00F268DD">
        <w:t xml:space="preserve"> exempt from complying with </w:t>
      </w:r>
      <w:r w:rsidR="00C574D2">
        <w:t>a</w:t>
      </w:r>
      <w:r w:rsidR="00F268DD">
        <w:t xml:space="preserve"> </w:t>
      </w:r>
      <w:r w:rsidR="00415505">
        <w:t xml:space="preserve">CSG </w:t>
      </w:r>
      <w:r w:rsidR="00C574D2">
        <w:t>performance s</w:t>
      </w:r>
      <w:r w:rsidR="00F268DD">
        <w:t xml:space="preserve">tandard </w:t>
      </w:r>
      <w:r w:rsidR="00C574D2">
        <w:t xml:space="preserve">(in relation </w:t>
      </w:r>
      <w:r w:rsidR="00E55EB7">
        <w:t xml:space="preserve">to the supply of </w:t>
      </w:r>
      <w:r>
        <w:t xml:space="preserve">a specified service </w:t>
      </w:r>
      <w:r w:rsidR="00E55EB7">
        <w:t xml:space="preserve">to a customer) </w:t>
      </w:r>
      <w:r>
        <w:t xml:space="preserve">to the extent that non-compliance with the standard is the result of maintenance or upgrading of a facility or network used </w:t>
      </w:r>
      <w:r w:rsidR="0062436F">
        <w:t>to</w:t>
      </w:r>
      <w:r>
        <w:t xml:space="preserve"> provide the service.</w:t>
      </w:r>
    </w:p>
    <w:p w:rsidR="0023092C" w:rsidRDefault="007C5595" w:rsidP="00FF72FF">
      <w:pPr>
        <w:autoSpaceDE w:val="0"/>
        <w:autoSpaceDN w:val="0"/>
        <w:adjustRightInd w:val="0"/>
        <w:spacing w:before="80" w:after="120"/>
      </w:pPr>
      <w:r>
        <w:t xml:space="preserve">However, </w:t>
      </w:r>
      <w:r w:rsidR="0062436F">
        <w:t>under subsection 19(2)</w:t>
      </w:r>
      <w:r w:rsidR="0023092C">
        <w:t>,</w:t>
      </w:r>
      <w:r w:rsidR="0062436F">
        <w:t xml:space="preserve"> </w:t>
      </w:r>
      <w:r>
        <w:t xml:space="preserve">an exemption under section 19 can only be claimed </w:t>
      </w:r>
      <w:r w:rsidR="008E39FF">
        <w:t xml:space="preserve">for non-supply of a service </w:t>
      </w:r>
      <w:r>
        <w:t>where the CSP has given the customer reasonable notice of the non-compliance.</w:t>
      </w:r>
      <w:r w:rsidR="00F268DD">
        <w:t xml:space="preserve"> </w:t>
      </w:r>
    </w:p>
    <w:p w:rsidR="003E40EA" w:rsidRDefault="00CD43A0" w:rsidP="00FF72FF">
      <w:pPr>
        <w:autoSpaceDE w:val="0"/>
        <w:autoSpaceDN w:val="0"/>
        <w:adjustRightInd w:val="0"/>
        <w:spacing w:before="80" w:after="120"/>
      </w:pPr>
      <w:r>
        <w:t>T</w:t>
      </w:r>
      <w:r w:rsidR="00F268DD">
        <w:t xml:space="preserve">his exemption </w:t>
      </w:r>
      <w:r>
        <w:t xml:space="preserve">has been included </w:t>
      </w:r>
      <w:r w:rsidR="00F268DD">
        <w:t>to ensure that CSPs are not unfairly penalised for planned outage</w:t>
      </w:r>
      <w:r w:rsidR="007C5595">
        <w:t>s</w:t>
      </w:r>
      <w:r w:rsidR="00F268DD">
        <w:t xml:space="preserve"> to complete maintenance work or facility upgrades</w:t>
      </w:r>
      <w:r w:rsidR="0023092C">
        <w:t xml:space="preserve"> and to ensure they give customers reasonable notice of the non-compliance</w:t>
      </w:r>
      <w:r w:rsidR="00F268DD">
        <w:t>.</w:t>
      </w:r>
    </w:p>
    <w:p w:rsidR="00D1556C" w:rsidRDefault="00D1556C" w:rsidP="006B0ECD">
      <w:pPr>
        <w:rPr>
          <w:b/>
        </w:rPr>
      </w:pPr>
    </w:p>
    <w:p w:rsidR="006B0ECD" w:rsidRPr="005C5E78" w:rsidRDefault="006B0ECD" w:rsidP="006B0ECD">
      <w:pPr>
        <w:rPr>
          <w:b/>
        </w:rPr>
      </w:pPr>
      <w:r w:rsidRPr="005C5E78">
        <w:rPr>
          <w:b/>
        </w:rPr>
        <w:t xml:space="preserve">Section </w:t>
      </w:r>
      <w:r w:rsidR="007C5595">
        <w:rPr>
          <w:b/>
        </w:rPr>
        <w:t>20</w:t>
      </w:r>
      <w:r w:rsidR="007C5595" w:rsidRPr="005C5E78">
        <w:rPr>
          <w:b/>
        </w:rPr>
        <w:t xml:space="preserve"> </w:t>
      </w:r>
      <w:r w:rsidRPr="005C5E78">
        <w:rPr>
          <w:b/>
        </w:rPr>
        <w:t xml:space="preserve">– </w:t>
      </w:r>
      <w:r>
        <w:rPr>
          <w:b/>
        </w:rPr>
        <w:t>Credit standing of customers</w:t>
      </w:r>
    </w:p>
    <w:p w:rsidR="00FD47F5" w:rsidRDefault="006B0ECD" w:rsidP="006B0ECD">
      <w:pPr>
        <w:autoSpaceDE w:val="0"/>
        <w:autoSpaceDN w:val="0"/>
        <w:adjustRightInd w:val="0"/>
        <w:spacing w:before="80" w:after="120"/>
      </w:pPr>
      <w:r>
        <w:t xml:space="preserve">Section </w:t>
      </w:r>
      <w:r w:rsidR="00832BB2">
        <w:t>20</w:t>
      </w:r>
      <w:r w:rsidR="009A1EFB">
        <w:t xml:space="preserve"> </w:t>
      </w:r>
      <w:r w:rsidR="00832BB2">
        <w:t xml:space="preserve">provides that a CSP is exempt from compliance with the </w:t>
      </w:r>
      <w:r w:rsidR="009A1EFB">
        <w:t xml:space="preserve">CSG </w:t>
      </w:r>
      <w:r w:rsidR="00832BB2">
        <w:t>performance standard</w:t>
      </w:r>
      <w:r w:rsidR="009A1EFB">
        <w:t>s</w:t>
      </w:r>
      <w:r w:rsidR="00832BB2">
        <w:t xml:space="preserve"> where</w:t>
      </w:r>
      <w:r w:rsidR="00FD47F5">
        <w:t>:</w:t>
      </w:r>
    </w:p>
    <w:p w:rsidR="00FD47F5" w:rsidRDefault="009A1EFB" w:rsidP="00FD47F5">
      <w:pPr>
        <w:numPr>
          <w:ilvl w:val="0"/>
          <w:numId w:val="18"/>
        </w:numPr>
        <w:autoSpaceDE w:val="0"/>
        <w:autoSpaceDN w:val="0"/>
        <w:adjustRightInd w:val="0"/>
        <w:spacing w:before="80" w:after="120"/>
      </w:pPr>
      <w:r>
        <w:t xml:space="preserve">a </w:t>
      </w:r>
      <w:r w:rsidR="00832BB2">
        <w:t xml:space="preserve">CSP has reasonable grounds to believe that the customer </w:t>
      </w:r>
      <w:r>
        <w:t xml:space="preserve">would be unable or unwilling to pay for a </w:t>
      </w:r>
      <w:r w:rsidR="00832BB2">
        <w:t xml:space="preserve">charge </w:t>
      </w:r>
      <w:r>
        <w:t xml:space="preserve">for </w:t>
      </w:r>
      <w:r w:rsidR="00832BB2">
        <w:t>connection or use of the service</w:t>
      </w:r>
      <w:r w:rsidR="00FD47F5">
        <w:t>;</w:t>
      </w:r>
      <w:r>
        <w:t xml:space="preserve"> or </w:t>
      </w:r>
    </w:p>
    <w:p w:rsidR="006B0ECD" w:rsidRDefault="009A1EFB" w:rsidP="00FD47F5">
      <w:pPr>
        <w:numPr>
          <w:ilvl w:val="0"/>
          <w:numId w:val="18"/>
        </w:numPr>
        <w:autoSpaceDE w:val="0"/>
        <w:autoSpaceDN w:val="0"/>
        <w:adjustRightInd w:val="0"/>
        <w:spacing w:before="80" w:after="120"/>
      </w:pPr>
      <w:r>
        <w:t xml:space="preserve">where the customer’s service was disconnected due to non-payment of a charge </w:t>
      </w:r>
      <w:r w:rsidR="00FD47F5">
        <w:t xml:space="preserve">for </w:t>
      </w:r>
      <w:r>
        <w:t>the connection or use of the service</w:t>
      </w:r>
      <w:r w:rsidR="00832BB2">
        <w:t>.</w:t>
      </w:r>
    </w:p>
    <w:p w:rsidR="003B28A1" w:rsidRDefault="003B28A1" w:rsidP="00114356">
      <w:pPr>
        <w:rPr>
          <w:b/>
        </w:rPr>
      </w:pPr>
    </w:p>
    <w:p w:rsidR="00114356" w:rsidRPr="005C5E78" w:rsidRDefault="00114356" w:rsidP="00114356">
      <w:pPr>
        <w:rPr>
          <w:b/>
        </w:rPr>
      </w:pPr>
      <w:r w:rsidRPr="005C5E78">
        <w:rPr>
          <w:b/>
        </w:rPr>
        <w:t xml:space="preserve">Section </w:t>
      </w:r>
      <w:r w:rsidR="00832BB2">
        <w:rPr>
          <w:b/>
        </w:rPr>
        <w:t>21</w:t>
      </w:r>
      <w:r w:rsidR="00832BB2" w:rsidRPr="005C5E78">
        <w:rPr>
          <w:b/>
        </w:rPr>
        <w:t xml:space="preserve"> </w:t>
      </w:r>
      <w:r w:rsidRPr="005C5E78">
        <w:rPr>
          <w:b/>
        </w:rPr>
        <w:t xml:space="preserve">– </w:t>
      </w:r>
      <w:r>
        <w:rPr>
          <w:b/>
        </w:rPr>
        <w:t>Circumstances beyond the control of carriage service providers</w:t>
      </w:r>
    </w:p>
    <w:p w:rsidR="00114356" w:rsidRDefault="00114356" w:rsidP="00114356">
      <w:pPr>
        <w:autoSpaceDE w:val="0"/>
        <w:autoSpaceDN w:val="0"/>
        <w:adjustRightInd w:val="0"/>
        <w:spacing w:before="80" w:after="120"/>
      </w:pPr>
      <w:r>
        <w:t xml:space="preserve">Section </w:t>
      </w:r>
      <w:r w:rsidR="00832BB2">
        <w:t xml:space="preserve">21 </w:t>
      </w:r>
      <w:r>
        <w:t xml:space="preserve">recognises that circumstances may arise which are beyond the control of CSPs </w:t>
      </w:r>
      <w:r w:rsidR="00832BB2">
        <w:t>and prevent compliance with the</w:t>
      </w:r>
      <w:r>
        <w:t xml:space="preserve"> </w:t>
      </w:r>
      <w:r w:rsidR="00341474">
        <w:t xml:space="preserve">CSG </w:t>
      </w:r>
      <w:r>
        <w:t xml:space="preserve">Standard. It provides, under such circumstances, for affected CSPs to rely on an exemption from compliance with the </w:t>
      </w:r>
      <w:r w:rsidR="00341474">
        <w:t xml:space="preserve">CSG </w:t>
      </w:r>
      <w:r>
        <w:t>Standard and sets out procedures that they must comply with when relying on an exemption.</w:t>
      </w:r>
    </w:p>
    <w:p w:rsidR="0070705E" w:rsidRDefault="0070705E" w:rsidP="00114356">
      <w:pPr>
        <w:autoSpaceDE w:val="0"/>
        <w:autoSpaceDN w:val="0"/>
        <w:adjustRightInd w:val="0"/>
        <w:spacing w:before="80" w:after="120"/>
      </w:pPr>
      <w:r>
        <w:t xml:space="preserve">Subsection </w:t>
      </w:r>
      <w:r w:rsidR="00AB07E2">
        <w:t>21</w:t>
      </w:r>
      <w:r>
        <w:t xml:space="preserve">(1) provides that a CSP is exempt from complying with the </w:t>
      </w:r>
      <w:r w:rsidR="00341474">
        <w:t xml:space="preserve">CSG </w:t>
      </w:r>
      <w:r>
        <w:t>Standard to the extent that non-compliance is a result of circumstances beyond the control</w:t>
      </w:r>
      <w:r w:rsidR="00832BB2">
        <w:t xml:space="preserve"> o</w:t>
      </w:r>
      <w:r w:rsidR="00EF2819">
        <w:t>f the CSP or</w:t>
      </w:r>
      <w:r w:rsidR="00832BB2">
        <w:t xml:space="preserve"> where the non-compliance is the result of the need to move staff or equipment to an area affected by circumstances beyond the CSP’s control.</w:t>
      </w:r>
    </w:p>
    <w:p w:rsidR="0014170C" w:rsidRDefault="0014170C" w:rsidP="00114356">
      <w:pPr>
        <w:autoSpaceDE w:val="0"/>
        <w:autoSpaceDN w:val="0"/>
        <w:adjustRightInd w:val="0"/>
        <w:spacing w:before="80" w:after="120"/>
      </w:pPr>
      <w:r>
        <w:t xml:space="preserve">Subsection </w:t>
      </w:r>
      <w:r w:rsidR="00AB07E2">
        <w:t>21</w:t>
      </w:r>
      <w:r>
        <w:t>(2) provides a non-exhaustive list of circumstances which may be considered beyond the control of the provider</w:t>
      </w:r>
      <w:r w:rsidR="00AB07E2">
        <w:t xml:space="preserve"> including: damage to a </w:t>
      </w:r>
      <w:r w:rsidR="0034041E">
        <w:t>facility</w:t>
      </w:r>
      <w:r w:rsidR="00AB07E2">
        <w:t xml:space="preserve"> not caused by the CSP; natural disasters; extreme weather conditions; requests by public authorities to provide emergency communications to assist emergency action thus restricting connections and rectification of faults and service difficulties; inability to obtain lawful access to land; and the operation of a law of the Commonwealth, or a State or Territory preventing the CSP from complying with the Standard.</w:t>
      </w:r>
    </w:p>
    <w:p w:rsidR="0070705E" w:rsidRDefault="0070705E" w:rsidP="00114356">
      <w:pPr>
        <w:autoSpaceDE w:val="0"/>
        <w:autoSpaceDN w:val="0"/>
        <w:adjustRightInd w:val="0"/>
        <w:spacing w:before="80" w:after="120"/>
      </w:pPr>
      <w:r>
        <w:t xml:space="preserve">Subsection </w:t>
      </w:r>
      <w:r w:rsidR="00AB07E2">
        <w:t>21</w:t>
      </w:r>
      <w:r>
        <w:t>(</w:t>
      </w:r>
      <w:r w:rsidR="0014170C">
        <w:t>3</w:t>
      </w:r>
      <w:r>
        <w:t xml:space="preserve">) provides that a CSP (the first provider) is not exempt from compliance with the </w:t>
      </w:r>
      <w:r w:rsidR="00AA78D4">
        <w:t xml:space="preserve">CSG </w:t>
      </w:r>
      <w:r>
        <w:t>Standard to the extent that the first provider’s non-compliance is due wholly or partly to acts or omissions of another provider (the second provider), and the exemption is not applicable to the second provider.</w:t>
      </w:r>
    </w:p>
    <w:p w:rsidR="002501C0" w:rsidRPr="00583002" w:rsidRDefault="002501C0" w:rsidP="002501C0">
      <w:pPr>
        <w:autoSpaceDE w:val="0"/>
        <w:autoSpaceDN w:val="0"/>
        <w:adjustRightInd w:val="0"/>
        <w:spacing w:before="80" w:after="120"/>
      </w:pPr>
      <w:r w:rsidRPr="00583002">
        <w:t xml:space="preserve">Subsection </w:t>
      </w:r>
      <w:r w:rsidR="00AB07E2" w:rsidRPr="00583002">
        <w:t>2</w:t>
      </w:r>
      <w:r w:rsidR="00AB07E2">
        <w:t>1</w:t>
      </w:r>
      <w:r w:rsidRPr="00583002">
        <w:t>(4) provides that</w:t>
      </w:r>
      <w:r w:rsidR="00583002" w:rsidRPr="00583002">
        <w:t xml:space="preserve"> </w:t>
      </w:r>
      <w:r w:rsidR="00583002">
        <w:t xml:space="preserve">a CSP is not exempt from compliance with the </w:t>
      </w:r>
      <w:r w:rsidR="00CF6F27">
        <w:t xml:space="preserve">CSG </w:t>
      </w:r>
      <w:r w:rsidR="00583002">
        <w:t>Standard unless it has procedures in place for the purpose of ensuring that it does not rely on the exemption in circumstances that are not beyond its control. This section is intended to ensure providers have in place reasonable procedures to ensure they limit the extent to which circumstances beyond their control affect their ability to meet the performance standard</w:t>
      </w:r>
      <w:r w:rsidRPr="00583002">
        <w:t>.</w:t>
      </w:r>
    </w:p>
    <w:p w:rsidR="00FB47A5" w:rsidRDefault="00FB47A5" w:rsidP="00FB47A5">
      <w:pPr>
        <w:rPr>
          <w:b/>
        </w:rPr>
      </w:pPr>
    </w:p>
    <w:p w:rsidR="00FB47A5" w:rsidRPr="002F3A7F" w:rsidRDefault="00FB47A5" w:rsidP="00FB47A5">
      <w:pPr>
        <w:rPr>
          <w:b/>
        </w:rPr>
      </w:pPr>
      <w:r w:rsidRPr="002F3A7F">
        <w:rPr>
          <w:b/>
        </w:rPr>
        <w:t xml:space="preserve">Section 22 – Provisional exemption under section </w:t>
      </w:r>
      <w:r w:rsidR="00AB07E2" w:rsidRPr="002F3A7F">
        <w:rPr>
          <w:b/>
        </w:rPr>
        <w:t>2</w:t>
      </w:r>
      <w:r w:rsidR="00AB07E2">
        <w:rPr>
          <w:b/>
        </w:rPr>
        <w:t>1</w:t>
      </w:r>
    </w:p>
    <w:p w:rsidR="00AB07E2" w:rsidRDefault="00AB07E2" w:rsidP="00A92054"/>
    <w:p w:rsidR="00AB07E2" w:rsidRDefault="00AB07E2" w:rsidP="00A92054">
      <w:r>
        <w:t xml:space="preserve">Section 22 provides for </w:t>
      </w:r>
      <w:r w:rsidR="00567693">
        <w:t>CSPs</w:t>
      </w:r>
      <w:r>
        <w:t xml:space="preserve"> to </w:t>
      </w:r>
      <w:r w:rsidR="00567693">
        <w:t xml:space="preserve">claim an </w:t>
      </w:r>
      <w:r>
        <w:t>exempt</w:t>
      </w:r>
      <w:r w:rsidR="00567693">
        <w:t>ion</w:t>
      </w:r>
      <w:r>
        <w:t xml:space="preserve"> f</w:t>
      </w:r>
      <w:r w:rsidR="003B7B32">
        <w:t>ro</w:t>
      </w:r>
      <w:r>
        <w:t xml:space="preserve">m compliance with the </w:t>
      </w:r>
      <w:r w:rsidR="00567693">
        <w:t xml:space="preserve">CSG </w:t>
      </w:r>
      <w:r>
        <w:t xml:space="preserve">Standard </w:t>
      </w:r>
      <w:r w:rsidR="006309C3">
        <w:t>(</w:t>
      </w:r>
      <w:r w:rsidR="003B7B32">
        <w:t>as described in subsection 21(1)</w:t>
      </w:r>
      <w:r w:rsidR="006309C3">
        <w:t>)</w:t>
      </w:r>
      <w:r w:rsidR="003B7B32">
        <w:t xml:space="preserve"> </w:t>
      </w:r>
      <w:r w:rsidR="00AA77E1">
        <w:t xml:space="preserve">on a provisional basis </w:t>
      </w:r>
      <w:r w:rsidR="003B7B32">
        <w:t xml:space="preserve">from the time the CSP seeks to rely on the exemption </w:t>
      </w:r>
      <w:r w:rsidR="006309C3">
        <w:t xml:space="preserve">claimed </w:t>
      </w:r>
      <w:r w:rsidR="003B7B32">
        <w:t>until such time as the CSP either complies with the customer notification provisions in relation to the exemption set out in sections 23 and 24 or fails to comply with these notification provisions.</w:t>
      </w:r>
    </w:p>
    <w:p w:rsidR="006309C3" w:rsidRDefault="006309C3" w:rsidP="00A92054"/>
    <w:p w:rsidR="003B7B32" w:rsidRDefault="003B7B32" w:rsidP="00A92054">
      <w:r>
        <w:t>Where a CSP does not comply with either section 23 or 24, under subsection 22(2)</w:t>
      </w:r>
      <w:r w:rsidR="006309C3">
        <w:t>,</w:t>
      </w:r>
      <w:r>
        <w:t xml:space="preserve"> the exemption </w:t>
      </w:r>
      <w:r w:rsidR="006309C3">
        <w:t xml:space="preserve">claimed </w:t>
      </w:r>
      <w:r>
        <w:t>under section 21 will cease to apply and will be taken never to have applied in relation to the CSP</w:t>
      </w:r>
      <w:r w:rsidR="006309C3">
        <w:t>’</w:t>
      </w:r>
      <w:r>
        <w:t xml:space="preserve">s non-compliance with the </w:t>
      </w:r>
      <w:r w:rsidR="006309C3">
        <w:t xml:space="preserve">CSG </w:t>
      </w:r>
      <w:r>
        <w:t>performance standard.</w:t>
      </w:r>
    </w:p>
    <w:p w:rsidR="006309C3" w:rsidRDefault="006309C3" w:rsidP="002501C0">
      <w:pPr>
        <w:rPr>
          <w:b/>
        </w:rPr>
      </w:pPr>
    </w:p>
    <w:p w:rsidR="002501C0" w:rsidRPr="005C5E78" w:rsidRDefault="002501C0" w:rsidP="002501C0">
      <w:pPr>
        <w:rPr>
          <w:b/>
        </w:rPr>
      </w:pPr>
      <w:r w:rsidRPr="005C5E78">
        <w:rPr>
          <w:b/>
        </w:rPr>
        <w:t xml:space="preserve">Section </w:t>
      </w:r>
      <w:r>
        <w:rPr>
          <w:b/>
        </w:rPr>
        <w:t>23</w:t>
      </w:r>
      <w:r w:rsidRPr="005C5E78">
        <w:rPr>
          <w:b/>
        </w:rPr>
        <w:t xml:space="preserve"> – </w:t>
      </w:r>
      <w:r w:rsidR="00075928">
        <w:rPr>
          <w:b/>
        </w:rPr>
        <w:t xml:space="preserve">Notice to particular customers of provisional exemption under section </w:t>
      </w:r>
      <w:r w:rsidR="00545738">
        <w:rPr>
          <w:b/>
        </w:rPr>
        <w:t>2</w:t>
      </w:r>
      <w:r w:rsidR="00452F99">
        <w:rPr>
          <w:b/>
        </w:rPr>
        <w:t>1</w:t>
      </w:r>
    </w:p>
    <w:p w:rsidR="00C31133" w:rsidRDefault="00EB6982" w:rsidP="002501C0">
      <w:pPr>
        <w:autoSpaceDE w:val="0"/>
        <w:autoSpaceDN w:val="0"/>
        <w:adjustRightInd w:val="0"/>
        <w:spacing w:before="80" w:after="120"/>
      </w:pPr>
      <w:r>
        <w:t xml:space="preserve">This provision </w:t>
      </w:r>
      <w:r w:rsidR="00C31133">
        <w:t xml:space="preserve">is intended to ensure </w:t>
      </w:r>
      <w:r>
        <w:t xml:space="preserve">that </w:t>
      </w:r>
      <w:r w:rsidR="00C31133">
        <w:t xml:space="preserve">customers are kept informed when a CSP seeks to claim an exemption from a CSG performance standard </w:t>
      </w:r>
      <w:r w:rsidR="00754026">
        <w:t xml:space="preserve">due to </w:t>
      </w:r>
      <w:r w:rsidR="00C31133">
        <w:t>circumstances beyond its control.</w:t>
      </w:r>
    </w:p>
    <w:p w:rsidR="00AA77E1" w:rsidRDefault="00075928" w:rsidP="002501C0">
      <w:pPr>
        <w:autoSpaceDE w:val="0"/>
        <w:autoSpaceDN w:val="0"/>
        <w:adjustRightInd w:val="0"/>
        <w:spacing w:before="80" w:after="120"/>
      </w:pPr>
      <w:r>
        <w:t xml:space="preserve">A CSP who proposes to rely on an exemption from compliance with the </w:t>
      </w:r>
      <w:r w:rsidR="00F01AFF">
        <w:t xml:space="preserve">CSG </w:t>
      </w:r>
      <w:r>
        <w:t xml:space="preserve">Standard must either comply with the </w:t>
      </w:r>
      <w:r w:rsidR="00535AAE">
        <w:t xml:space="preserve">notification requirements </w:t>
      </w:r>
      <w:r>
        <w:t xml:space="preserve">set out in section </w:t>
      </w:r>
      <w:r w:rsidR="00943F33">
        <w:t>23</w:t>
      </w:r>
      <w:r>
        <w:t xml:space="preserve"> </w:t>
      </w:r>
      <w:r w:rsidR="006D669F">
        <w:t xml:space="preserve">of the </w:t>
      </w:r>
      <w:r w:rsidR="00F01AFF">
        <w:t xml:space="preserve">CSG </w:t>
      </w:r>
      <w:r>
        <w:t xml:space="preserve">Standard relating to </w:t>
      </w:r>
      <w:r w:rsidR="00535AAE">
        <w:t xml:space="preserve">direct </w:t>
      </w:r>
      <w:r>
        <w:t>notification</w:t>
      </w:r>
      <w:r w:rsidR="00535AAE">
        <w:t xml:space="preserve"> of </w:t>
      </w:r>
      <w:r w:rsidR="00943F33">
        <w:t xml:space="preserve">a </w:t>
      </w:r>
      <w:r w:rsidR="00535AAE">
        <w:t>customer</w:t>
      </w:r>
      <w:r>
        <w:t xml:space="preserve">, or with the general notification procedures specified under section 24. </w:t>
      </w:r>
      <w:r w:rsidR="00535AAE">
        <w:t>T</w:t>
      </w:r>
      <w:r>
        <w:t xml:space="preserve">hese </w:t>
      </w:r>
      <w:r w:rsidR="00535AAE">
        <w:t xml:space="preserve">notification requirements </w:t>
      </w:r>
      <w:r>
        <w:t>prescribe the information that a CSP must provide to customers</w:t>
      </w:r>
      <w:r w:rsidR="00535AAE">
        <w:t>,</w:t>
      </w:r>
      <w:r>
        <w:t xml:space="preserve"> the manner in which the information is to be provided</w:t>
      </w:r>
      <w:r w:rsidR="00F96C80">
        <w:t xml:space="preserve"> </w:t>
      </w:r>
      <w:r w:rsidR="00535AAE">
        <w:t>and the time</w:t>
      </w:r>
      <w:r w:rsidR="00F96C80">
        <w:t xml:space="preserve"> </w:t>
      </w:r>
      <w:r w:rsidR="00535AAE">
        <w:t>frames for the provision of the information</w:t>
      </w:r>
      <w:r w:rsidR="00AA77E1">
        <w:t>.</w:t>
      </w:r>
    </w:p>
    <w:p w:rsidR="00153CA9" w:rsidRDefault="00535AAE" w:rsidP="002501C0">
      <w:pPr>
        <w:autoSpaceDE w:val="0"/>
        <w:autoSpaceDN w:val="0"/>
        <w:adjustRightInd w:val="0"/>
        <w:spacing w:before="80" w:after="120"/>
      </w:pPr>
      <w:r>
        <w:t>Where a CSP chooses to comply with the notification provisions of section 23, u</w:t>
      </w:r>
      <w:r w:rsidR="00153CA9">
        <w:t>nder subsection 23(</w:t>
      </w:r>
      <w:r w:rsidR="003B1C47">
        <w:t>1</w:t>
      </w:r>
      <w:r w:rsidR="00153CA9">
        <w:t xml:space="preserve">), each customer to whom the exemption relates </w:t>
      </w:r>
      <w:r>
        <w:t>must be given</w:t>
      </w:r>
      <w:r w:rsidR="00F96C80">
        <w:t xml:space="preserve"> </w:t>
      </w:r>
      <w:r>
        <w:t>a statement in writ</w:t>
      </w:r>
      <w:r w:rsidR="00F96C80">
        <w:t>i</w:t>
      </w:r>
      <w:r>
        <w:t>ng setting out: that the exemption is available to the provider under section 21</w:t>
      </w:r>
      <w:r w:rsidR="00153CA9">
        <w:t xml:space="preserve">; the </w:t>
      </w:r>
      <w:r w:rsidR="00627A01">
        <w:t xml:space="preserve">grounds </w:t>
      </w:r>
      <w:r w:rsidR="00153CA9">
        <w:t>on which th</w:t>
      </w:r>
      <w:r w:rsidR="001332B3">
        <w:t>e</w:t>
      </w:r>
      <w:r w:rsidR="00153CA9">
        <w:t xml:space="preserve"> </w:t>
      </w:r>
      <w:r w:rsidR="001332B3">
        <w:t xml:space="preserve">exemption </w:t>
      </w:r>
      <w:r w:rsidR="00153CA9">
        <w:t xml:space="preserve">is based; the estimated </w:t>
      </w:r>
      <w:r w:rsidR="001332B3">
        <w:t xml:space="preserve">period of time for which the </w:t>
      </w:r>
      <w:r w:rsidR="00153CA9">
        <w:t>exemption</w:t>
      </w:r>
      <w:r w:rsidR="001332B3">
        <w:t xml:space="preserve"> will exist</w:t>
      </w:r>
      <w:r w:rsidR="00627A01">
        <w:t xml:space="preserve"> (if practicable)</w:t>
      </w:r>
      <w:r w:rsidR="00153CA9">
        <w:t xml:space="preserve">; the entitlement of the customer to dispute the exemption by taking the matter up with the provider or complaining to the </w:t>
      </w:r>
      <w:r w:rsidR="002E6D3E">
        <w:t>Telecommunications Industry Ombudsman (</w:t>
      </w:r>
      <w:r w:rsidR="00153CA9">
        <w:t>TIO</w:t>
      </w:r>
      <w:r w:rsidR="002E6D3E">
        <w:t>)</w:t>
      </w:r>
      <w:r w:rsidR="00153CA9">
        <w:t>; information about how the customer may contact the CSP in relation to the exemption</w:t>
      </w:r>
      <w:r w:rsidR="00627A01">
        <w:t>; and where the exemption relates to extreme weather, evidence in writing that the weather conditions meet one or more of</w:t>
      </w:r>
      <w:r w:rsidR="00F96C80">
        <w:t xml:space="preserve"> the</w:t>
      </w:r>
      <w:r w:rsidR="00627A01">
        <w:t xml:space="preserve"> criteria specified in Schedule 3</w:t>
      </w:r>
      <w:r w:rsidR="00153CA9">
        <w:t>.</w:t>
      </w:r>
    </w:p>
    <w:p w:rsidR="00C243DB" w:rsidRDefault="008E5680" w:rsidP="002501C0">
      <w:pPr>
        <w:autoSpaceDE w:val="0"/>
        <w:autoSpaceDN w:val="0"/>
        <w:adjustRightInd w:val="0"/>
        <w:spacing w:before="80" w:after="120"/>
      </w:pPr>
      <w:r>
        <w:t>Subsection 23(</w:t>
      </w:r>
      <w:r w:rsidR="003B1C47">
        <w:t>2</w:t>
      </w:r>
      <w:r>
        <w:t xml:space="preserve">) </w:t>
      </w:r>
      <w:r w:rsidR="00627A01">
        <w:t>prescribes the timing for notice given under section 23. W</w:t>
      </w:r>
      <w:r w:rsidR="003F4620">
        <w:t xml:space="preserve">here </w:t>
      </w:r>
      <w:r>
        <w:t xml:space="preserve">the exemption relates to </w:t>
      </w:r>
      <w:r w:rsidR="00627A01">
        <w:t xml:space="preserve">the CSP’s inability to obtain lawful access to a site or </w:t>
      </w:r>
      <w:r w:rsidR="00534624">
        <w:t xml:space="preserve">where </w:t>
      </w:r>
      <w:r w:rsidR="00627A01">
        <w:t xml:space="preserve">the operation of the law of the Commonwealth, a State or </w:t>
      </w:r>
      <w:r w:rsidR="00534624">
        <w:t xml:space="preserve">a </w:t>
      </w:r>
      <w:r w:rsidR="00627A01">
        <w:t>Territory prevent</w:t>
      </w:r>
      <w:r w:rsidR="00534624">
        <w:t>s</w:t>
      </w:r>
      <w:r w:rsidR="00627A01">
        <w:t xml:space="preserve"> compliance with the </w:t>
      </w:r>
      <w:r w:rsidR="00534624">
        <w:t xml:space="preserve">CSG </w:t>
      </w:r>
      <w:r w:rsidR="00627A01">
        <w:t xml:space="preserve">performance standard, notice must be given to the affected customer as soon as practicable, but no later than 14 </w:t>
      </w:r>
      <w:r w:rsidR="00534624">
        <w:t>weeks</w:t>
      </w:r>
      <w:r w:rsidR="00627A01">
        <w:t xml:space="preserve"> after the first day on which the exemption </w:t>
      </w:r>
      <w:r w:rsidR="00534624">
        <w:t>becomes</w:t>
      </w:r>
      <w:r w:rsidR="00627A01">
        <w:t xml:space="preserve"> available to the CSP. </w:t>
      </w:r>
      <w:r w:rsidR="00E124BC">
        <w:t>For all other circumstances, the CSP is required to give notice to the affected customer within 10 working days after the first working day on which the exemption bec</w:t>
      </w:r>
      <w:r w:rsidR="00545A37">
        <w:t>omes</w:t>
      </w:r>
      <w:r w:rsidR="00E124BC">
        <w:t xml:space="preserve"> available.</w:t>
      </w:r>
      <w:r w:rsidR="00E124BC" w:rsidRPr="00731D4D" w:rsidDel="00E124BC">
        <w:t xml:space="preserve"> </w:t>
      </w:r>
    </w:p>
    <w:p w:rsidR="00243F38" w:rsidRDefault="00243F38" w:rsidP="002501C0">
      <w:pPr>
        <w:autoSpaceDE w:val="0"/>
        <w:autoSpaceDN w:val="0"/>
        <w:adjustRightInd w:val="0"/>
        <w:spacing w:before="80" w:after="120"/>
      </w:pPr>
      <w:r>
        <w:t xml:space="preserve">Subsection 23(3) sets out matters that </w:t>
      </w:r>
      <w:r w:rsidR="00C243DB">
        <w:t xml:space="preserve">a </w:t>
      </w:r>
      <w:r>
        <w:t xml:space="preserve">CSP must </w:t>
      </w:r>
      <w:r w:rsidR="00F14F09">
        <w:t>consider</w:t>
      </w:r>
      <w:r>
        <w:t xml:space="preserve"> in estimating the duration of the exemption. These include the resources that the </w:t>
      </w:r>
      <w:r w:rsidR="00C243DB">
        <w:t>CSP</w:t>
      </w:r>
      <w:r>
        <w:t xml:space="preserve"> would have to commit to mitigate the consequences </w:t>
      </w:r>
      <w:r w:rsidR="00AA77E1">
        <w:t xml:space="preserve">and minimise the duration </w:t>
      </w:r>
      <w:r>
        <w:t xml:space="preserve">of the circumstances on which the exemption is based. This provision has been included to ensure that as far as practicable, exemption </w:t>
      </w:r>
      <w:r w:rsidR="00040440">
        <w:t>claims</w:t>
      </w:r>
      <w:r>
        <w:t xml:space="preserve"> are not open-ended.</w:t>
      </w:r>
    </w:p>
    <w:p w:rsidR="00E95B12" w:rsidRDefault="00E95B12" w:rsidP="002501C0">
      <w:pPr>
        <w:autoSpaceDE w:val="0"/>
        <w:autoSpaceDN w:val="0"/>
        <w:adjustRightInd w:val="0"/>
        <w:spacing w:before="80" w:after="120"/>
      </w:pPr>
      <w:r>
        <w:t xml:space="preserve">Subsection 23(4) </w:t>
      </w:r>
      <w:r w:rsidR="003F4620">
        <w:t xml:space="preserve">provides that </w:t>
      </w:r>
      <w:r w:rsidR="00E124BC">
        <w:t xml:space="preserve">compliance with section 23 does not prevent </w:t>
      </w:r>
      <w:r w:rsidR="003F4620">
        <w:t xml:space="preserve">a customer </w:t>
      </w:r>
      <w:r w:rsidR="00BE0BD6">
        <w:t xml:space="preserve">from </w:t>
      </w:r>
      <w:r w:rsidR="00E124BC">
        <w:t xml:space="preserve">disputing </w:t>
      </w:r>
      <w:r w:rsidR="003F4620">
        <w:t xml:space="preserve">the exemption claimed by the CSP. </w:t>
      </w:r>
      <w:r>
        <w:t xml:space="preserve"> </w:t>
      </w:r>
    </w:p>
    <w:p w:rsidR="007E10B0" w:rsidRDefault="007E10B0" w:rsidP="004C2E2A">
      <w:pPr>
        <w:rPr>
          <w:b/>
        </w:rPr>
      </w:pPr>
    </w:p>
    <w:p w:rsidR="004C2E2A" w:rsidRPr="005C5E78" w:rsidRDefault="004C2E2A" w:rsidP="004C2E2A">
      <w:pPr>
        <w:rPr>
          <w:b/>
        </w:rPr>
      </w:pPr>
      <w:r w:rsidRPr="005C5E78">
        <w:rPr>
          <w:b/>
        </w:rPr>
        <w:t xml:space="preserve">Section </w:t>
      </w:r>
      <w:r>
        <w:rPr>
          <w:b/>
        </w:rPr>
        <w:t>24</w:t>
      </w:r>
      <w:r w:rsidRPr="005C5E78">
        <w:rPr>
          <w:b/>
        </w:rPr>
        <w:t xml:space="preserve"> – </w:t>
      </w:r>
      <w:r>
        <w:rPr>
          <w:b/>
        </w:rPr>
        <w:t>General notice of exemptions</w:t>
      </w:r>
    </w:p>
    <w:p w:rsidR="00737DAD" w:rsidRDefault="00C04B20" w:rsidP="000931A8">
      <w:pPr>
        <w:autoSpaceDE w:val="0"/>
        <w:autoSpaceDN w:val="0"/>
        <w:adjustRightInd w:val="0"/>
        <w:spacing w:before="80" w:after="120"/>
      </w:pPr>
      <w:r>
        <w:t xml:space="preserve">This provision </w:t>
      </w:r>
      <w:r w:rsidR="00723352">
        <w:t>is intended to provide a CSP with flexibility in regard to notifying its customers of its intention to claim an exemption from the CSG performance standards when a large number of its customers may have been affected by the circumstances which resulted in the exemption being claimed.</w:t>
      </w:r>
      <w:r w:rsidR="00737DAD">
        <w:t xml:space="preserve"> </w:t>
      </w:r>
    </w:p>
    <w:p w:rsidR="00D156F3" w:rsidRDefault="00737DAD" w:rsidP="000931A8">
      <w:pPr>
        <w:autoSpaceDE w:val="0"/>
        <w:autoSpaceDN w:val="0"/>
        <w:adjustRightInd w:val="0"/>
        <w:spacing w:before="80" w:after="120"/>
      </w:pPr>
      <w:r>
        <w:t>S</w:t>
      </w:r>
      <w:r w:rsidR="004C2E2A">
        <w:t xml:space="preserve">ection </w:t>
      </w:r>
      <w:r>
        <w:t xml:space="preserve">24 </w:t>
      </w:r>
      <w:r w:rsidR="00993CDA">
        <w:t xml:space="preserve">provides that a CSP is not required to comply with the notification provisions set out in section 23 </w:t>
      </w:r>
      <w:r w:rsidR="0076434A">
        <w:t>if the CSP:</w:t>
      </w:r>
    </w:p>
    <w:p w:rsidR="000931A8" w:rsidRDefault="00AA77E1" w:rsidP="00D156F3">
      <w:pPr>
        <w:numPr>
          <w:ilvl w:val="0"/>
          <w:numId w:val="12"/>
        </w:numPr>
        <w:autoSpaceDE w:val="0"/>
        <w:autoSpaceDN w:val="0"/>
        <w:adjustRightInd w:val="0"/>
        <w:spacing w:before="80" w:after="120"/>
      </w:pPr>
      <w:r>
        <w:t xml:space="preserve">requests publication of </w:t>
      </w:r>
      <w:r w:rsidR="004C2E2A">
        <w:t xml:space="preserve">a notice </w:t>
      </w:r>
      <w:r w:rsidR="0076434A">
        <w:t xml:space="preserve">as set out </w:t>
      </w:r>
      <w:r w:rsidR="004C2E2A">
        <w:t>in subsection 25(1)</w:t>
      </w:r>
      <w:r w:rsidR="0076434A">
        <w:t xml:space="preserve"> no later than 9 working days after the first day on which the exemption becomes available to the </w:t>
      </w:r>
      <w:r w:rsidR="000F59D7">
        <w:t>CSP</w:t>
      </w:r>
      <w:r w:rsidR="004C2E2A">
        <w:t>;</w:t>
      </w:r>
    </w:p>
    <w:p w:rsidR="004C2E2A" w:rsidRDefault="0076434A" w:rsidP="004C2E2A">
      <w:pPr>
        <w:numPr>
          <w:ilvl w:val="0"/>
          <w:numId w:val="12"/>
        </w:numPr>
        <w:autoSpaceDE w:val="0"/>
        <w:autoSpaceDN w:val="0"/>
        <w:adjustRightInd w:val="0"/>
        <w:spacing w:before="80" w:after="120"/>
      </w:pPr>
      <w:r>
        <w:t xml:space="preserve">provides the </w:t>
      </w:r>
      <w:r w:rsidR="004C2E2A">
        <w:t xml:space="preserve">ACMA and </w:t>
      </w:r>
      <w:r w:rsidR="00D2654D">
        <w:t xml:space="preserve">the </w:t>
      </w:r>
      <w:r w:rsidR="004C2E2A">
        <w:t xml:space="preserve">TIO </w:t>
      </w:r>
      <w:r>
        <w:t xml:space="preserve">with </w:t>
      </w:r>
      <w:r w:rsidR="00AA77E1">
        <w:t xml:space="preserve">a copy of </w:t>
      </w:r>
      <w:r>
        <w:t xml:space="preserve">the notice and details of the telephone numbers of customers to whom the exemption relates within 8 working days </w:t>
      </w:r>
      <w:r w:rsidR="00D2654D">
        <w:t xml:space="preserve">after </w:t>
      </w:r>
      <w:r>
        <w:t xml:space="preserve">the </w:t>
      </w:r>
      <w:r w:rsidR="00D2654D">
        <w:t xml:space="preserve">first day on which the </w:t>
      </w:r>
      <w:r>
        <w:t>exemption becom</w:t>
      </w:r>
      <w:r w:rsidR="00D2654D">
        <w:t>es</w:t>
      </w:r>
      <w:r>
        <w:t xml:space="preserve"> available</w:t>
      </w:r>
      <w:r w:rsidR="000F59D7">
        <w:t xml:space="preserve"> to the CSP</w:t>
      </w:r>
      <w:r>
        <w:t xml:space="preserve">; </w:t>
      </w:r>
    </w:p>
    <w:p w:rsidR="0076434A" w:rsidRDefault="00A13A50" w:rsidP="004C2E2A">
      <w:pPr>
        <w:numPr>
          <w:ilvl w:val="0"/>
          <w:numId w:val="12"/>
        </w:numPr>
        <w:autoSpaceDE w:val="0"/>
        <w:autoSpaceDN w:val="0"/>
        <w:adjustRightInd w:val="0"/>
        <w:spacing w:before="80" w:after="120"/>
      </w:pPr>
      <w:r>
        <w:t xml:space="preserve">provides </w:t>
      </w:r>
      <w:r w:rsidR="0076434A">
        <w:t>on the internet</w:t>
      </w:r>
      <w:r>
        <w:t xml:space="preserve">, </w:t>
      </w:r>
      <w:r w:rsidR="0076434A">
        <w:t xml:space="preserve">the information that is to be published </w:t>
      </w:r>
      <w:r w:rsidR="00AA77E1">
        <w:t xml:space="preserve">in the notice </w:t>
      </w:r>
      <w:r w:rsidR="0076434A">
        <w:t xml:space="preserve">within 8 working days </w:t>
      </w:r>
      <w:r>
        <w:t xml:space="preserve">after the first day on which the </w:t>
      </w:r>
      <w:r w:rsidR="0076434A">
        <w:t>exemption becom</w:t>
      </w:r>
      <w:r>
        <w:t>es</w:t>
      </w:r>
      <w:r w:rsidR="0076434A">
        <w:t xml:space="preserve"> available</w:t>
      </w:r>
      <w:r w:rsidR="000F59D7">
        <w:t xml:space="preserve"> to the CSP</w:t>
      </w:r>
      <w:r w:rsidR="0076434A">
        <w:t>; and</w:t>
      </w:r>
    </w:p>
    <w:p w:rsidR="0076434A" w:rsidRDefault="00A13A50" w:rsidP="004C2E2A">
      <w:pPr>
        <w:numPr>
          <w:ilvl w:val="0"/>
          <w:numId w:val="12"/>
        </w:numPr>
        <w:autoSpaceDE w:val="0"/>
        <w:autoSpaceDN w:val="0"/>
        <w:adjustRightInd w:val="0"/>
        <w:spacing w:before="80" w:after="120"/>
      </w:pPr>
      <w:r>
        <w:t xml:space="preserve">provides each of its resellers </w:t>
      </w:r>
      <w:r w:rsidR="00C04B20">
        <w:t>(</w:t>
      </w:r>
      <w:r>
        <w:t>with customers likely to be affected</w:t>
      </w:r>
      <w:r w:rsidR="00C04B20">
        <w:t>)</w:t>
      </w:r>
      <w:r>
        <w:t xml:space="preserve">, a copy of the notice set out in subsection 25(1) </w:t>
      </w:r>
      <w:r w:rsidR="0076434A">
        <w:t xml:space="preserve">within 9 working days after the </w:t>
      </w:r>
      <w:r>
        <w:t xml:space="preserve">first day on which the </w:t>
      </w:r>
      <w:r w:rsidR="0076434A">
        <w:t>exemption becomes available</w:t>
      </w:r>
      <w:r w:rsidR="000F59D7">
        <w:t xml:space="preserve"> to the CSP</w:t>
      </w:r>
      <w:r>
        <w:t>.</w:t>
      </w:r>
      <w:r w:rsidR="0076434A">
        <w:t xml:space="preserve"> </w:t>
      </w:r>
    </w:p>
    <w:p w:rsidR="000931A8" w:rsidRDefault="0076434A" w:rsidP="0064344A">
      <w:pPr>
        <w:autoSpaceDE w:val="0"/>
        <w:autoSpaceDN w:val="0"/>
        <w:adjustRightInd w:val="0"/>
        <w:spacing w:before="80" w:after="120"/>
      </w:pPr>
      <w:r>
        <w:t xml:space="preserve">Subsection 24(2) provides that a reseller may comply with the general notice provisions of section 24 by publishing a notice, advising the ACMA and </w:t>
      </w:r>
      <w:r w:rsidR="00355543">
        <w:t xml:space="preserve">the </w:t>
      </w:r>
      <w:r>
        <w:t>TIO of the reliance upon the exemption and posting the notice on the internet within 2 working days of receiving the notice from its supplier.</w:t>
      </w:r>
      <w:r w:rsidR="00404265">
        <w:t xml:space="preserve"> This provision is intended to give resellers additional time to assess their potential liability and claim an exemption from the CSG performance standards in circumstances where a supplier (which supplies services to the reseller on a resale basis) has claimed an exemption. </w:t>
      </w:r>
    </w:p>
    <w:p w:rsidR="000931A8" w:rsidRDefault="0076434A" w:rsidP="0064344A">
      <w:pPr>
        <w:autoSpaceDE w:val="0"/>
        <w:autoSpaceDN w:val="0"/>
        <w:adjustRightInd w:val="0"/>
        <w:spacing w:before="80" w:after="120"/>
      </w:pPr>
      <w:r>
        <w:t xml:space="preserve">Subsection 24(3) </w:t>
      </w:r>
      <w:r w:rsidR="00DD707B">
        <w:t>requires that, where a CSP becomes aware that the information provided to the ACMA and the TIO is no longer current or is otherwise inaccurate</w:t>
      </w:r>
      <w:r w:rsidR="00392C03">
        <w:t>,</w:t>
      </w:r>
      <w:r w:rsidR="00DD707B">
        <w:t xml:space="preserve"> the CSP must provide revised information to the ACMA and the TIO, give revised information to its affected resellers and provide on the internet the information that is contained in the </w:t>
      </w:r>
      <w:r w:rsidR="00392C03">
        <w:t>revised notice</w:t>
      </w:r>
      <w:r w:rsidR="00DD707B">
        <w:t>.</w:t>
      </w:r>
    </w:p>
    <w:p w:rsidR="00AE66B3" w:rsidRDefault="00AE66B3" w:rsidP="00B348CC">
      <w:pPr>
        <w:rPr>
          <w:b/>
        </w:rPr>
      </w:pPr>
    </w:p>
    <w:p w:rsidR="00B348CC" w:rsidRPr="005C5E78" w:rsidRDefault="00B348CC" w:rsidP="00B348CC">
      <w:pPr>
        <w:rPr>
          <w:b/>
        </w:rPr>
      </w:pPr>
      <w:r w:rsidRPr="005C5E78">
        <w:rPr>
          <w:b/>
        </w:rPr>
        <w:t xml:space="preserve">Section </w:t>
      </w:r>
      <w:r>
        <w:rPr>
          <w:b/>
        </w:rPr>
        <w:t>25</w:t>
      </w:r>
      <w:r w:rsidRPr="005C5E78">
        <w:rPr>
          <w:b/>
        </w:rPr>
        <w:t xml:space="preserve"> – </w:t>
      </w:r>
      <w:r>
        <w:rPr>
          <w:b/>
        </w:rPr>
        <w:t>Public notification</w:t>
      </w:r>
    </w:p>
    <w:p w:rsidR="00956FC8" w:rsidRDefault="00956FC8" w:rsidP="00B348CC">
      <w:pPr>
        <w:autoSpaceDE w:val="0"/>
        <w:autoSpaceDN w:val="0"/>
        <w:adjustRightInd w:val="0"/>
        <w:spacing w:before="80" w:after="120"/>
      </w:pPr>
      <w:r>
        <w:t>The intention of this provision is to ensure that the notice (as set out in subsection 25(1)) is published in a newspaper easily accessible to the customer and that the notice contains sufficient information to inform the affected customer of the circumstances surrounding, and the details of, the exemption claimed.</w:t>
      </w:r>
    </w:p>
    <w:p w:rsidR="00B348CC" w:rsidRDefault="00DD707B" w:rsidP="00B348CC">
      <w:pPr>
        <w:autoSpaceDE w:val="0"/>
        <w:autoSpaceDN w:val="0"/>
        <w:adjustRightInd w:val="0"/>
        <w:spacing w:before="80" w:after="120"/>
      </w:pPr>
      <w:r>
        <w:t xml:space="preserve">Section 25 applies where a </w:t>
      </w:r>
      <w:r w:rsidR="00B348CC">
        <w:t xml:space="preserve">CSP </w:t>
      </w:r>
      <w:r>
        <w:t>is relying upon the general notice provisions set out in section 24 and is publishing a notice in a newspaper.</w:t>
      </w:r>
    </w:p>
    <w:p w:rsidR="00DD707B" w:rsidRDefault="00DD707B" w:rsidP="00B348CC">
      <w:pPr>
        <w:autoSpaceDE w:val="0"/>
        <w:autoSpaceDN w:val="0"/>
        <w:adjustRightInd w:val="0"/>
        <w:spacing w:before="80" w:after="120"/>
      </w:pPr>
      <w:r>
        <w:t xml:space="preserve">Subsection 25(1) provides that </w:t>
      </w:r>
      <w:r w:rsidR="005755CB">
        <w:t xml:space="preserve">the notice must be </w:t>
      </w:r>
      <w:r w:rsidR="005D034C">
        <w:t>publi</w:t>
      </w:r>
      <w:r w:rsidR="005755CB">
        <w:t>shed</w:t>
      </w:r>
      <w:r>
        <w:t xml:space="preserve"> in at least 1 edition of a daily newspaper circulating in the capital of a State or Territory</w:t>
      </w:r>
      <w:r w:rsidR="005755CB">
        <w:t>,</w:t>
      </w:r>
      <w:r>
        <w:t xml:space="preserve"> if a customer to whom the exemption relates resides in the capital</w:t>
      </w:r>
      <w:r w:rsidR="005755CB">
        <w:t>,</w:t>
      </w:r>
      <w:r w:rsidR="005D034C">
        <w:t xml:space="preserve"> or in a region</w:t>
      </w:r>
      <w:r w:rsidR="00344383">
        <w:t>,</w:t>
      </w:r>
      <w:r w:rsidR="005D034C">
        <w:t xml:space="preserve"> if a customer to whom the exemption applies usually resides in that region.</w:t>
      </w:r>
    </w:p>
    <w:p w:rsidR="005D034C" w:rsidRDefault="005D034C" w:rsidP="00B348CC">
      <w:pPr>
        <w:autoSpaceDE w:val="0"/>
        <w:autoSpaceDN w:val="0"/>
        <w:adjustRightInd w:val="0"/>
        <w:spacing w:before="80" w:after="120"/>
      </w:pPr>
      <w:r>
        <w:t>Subsection 25(2) provides that the notice must contain the same information provided in a notice under section 23 as well as details of the specific services and ranges of telephone numbers to which the exemption relates, the approximate number of affected services, location information and details of how a customer may contact the CSP in relation to the exemption</w:t>
      </w:r>
      <w:r w:rsidR="00262AD1">
        <w:t xml:space="preserve"> claimed</w:t>
      </w:r>
      <w:r>
        <w:t>.</w:t>
      </w:r>
    </w:p>
    <w:p w:rsidR="005D034C" w:rsidRDefault="005D034C" w:rsidP="00B348CC">
      <w:pPr>
        <w:autoSpaceDE w:val="0"/>
        <w:autoSpaceDN w:val="0"/>
        <w:adjustRightInd w:val="0"/>
        <w:spacing w:before="80" w:after="120"/>
      </w:pPr>
      <w:r>
        <w:t>Subsection 25(3) provides that each notice must be given a unique identifier and subsection 25(4) provides that a CSP must provide a customer with a copy of a notice under this section on request.</w:t>
      </w:r>
    </w:p>
    <w:p w:rsidR="00B37149" w:rsidRDefault="005D034C" w:rsidP="00B348CC">
      <w:pPr>
        <w:autoSpaceDE w:val="0"/>
        <w:autoSpaceDN w:val="0"/>
        <w:adjustRightInd w:val="0"/>
        <w:spacing w:before="80" w:after="120"/>
      </w:pPr>
      <w:r>
        <w:t xml:space="preserve">Subsection 25(5) provides that </w:t>
      </w:r>
      <w:r w:rsidR="007D500B">
        <w:t>for the purposes of a notice</w:t>
      </w:r>
      <w:r w:rsidR="00A3259F">
        <w:t>,</w:t>
      </w:r>
      <w:r w:rsidR="007D500B">
        <w:t xml:space="preserve"> </w:t>
      </w:r>
      <w:r>
        <w:t>the information relating to the evidence requirements for a</w:t>
      </w:r>
      <w:r w:rsidR="00A3259F">
        <w:t>n</w:t>
      </w:r>
      <w:r>
        <w:t xml:space="preserve"> exemption claimed </w:t>
      </w:r>
      <w:r w:rsidR="00A3259F">
        <w:t>(</w:t>
      </w:r>
      <w:r>
        <w:t>in relation to extreme weather</w:t>
      </w:r>
      <w:r w:rsidR="00A3259F">
        <w:t>)</w:t>
      </w:r>
      <w:r>
        <w:t xml:space="preserve"> </w:t>
      </w:r>
      <w:r w:rsidR="007D500B">
        <w:t>can be provided by</w:t>
      </w:r>
      <w:r w:rsidR="00A3259F">
        <w:t xml:space="preserve"> including in the notice</w:t>
      </w:r>
      <w:r w:rsidR="007D500B">
        <w:t xml:space="preserve"> details of the address of an internet website, accessible by customers of the CSP</w:t>
      </w:r>
      <w:r w:rsidR="00A3259F">
        <w:t>, which</w:t>
      </w:r>
      <w:r w:rsidR="007D500B">
        <w:t xml:space="preserve"> contains </w:t>
      </w:r>
      <w:r w:rsidR="00A3259F">
        <w:t>evidence of the relevant extreme weather events .</w:t>
      </w:r>
      <w:bookmarkStart w:id="1" w:name="_GoBack"/>
      <w:bookmarkEnd w:id="1"/>
    </w:p>
    <w:p w:rsidR="00355A65" w:rsidRDefault="00355A65" w:rsidP="00E77235">
      <w:pPr>
        <w:rPr>
          <w:b/>
        </w:rPr>
      </w:pPr>
    </w:p>
    <w:p w:rsidR="00172FAE" w:rsidRPr="005C5E78" w:rsidRDefault="00172FAE" w:rsidP="00172FAE">
      <w:pPr>
        <w:rPr>
          <w:b/>
        </w:rPr>
      </w:pPr>
      <w:r w:rsidRPr="005C5E78">
        <w:rPr>
          <w:b/>
        </w:rPr>
        <w:t xml:space="preserve">Section </w:t>
      </w:r>
      <w:r>
        <w:rPr>
          <w:b/>
        </w:rPr>
        <w:t>26</w:t>
      </w:r>
      <w:r w:rsidRPr="005C5E78">
        <w:rPr>
          <w:b/>
        </w:rPr>
        <w:t xml:space="preserve"> – </w:t>
      </w:r>
      <w:r>
        <w:rPr>
          <w:b/>
        </w:rPr>
        <w:t>Cessation of exemptions</w:t>
      </w:r>
    </w:p>
    <w:p w:rsidR="00172FAE" w:rsidRDefault="00172FAE" w:rsidP="00172FAE">
      <w:pPr>
        <w:autoSpaceDE w:val="0"/>
        <w:autoSpaceDN w:val="0"/>
        <w:adjustRightInd w:val="0"/>
        <w:spacing w:before="80" w:after="120"/>
      </w:pPr>
      <w:r>
        <w:t>Section 26 provides that, where the circumstances giving rise to the availability of an exemption cease to exist, the exemption will cease to exist.</w:t>
      </w:r>
    </w:p>
    <w:p w:rsidR="00172FAE" w:rsidRDefault="00172FAE" w:rsidP="00172FAE">
      <w:pPr>
        <w:rPr>
          <w:b/>
        </w:rPr>
      </w:pPr>
    </w:p>
    <w:p w:rsidR="00172FAE" w:rsidRPr="005C5E78" w:rsidRDefault="00172FAE" w:rsidP="00172FAE">
      <w:pPr>
        <w:rPr>
          <w:b/>
        </w:rPr>
      </w:pPr>
      <w:r w:rsidRPr="005C5E78">
        <w:rPr>
          <w:b/>
        </w:rPr>
        <w:t xml:space="preserve">Section </w:t>
      </w:r>
      <w:r>
        <w:rPr>
          <w:b/>
        </w:rPr>
        <w:t>27</w:t>
      </w:r>
      <w:r w:rsidRPr="005C5E78">
        <w:rPr>
          <w:b/>
        </w:rPr>
        <w:t xml:space="preserve"> – </w:t>
      </w:r>
      <w:r>
        <w:rPr>
          <w:b/>
        </w:rPr>
        <w:t>Review of circumstances of certain exemptions</w:t>
      </w:r>
    </w:p>
    <w:p w:rsidR="00172FAE" w:rsidRDefault="00172FAE" w:rsidP="00172FAE">
      <w:pPr>
        <w:autoSpaceDE w:val="0"/>
        <w:autoSpaceDN w:val="0"/>
        <w:adjustRightInd w:val="0"/>
        <w:spacing w:before="80" w:after="120"/>
      </w:pPr>
      <w:r>
        <w:t>Section 27 provides that, where a CSP is relying upon an exemption due to circumstances beyond the CSPs control (as provided for in section 21), the CSP must review the grounds for the exemption as regularly as practicable, to ensure that the estimated duration of the exemption is no longer than is necessary.</w:t>
      </w:r>
    </w:p>
    <w:p w:rsidR="000856BE" w:rsidRDefault="000856BE" w:rsidP="00172FAE">
      <w:pPr>
        <w:rPr>
          <w:b/>
        </w:rPr>
      </w:pPr>
    </w:p>
    <w:p w:rsidR="00172FAE" w:rsidRPr="005C5E78" w:rsidRDefault="00172FAE" w:rsidP="00172FAE">
      <w:pPr>
        <w:rPr>
          <w:b/>
        </w:rPr>
      </w:pPr>
      <w:r w:rsidRPr="005C5E78">
        <w:rPr>
          <w:b/>
        </w:rPr>
        <w:t xml:space="preserve">Section </w:t>
      </w:r>
      <w:r>
        <w:rPr>
          <w:b/>
        </w:rPr>
        <w:t>28</w:t>
      </w:r>
      <w:r w:rsidRPr="005C5E78">
        <w:rPr>
          <w:b/>
        </w:rPr>
        <w:t xml:space="preserve"> – </w:t>
      </w:r>
      <w:r>
        <w:rPr>
          <w:b/>
        </w:rPr>
        <w:t>Temporary exemptions</w:t>
      </w:r>
    </w:p>
    <w:p w:rsidR="00172FAE" w:rsidRDefault="00172FAE" w:rsidP="00172FAE"/>
    <w:p w:rsidR="00172FAE" w:rsidRDefault="00172FAE" w:rsidP="00172FAE">
      <w:r>
        <w:t>Section 28 provides for certain CSPs to apply for</w:t>
      </w:r>
      <w:r w:rsidR="00321128">
        <w:t>,</w:t>
      </w:r>
      <w:r>
        <w:t xml:space="preserve"> and for the ACMA to grant</w:t>
      </w:r>
      <w:r w:rsidR="00321128">
        <w:t>,</w:t>
      </w:r>
      <w:r>
        <w:t xml:space="preserve"> temporary exemptions fr</w:t>
      </w:r>
      <w:r w:rsidR="00321128">
        <w:t>om compliance with</w:t>
      </w:r>
      <w:r>
        <w:t xml:space="preserve"> the CSG Standard. The intent of this section is to mitigate the possible negative impacts, for both industry members and consumers, of a general application of the performance standards preventing new CSPs entering the market for CSG services. </w:t>
      </w:r>
    </w:p>
    <w:p w:rsidR="00172FAE" w:rsidRDefault="00172FAE" w:rsidP="00172FAE"/>
    <w:p w:rsidR="00172FAE" w:rsidRDefault="00172FAE" w:rsidP="00172FAE">
      <w:r>
        <w:t>Subsection 28(2) sets out that an application by a CSP for a temporary exemption must be in writing and must include: details of the geographic area for which the exemption is sought; the period for which the exemption is sought; details of the number of current CSG services of the CSP in the relevant geographic area and the number of services the CSP estimates it will provide for the period of the exemption; and any other information that the ACMA requests to determine the application.</w:t>
      </w:r>
    </w:p>
    <w:p w:rsidR="00172FAE" w:rsidRDefault="00172FAE" w:rsidP="00172FAE"/>
    <w:p w:rsidR="00172FAE" w:rsidRDefault="00172FAE" w:rsidP="00172FAE">
      <w:r>
        <w:t>Subsection 28(3) provides that the ACMA may only grant a temporary exemption from the CSG Standard where it is satisfied that: the CSP is not the primary universal service provider; that the CSP only has a small share of the market in the geographic area for which the exemption is sought; and the proposed exemption is likely to result in a net benefit to the end-users in the geographic area for wh</w:t>
      </w:r>
      <w:r w:rsidR="00371522">
        <w:t>i</w:t>
      </w:r>
      <w:r>
        <w:t>ch the exemption is sought.</w:t>
      </w:r>
    </w:p>
    <w:p w:rsidR="00172FAE" w:rsidRDefault="00172FAE" w:rsidP="00172FAE"/>
    <w:p w:rsidR="00172FAE" w:rsidRDefault="00172FAE" w:rsidP="00172FAE">
      <w:r>
        <w:t xml:space="preserve">Subsection 28(4) sets out the matters that the ACMA must consider in determining whether there is a net benefit to end-users to be derived from the proposed exemption. These matters include: the extent to which the proposed exemption would lower the cost of entering or competing in the market in the geographic area; the extent to which the exemption would be likely to promote competition for CSG services; the extent to which the exemption would be likely to result in service improvements for end users; as well as consideration of issues around the number of services and proportion of the CSG market in the geographic area </w:t>
      </w:r>
      <w:r w:rsidR="003104DD">
        <w:t xml:space="preserve">and nationally </w:t>
      </w:r>
      <w:r>
        <w:t>that would be affected by the exemption</w:t>
      </w:r>
      <w:r w:rsidR="003104DD">
        <w:t>; and the proposed exemption period</w:t>
      </w:r>
      <w:r>
        <w:t>.</w:t>
      </w:r>
    </w:p>
    <w:p w:rsidR="00172FAE" w:rsidRDefault="00172FAE" w:rsidP="00172FAE"/>
    <w:p w:rsidR="00172FAE" w:rsidRDefault="00172FAE" w:rsidP="00172FAE">
      <w:r>
        <w:t>Subsection 28(5) sets out  that a temporary exemption must be in writing, must describe the geographic area for which it is granted and the period for which it is granted (no longer than 5 years) and the conditions to which the temporary exemption is subject.</w:t>
      </w:r>
    </w:p>
    <w:p w:rsidR="00172FAE" w:rsidRDefault="00172FAE" w:rsidP="00172FAE"/>
    <w:p w:rsidR="00172FAE" w:rsidRDefault="00172FAE" w:rsidP="00172FAE">
      <w:r>
        <w:t xml:space="preserve">Subsection 28(6) provides that the </w:t>
      </w:r>
      <w:r w:rsidR="00646A03">
        <w:t xml:space="preserve">period for which the </w:t>
      </w:r>
      <w:r>
        <w:t xml:space="preserve">exemption </w:t>
      </w:r>
      <w:r w:rsidR="00646A03">
        <w:t xml:space="preserve">is </w:t>
      </w:r>
      <w:r>
        <w:t>granted by the ACMA may differ from that specified in the application.</w:t>
      </w:r>
    </w:p>
    <w:p w:rsidR="00172FAE" w:rsidRDefault="00172FAE" w:rsidP="00172FAE"/>
    <w:p w:rsidR="00172FAE" w:rsidRDefault="00172FAE" w:rsidP="00172FAE">
      <w:r>
        <w:t>Subsection 28(7) provides that a temporary exemption takes effect on the later date of either the time of the grant or a date specified in the grant and does not affect rights, obligations and liabilities that arose before the exemption took effect.</w:t>
      </w:r>
    </w:p>
    <w:p w:rsidR="00172FAE" w:rsidRDefault="00172FAE" w:rsidP="00172FAE"/>
    <w:p w:rsidR="00172FAE" w:rsidRDefault="00172FAE" w:rsidP="00172FAE">
      <w:r>
        <w:t>Subsection 28(8)</w:t>
      </w:r>
      <w:r w:rsidR="00473C8E">
        <w:t xml:space="preserve"> </w:t>
      </w:r>
      <w:r>
        <w:t xml:space="preserve">provides that a CSP that has been granted a temporary exemption must notify the customers to whom it supplies a CSG service with details of the exemption including the rights and protections foregone by the customer as a result of entering into a contract with the supplier, the period of the exemption and how the customer can get more details </w:t>
      </w:r>
      <w:r w:rsidR="002D0B9A">
        <w:t>about</w:t>
      </w:r>
      <w:r>
        <w:t xml:space="preserve"> the exemption.</w:t>
      </w:r>
    </w:p>
    <w:p w:rsidR="00172FAE" w:rsidRDefault="00172FAE" w:rsidP="00172FAE"/>
    <w:p w:rsidR="00172FAE" w:rsidRDefault="00172FAE" w:rsidP="00172FAE">
      <w:r>
        <w:t xml:space="preserve">Subsection 28(9) sets out how the information referred to in subsection </w:t>
      </w:r>
      <w:r w:rsidR="003104DD">
        <w:t>28(</w:t>
      </w:r>
      <w:r>
        <w:t>8</w:t>
      </w:r>
      <w:r w:rsidR="003104DD">
        <w:t>)</w:t>
      </w:r>
      <w:r>
        <w:t xml:space="preserve"> must be provided.</w:t>
      </w:r>
    </w:p>
    <w:p w:rsidR="00172FAE" w:rsidRDefault="00172FAE" w:rsidP="00172FAE"/>
    <w:p w:rsidR="00172FAE" w:rsidRDefault="00172FAE" w:rsidP="00172FAE">
      <w:r>
        <w:t>Subsection 28(10) provides that the ACMA m</w:t>
      </w:r>
      <w:r w:rsidR="000E70BB">
        <w:t>a</w:t>
      </w:r>
      <w:r>
        <w:t>y renew a temporary exemption upon application from the CSP for a further period of 5 years.</w:t>
      </w:r>
    </w:p>
    <w:p w:rsidR="00172FAE" w:rsidRDefault="00172FAE" w:rsidP="00172FAE"/>
    <w:p w:rsidR="00172FAE" w:rsidRDefault="00172FAE" w:rsidP="00172FAE">
      <w:r>
        <w:t>Subsection 28(11) provides that, in considering an application for an extension of a temporary exemption, the ACMA must take into account the same factors as it did in its consideration of the grant of the original temporary exemption.</w:t>
      </w:r>
    </w:p>
    <w:p w:rsidR="00172FAE" w:rsidRDefault="00172FAE" w:rsidP="00172FAE">
      <w:pPr>
        <w:rPr>
          <w:b/>
        </w:rPr>
      </w:pPr>
    </w:p>
    <w:p w:rsidR="00172FAE" w:rsidRPr="00D85D24" w:rsidRDefault="00172FAE" w:rsidP="00172FAE">
      <w:pPr>
        <w:rPr>
          <w:b/>
        </w:rPr>
      </w:pPr>
      <w:r w:rsidRPr="00D85D24">
        <w:rPr>
          <w:b/>
        </w:rPr>
        <w:t>Part 4 – Damages</w:t>
      </w:r>
    </w:p>
    <w:p w:rsidR="00172FAE" w:rsidRDefault="00172FAE" w:rsidP="00172FAE">
      <w:pPr>
        <w:rPr>
          <w:b/>
        </w:rPr>
      </w:pPr>
    </w:p>
    <w:p w:rsidR="00172FAE" w:rsidRPr="00D85D24" w:rsidRDefault="00172FAE" w:rsidP="00172FAE">
      <w:pPr>
        <w:rPr>
          <w:b/>
        </w:rPr>
      </w:pPr>
      <w:r w:rsidRPr="00D85D24">
        <w:rPr>
          <w:b/>
        </w:rPr>
        <w:t>Section 2</w:t>
      </w:r>
      <w:r>
        <w:rPr>
          <w:b/>
        </w:rPr>
        <w:t>9</w:t>
      </w:r>
      <w:r w:rsidRPr="00D85D24">
        <w:rPr>
          <w:b/>
        </w:rPr>
        <w:t xml:space="preserve"> – Categories </w:t>
      </w:r>
      <w:r>
        <w:rPr>
          <w:b/>
        </w:rPr>
        <w:t>of</w:t>
      </w:r>
      <w:r w:rsidRPr="00D85D24">
        <w:rPr>
          <w:b/>
        </w:rPr>
        <w:t xml:space="preserve"> contraventions and damages</w:t>
      </w:r>
    </w:p>
    <w:p w:rsidR="00172FAE" w:rsidRDefault="00172FAE" w:rsidP="00172FAE"/>
    <w:p w:rsidR="00172FAE" w:rsidRDefault="00172FAE" w:rsidP="00172FAE">
      <w:r>
        <w:t>Section 29 is made under section 117 of the Act, which provides that the ACMA may specify a scale of damages for contravention of service standards under section 115 of the Act,  and provides that the categories for contraventions and corresponding damages payable are set out in Part 2 of Schedule 2 of the CSG Standard.</w:t>
      </w:r>
    </w:p>
    <w:p w:rsidR="00172FAE" w:rsidRDefault="00172FAE" w:rsidP="00172FAE"/>
    <w:p w:rsidR="00172FAE" w:rsidRPr="00D85D24" w:rsidRDefault="00172FAE" w:rsidP="00172FAE">
      <w:pPr>
        <w:rPr>
          <w:b/>
        </w:rPr>
      </w:pPr>
      <w:r w:rsidRPr="00D85D24">
        <w:rPr>
          <w:b/>
        </w:rPr>
        <w:t>Part 5 – Waiver of protection and rights by customers</w:t>
      </w:r>
    </w:p>
    <w:p w:rsidR="00172FAE" w:rsidRDefault="00172FAE" w:rsidP="00172FAE">
      <w:pPr>
        <w:rPr>
          <w:b/>
        </w:rPr>
      </w:pPr>
    </w:p>
    <w:p w:rsidR="00172FAE" w:rsidRPr="00D85D24" w:rsidRDefault="00172FAE" w:rsidP="00172FAE">
      <w:pPr>
        <w:rPr>
          <w:b/>
        </w:rPr>
      </w:pPr>
      <w:r w:rsidRPr="00D85D24">
        <w:rPr>
          <w:b/>
        </w:rPr>
        <w:t xml:space="preserve">Section </w:t>
      </w:r>
      <w:r>
        <w:rPr>
          <w:b/>
        </w:rPr>
        <w:t>30</w:t>
      </w:r>
      <w:r w:rsidRPr="00D85D24">
        <w:rPr>
          <w:b/>
        </w:rPr>
        <w:t xml:space="preserve"> – Waivers in writing</w:t>
      </w:r>
    </w:p>
    <w:p w:rsidR="003104DD" w:rsidRDefault="00172FAE" w:rsidP="00172FAE">
      <w:pPr>
        <w:autoSpaceDE w:val="0"/>
        <w:autoSpaceDN w:val="0"/>
        <w:adjustRightInd w:val="0"/>
        <w:spacing w:before="80" w:after="120"/>
      </w:pPr>
      <w:r>
        <w:t xml:space="preserve">Section 30 is made under section 120 of the Act, which provides that the ACMA may make provisions for customers of CSPs to waive their protection and rights under Part 5 of the Act in relation to specified services supplied or offered to be supplied by the CSP. </w:t>
      </w:r>
    </w:p>
    <w:p w:rsidR="00172FAE" w:rsidRDefault="00172FAE" w:rsidP="00172FAE">
      <w:pPr>
        <w:autoSpaceDE w:val="0"/>
        <w:autoSpaceDN w:val="0"/>
        <w:adjustRightInd w:val="0"/>
        <w:spacing w:before="80" w:after="120"/>
      </w:pPr>
      <w:r>
        <w:t xml:space="preserve">It is a requirement under </w:t>
      </w:r>
      <w:r w:rsidR="003104DD">
        <w:t>sub</w:t>
      </w:r>
      <w:r>
        <w:t>section</w:t>
      </w:r>
      <w:r w:rsidR="003104DD">
        <w:t xml:space="preserve"> 30(1)</w:t>
      </w:r>
      <w:r>
        <w:t xml:space="preserve"> that confirmation of the waiver is in writing and is signed and dated by the customer.</w:t>
      </w:r>
    </w:p>
    <w:p w:rsidR="00172FAE" w:rsidRDefault="00172FAE" w:rsidP="00172FAE">
      <w:pPr>
        <w:autoSpaceDE w:val="0"/>
        <w:autoSpaceDN w:val="0"/>
        <w:adjustRightInd w:val="0"/>
        <w:spacing w:before="80" w:after="120"/>
      </w:pPr>
      <w:r>
        <w:t>S</w:t>
      </w:r>
      <w:r w:rsidR="005F5A43">
        <w:t>ubs</w:t>
      </w:r>
      <w:r>
        <w:t>ection 30</w:t>
      </w:r>
      <w:r w:rsidR="005F5A43">
        <w:t>(2)</w:t>
      </w:r>
      <w:r>
        <w:t xml:space="preserve"> provides that where a waiver is in writing (including where it is given electronically), the document must clearly identify the customer, the CSP and the service to which the waiver applies.</w:t>
      </w:r>
    </w:p>
    <w:p w:rsidR="00172FAE" w:rsidRDefault="00172FAE" w:rsidP="00172FAE">
      <w:pPr>
        <w:rPr>
          <w:b/>
        </w:rPr>
      </w:pPr>
    </w:p>
    <w:p w:rsidR="00172FAE" w:rsidRPr="00D85D24" w:rsidRDefault="00172FAE" w:rsidP="00172FAE">
      <w:pPr>
        <w:rPr>
          <w:b/>
        </w:rPr>
      </w:pPr>
      <w:r w:rsidRPr="00D85D24">
        <w:rPr>
          <w:b/>
        </w:rPr>
        <w:t xml:space="preserve">Section </w:t>
      </w:r>
      <w:r>
        <w:rPr>
          <w:b/>
        </w:rPr>
        <w:t>31</w:t>
      </w:r>
      <w:r w:rsidRPr="00D85D24">
        <w:rPr>
          <w:b/>
        </w:rPr>
        <w:t xml:space="preserve"> – Other waivers</w:t>
      </w:r>
    </w:p>
    <w:p w:rsidR="005F5A43" w:rsidRDefault="00172FAE" w:rsidP="00172FAE">
      <w:pPr>
        <w:autoSpaceDE w:val="0"/>
        <w:autoSpaceDN w:val="0"/>
        <w:adjustRightInd w:val="0"/>
        <w:spacing w:before="80" w:after="120"/>
      </w:pPr>
      <w:r>
        <w:t xml:space="preserve">Section 31 provides for a CSP to </w:t>
      </w:r>
      <w:r w:rsidR="006B06CD">
        <w:t xml:space="preserve">propose </w:t>
      </w:r>
      <w:r>
        <w:t>to customers that they waive their rights and protection under Part 5 of the Act, other than by a written signed waiver (for example, over the telephone).</w:t>
      </w:r>
    </w:p>
    <w:p w:rsidR="00172FAE" w:rsidRDefault="00172FAE" w:rsidP="00172FAE">
      <w:pPr>
        <w:autoSpaceDE w:val="0"/>
        <w:autoSpaceDN w:val="0"/>
        <w:adjustRightInd w:val="0"/>
        <w:spacing w:before="80" w:after="120"/>
      </w:pPr>
      <w:r>
        <w:t xml:space="preserve">Subsection 31(2) requires a waiver proposal by a CSP to state </w:t>
      </w:r>
      <w:r w:rsidR="005F5A43">
        <w:t>the</w:t>
      </w:r>
      <w:r>
        <w:t xml:space="preserve"> protection and rights of the customer that would and would not be foregone as a result of accepting the proposal. Paragraph </w:t>
      </w:r>
      <w:r w:rsidR="00863E9A">
        <w:t>31</w:t>
      </w:r>
      <w:r w:rsidRPr="00AF651C">
        <w:t>(2)(c)</w:t>
      </w:r>
      <w:r>
        <w:t xml:space="preserve"> requires that a proposal </w:t>
      </w:r>
      <w:r w:rsidR="0034041E">
        <w:t>under section</w:t>
      </w:r>
      <w:r>
        <w:t xml:space="preserve"> 30 provides that the customer obtain a significant service benefit (such as a substantially cheaper price) as a result of accepting the proposal. This provision is designed to ensure customers are provided with sufficient information to make a decision about a waiver proposal.</w:t>
      </w:r>
    </w:p>
    <w:p w:rsidR="00172FAE" w:rsidRDefault="00172FAE" w:rsidP="00172FAE">
      <w:pPr>
        <w:autoSpaceDE w:val="0"/>
        <w:autoSpaceDN w:val="0"/>
        <w:adjustRightInd w:val="0"/>
        <w:spacing w:before="80" w:after="120"/>
      </w:pPr>
      <w:r>
        <w:t>Subsection 31(3) requires a CSP to provide written information about the waiver, containing the information set out in subsection 31(2), to the customer as soon as practicable after the customer accepts the waiver proposal. The purpose of this information is also to confirm the details of the offer agreed to by the customer.</w:t>
      </w:r>
    </w:p>
    <w:p w:rsidR="00172FAE" w:rsidRDefault="00172FAE" w:rsidP="00172FAE">
      <w:pPr>
        <w:autoSpaceDE w:val="0"/>
        <w:autoSpaceDN w:val="0"/>
        <w:adjustRightInd w:val="0"/>
        <w:spacing w:before="80" w:after="120"/>
      </w:pPr>
      <w:r>
        <w:t>Subsection 31(4) provides that the waiver takes effect 7 days after the CSP provides the customer with the written statement of the proposal unless the acceptance of the waiver proposal is withdrawn prior to that time.</w:t>
      </w:r>
    </w:p>
    <w:p w:rsidR="00172FAE" w:rsidRDefault="002D34B6" w:rsidP="00172FAE">
      <w:pPr>
        <w:autoSpaceDE w:val="0"/>
        <w:autoSpaceDN w:val="0"/>
        <w:adjustRightInd w:val="0"/>
        <w:spacing w:before="80" w:after="120"/>
      </w:pPr>
      <w:r>
        <w:t>Subsection 31</w:t>
      </w:r>
      <w:r w:rsidR="00172FAE">
        <w:t>(5) requires CSPs to keep a record of a waiver by a customer for not less than two years.</w:t>
      </w:r>
    </w:p>
    <w:p w:rsidR="00100278" w:rsidRDefault="00100278" w:rsidP="00172FAE">
      <w:pPr>
        <w:rPr>
          <w:b/>
          <w:highlight w:val="yellow"/>
        </w:rPr>
      </w:pPr>
    </w:p>
    <w:p w:rsidR="00800AA6" w:rsidRDefault="00800AA6" w:rsidP="00800AA6">
      <w:pPr>
        <w:rPr>
          <w:b/>
          <w:i/>
        </w:rPr>
      </w:pPr>
      <w:r w:rsidRPr="00A768B6">
        <w:rPr>
          <w:b/>
        </w:rPr>
        <w:t xml:space="preserve">Part 6 – Transitional arrangements </w:t>
      </w:r>
    </w:p>
    <w:p w:rsidR="00800AA6" w:rsidRDefault="00800AA6" w:rsidP="00800AA6">
      <w:pPr>
        <w:rPr>
          <w:b/>
          <w:highlight w:val="yellow"/>
        </w:rPr>
      </w:pPr>
    </w:p>
    <w:p w:rsidR="00800AA6" w:rsidRPr="00A768B6" w:rsidRDefault="00800AA6" w:rsidP="00800AA6">
      <w:pPr>
        <w:rPr>
          <w:b/>
        </w:rPr>
      </w:pPr>
      <w:r w:rsidRPr="00A768B6">
        <w:rPr>
          <w:b/>
        </w:rPr>
        <w:t>Section 3</w:t>
      </w:r>
      <w:r>
        <w:rPr>
          <w:b/>
        </w:rPr>
        <w:t>2</w:t>
      </w:r>
      <w:r w:rsidRPr="00A768B6">
        <w:rPr>
          <w:b/>
        </w:rPr>
        <w:t xml:space="preserve"> – Definitions for Part 6</w:t>
      </w:r>
    </w:p>
    <w:p w:rsidR="00800AA6" w:rsidRDefault="00800AA6" w:rsidP="00800AA6">
      <w:pPr>
        <w:rPr>
          <w:b/>
          <w:highlight w:val="yellow"/>
        </w:rPr>
      </w:pPr>
    </w:p>
    <w:p w:rsidR="00800AA6" w:rsidRPr="000A563F" w:rsidRDefault="00800AA6" w:rsidP="00800AA6">
      <w:pPr>
        <w:rPr>
          <w:i/>
        </w:rPr>
      </w:pPr>
      <w:r w:rsidRPr="000A563F">
        <w:t xml:space="preserve">Section 32 includes definitions (for the transitional provisions) for the transition to the </w:t>
      </w:r>
      <w:r w:rsidRPr="000A563F">
        <w:rPr>
          <w:i/>
        </w:rPr>
        <w:t>Telecommunications (Customer Service Guarantee) Standard 2011</w:t>
      </w:r>
      <w:r w:rsidRPr="000A563F">
        <w:t>.</w:t>
      </w:r>
    </w:p>
    <w:p w:rsidR="00800AA6" w:rsidRPr="000A563F" w:rsidRDefault="00800AA6" w:rsidP="00800AA6">
      <w:pPr>
        <w:rPr>
          <w:b/>
        </w:rPr>
      </w:pPr>
    </w:p>
    <w:p w:rsidR="00800AA6" w:rsidRPr="000A563F" w:rsidRDefault="00800AA6" w:rsidP="00800AA6">
      <w:pPr>
        <w:rPr>
          <w:b/>
        </w:rPr>
      </w:pPr>
      <w:r w:rsidRPr="000A563F">
        <w:rPr>
          <w:b/>
        </w:rPr>
        <w:t xml:space="preserve">Section 33 – Exemptions relied upon under </w:t>
      </w:r>
      <w:r w:rsidR="00725EAC" w:rsidRPr="000A563F">
        <w:rPr>
          <w:b/>
        </w:rPr>
        <w:t>pre-31 October 2006</w:t>
      </w:r>
      <w:r w:rsidRPr="000A563F">
        <w:rPr>
          <w:b/>
        </w:rPr>
        <w:t xml:space="preserve"> Standard</w:t>
      </w:r>
    </w:p>
    <w:p w:rsidR="00800AA6" w:rsidRPr="000A563F" w:rsidRDefault="00800AA6" w:rsidP="00800AA6">
      <w:pPr>
        <w:rPr>
          <w:b/>
        </w:rPr>
      </w:pPr>
    </w:p>
    <w:p w:rsidR="00800AA6" w:rsidRDefault="001E2829" w:rsidP="00800AA6">
      <w:r>
        <w:t xml:space="preserve">Section 33 </w:t>
      </w:r>
      <w:r w:rsidR="00C6516F">
        <w:t>provides</w:t>
      </w:r>
      <w:r>
        <w:t xml:space="preserve"> that the transitional arrangements that were in force under the former Standard continue to apply.</w:t>
      </w:r>
    </w:p>
    <w:p w:rsidR="0090376C" w:rsidRDefault="0090376C" w:rsidP="00800AA6"/>
    <w:p w:rsidR="0090376C" w:rsidRPr="0090376C" w:rsidRDefault="00867C06" w:rsidP="00800AA6">
      <w:pPr>
        <w:rPr>
          <w:b/>
        </w:rPr>
      </w:pPr>
      <w:r w:rsidRPr="00867C06">
        <w:rPr>
          <w:b/>
        </w:rPr>
        <w:t>Section 34 – Exemptions relied upon under former Standard</w:t>
      </w:r>
    </w:p>
    <w:p w:rsidR="0090376C" w:rsidRDefault="0090376C" w:rsidP="00800AA6"/>
    <w:p w:rsidR="0090376C" w:rsidRDefault="0090376C" w:rsidP="00800AA6">
      <w:r>
        <w:t xml:space="preserve">Section 34 </w:t>
      </w:r>
      <w:r w:rsidR="00C6516F">
        <w:t>provides</w:t>
      </w:r>
      <w:r w:rsidR="008944F7">
        <w:t xml:space="preserve"> that where an exemption was available under the former Standard, it will continue to be available under the new Standard</w:t>
      </w:r>
      <w:r w:rsidR="00B66457">
        <w:t>.</w:t>
      </w:r>
    </w:p>
    <w:p w:rsidR="0090376C" w:rsidRDefault="0090376C" w:rsidP="00800AA6"/>
    <w:p w:rsidR="0090376C" w:rsidRPr="0090376C" w:rsidRDefault="00867C06" w:rsidP="00800AA6">
      <w:pPr>
        <w:rPr>
          <w:b/>
        </w:rPr>
      </w:pPr>
      <w:r w:rsidRPr="00867C06">
        <w:rPr>
          <w:b/>
        </w:rPr>
        <w:t>Section 35 – General notice of exemptions under former Standard</w:t>
      </w:r>
    </w:p>
    <w:p w:rsidR="0090376C" w:rsidRPr="000A563F" w:rsidRDefault="0090376C" w:rsidP="00800AA6"/>
    <w:p w:rsidR="00637CC6" w:rsidRDefault="00637CC6" w:rsidP="00800AA6">
      <w:r>
        <w:t xml:space="preserve">Section 35 </w:t>
      </w:r>
      <w:r w:rsidR="00C6516F">
        <w:t>provides</w:t>
      </w:r>
      <w:r>
        <w:t xml:space="preserve"> that information given under section 24 of the former Standard will be taken to have been given under section 24 of the new Standard.</w:t>
      </w:r>
    </w:p>
    <w:p w:rsidR="009F6685" w:rsidRPr="000A563F" w:rsidRDefault="009F6685" w:rsidP="00800AA6">
      <w:pPr>
        <w:rPr>
          <w:b/>
        </w:rPr>
      </w:pPr>
    </w:p>
    <w:p w:rsidR="00800AA6" w:rsidRDefault="00800AA6" w:rsidP="00800AA6">
      <w:pPr>
        <w:rPr>
          <w:b/>
        </w:rPr>
      </w:pPr>
      <w:r w:rsidRPr="000A563F">
        <w:rPr>
          <w:b/>
        </w:rPr>
        <w:t>Section 3</w:t>
      </w:r>
      <w:r w:rsidR="0090376C">
        <w:rPr>
          <w:b/>
        </w:rPr>
        <w:t>6</w:t>
      </w:r>
      <w:r w:rsidRPr="000A563F">
        <w:rPr>
          <w:b/>
        </w:rPr>
        <w:t xml:space="preserve"> – Contraventions and damages</w:t>
      </w:r>
      <w:r w:rsidR="0090376C">
        <w:rPr>
          <w:b/>
        </w:rPr>
        <w:t xml:space="preserve"> payable under pre-31 October 2006 Standard</w:t>
      </w:r>
    </w:p>
    <w:p w:rsidR="00D971BE" w:rsidRPr="000A563F" w:rsidRDefault="00D971BE" w:rsidP="00800AA6">
      <w:pPr>
        <w:rPr>
          <w:b/>
        </w:rPr>
      </w:pPr>
    </w:p>
    <w:p w:rsidR="00C6516F" w:rsidRDefault="007D5A17" w:rsidP="00C6516F">
      <w:pPr>
        <w:autoSpaceDE w:val="0"/>
        <w:autoSpaceDN w:val="0"/>
        <w:adjustRightInd w:val="0"/>
      </w:pPr>
      <w:r>
        <w:t xml:space="preserve">Section 36 </w:t>
      </w:r>
      <w:r w:rsidR="00C6516F">
        <w:t>provides</w:t>
      </w:r>
      <w:r>
        <w:t xml:space="preserve"> that the transitional arrangements that were in force under the former Standard continue to apply.</w:t>
      </w:r>
    </w:p>
    <w:p w:rsidR="00D971BE" w:rsidRDefault="00D971BE" w:rsidP="00C6516F">
      <w:pPr>
        <w:autoSpaceDE w:val="0"/>
        <w:autoSpaceDN w:val="0"/>
        <w:adjustRightInd w:val="0"/>
      </w:pPr>
    </w:p>
    <w:p w:rsidR="0090376C" w:rsidRDefault="00867C06" w:rsidP="00D971BE">
      <w:pPr>
        <w:autoSpaceDE w:val="0"/>
        <w:autoSpaceDN w:val="0"/>
        <w:adjustRightInd w:val="0"/>
        <w:rPr>
          <w:b/>
        </w:rPr>
      </w:pPr>
      <w:r w:rsidRPr="00867C06">
        <w:rPr>
          <w:b/>
        </w:rPr>
        <w:t>Section 37 – Contraventions and damage</w:t>
      </w:r>
      <w:r w:rsidR="00D971BE">
        <w:rPr>
          <w:b/>
        </w:rPr>
        <w:t>s payable under former Standard</w:t>
      </w:r>
    </w:p>
    <w:p w:rsidR="00D971BE" w:rsidRPr="0090376C" w:rsidRDefault="00D971BE" w:rsidP="00D971BE">
      <w:pPr>
        <w:autoSpaceDE w:val="0"/>
        <w:autoSpaceDN w:val="0"/>
        <w:adjustRightInd w:val="0"/>
        <w:rPr>
          <w:b/>
        </w:rPr>
      </w:pPr>
    </w:p>
    <w:p w:rsidR="00913EDD" w:rsidRDefault="00913EDD">
      <w:r>
        <w:t xml:space="preserve">Section 37 </w:t>
      </w:r>
      <w:r w:rsidR="00C6516F">
        <w:t>provides</w:t>
      </w:r>
      <w:r>
        <w:t xml:space="preserve"> that where damages were available in respect of a contravention of the former Standard, the former Standard continues to apply so that damages will continue to be available, and will be calculated in accordance with the former Standard.</w:t>
      </w:r>
    </w:p>
    <w:p w:rsidR="00800AA6" w:rsidRDefault="00800AA6" w:rsidP="00800AA6">
      <w:pPr>
        <w:rPr>
          <w:b/>
        </w:rPr>
      </w:pPr>
    </w:p>
    <w:p w:rsidR="00800AA6" w:rsidRPr="00D85D24" w:rsidRDefault="00D971BE" w:rsidP="00800AA6">
      <w:pPr>
        <w:rPr>
          <w:b/>
        </w:rPr>
      </w:pPr>
      <w:r>
        <w:rPr>
          <w:b/>
        </w:rPr>
        <w:br w:type="page"/>
      </w:r>
      <w:r w:rsidR="00800AA6" w:rsidRPr="00D85D24">
        <w:rPr>
          <w:b/>
        </w:rPr>
        <w:t>Schedule 1 – Guaranteed maximum connection periods – sites in close proximity to external plant facilities</w:t>
      </w:r>
    </w:p>
    <w:p w:rsidR="00800AA6" w:rsidRDefault="00800AA6" w:rsidP="00800AA6">
      <w:pPr>
        <w:rPr>
          <w:b/>
        </w:rPr>
      </w:pPr>
    </w:p>
    <w:p w:rsidR="00800AA6" w:rsidRDefault="00800AA6" w:rsidP="00800AA6">
      <w:pPr>
        <w:rPr>
          <w:b/>
        </w:rPr>
      </w:pPr>
      <w:r>
        <w:rPr>
          <w:b/>
        </w:rPr>
        <w:t>Part 1 – Interpretation</w:t>
      </w:r>
    </w:p>
    <w:p w:rsidR="00800AA6" w:rsidRDefault="00800AA6" w:rsidP="00800AA6">
      <w:pPr>
        <w:rPr>
          <w:b/>
        </w:rPr>
      </w:pPr>
    </w:p>
    <w:p w:rsidR="00800AA6" w:rsidRPr="00D85D24" w:rsidRDefault="00800AA6" w:rsidP="00800AA6">
      <w:pPr>
        <w:rPr>
          <w:b/>
        </w:rPr>
      </w:pPr>
      <w:r w:rsidRPr="00D85D24">
        <w:rPr>
          <w:b/>
        </w:rPr>
        <w:t>Item 101 – References to in-place connections</w:t>
      </w:r>
    </w:p>
    <w:p w:rsidR="00800AA6" w:rsidRDefault="00800AA6" w:rsidP="00800AA6">
      <w:pPr>
        <w:autoSpaceDE w:val="0"/>
        <w:autoSpaceDN w:val="0"/>
        <w:adjustRightInd w:val="0"/>
        <w:spacing w:before="80" w:after="120"/>
      </w:pPr>
      <w:r>
        <w:t xml:space="preserve">Item 101 explains the meaning of an ‘in-place’ connection as referred to in Part 2 </w:t>
      </w:r>
      <w:r w:rsidR="005F5A43">
        <w:t xml:space="preserve">of Schedule 1 </w:t>
      </w:r>
      <w:r>
        <w:t xml:space="preserve">as the connection of a specified service at a site where a previous working CSG service has been cancelled and is available for automatic reconnection or reactivation by a CSP.  </w:t>
      </w:r>
    </w:p>
    <w:p w:rsidR="00800AA6" w:rsidRDefault="00800AA6" w:rsidP="00800AA6">
      <w:pPr>
        <w:rPr>
          <w:b/>
        </w:rPr>
      </w:pPr>
    </w:p>
    <w:p w:rsidR="00800AA6" w:rsidRPr="00D85D24" w:rsidRDefault="00800AA6" w:rsidP="00800AA6">
      <w:pPr>
        <w:rPr>
          <w:b/>
        </w:rPr>
      </w:pPr>
      <w:r w:rsidRPr="00D85D24">
        <w:rPr>
          <w:b/>
        </w:rPr>
        <w:t>Item 102 – References to geographic areas</w:t>
      </w:r>
    </w:p>
    <w:p w:rsidR="00800AA6" w:rsidRDefault="00800AA6" w:rsidP="00800AA6">
      <w:pPr>
        <w:autoSpaceDE w:val="0"/>
        <w:autoSpaceDN w:val="0"/>
        <w:adjustRightInd w:val="0"/>
        <w:spacing w:before="80" w:after="120"/>
      </w:pPr>
      <w:r>
        <w:t>Item 102 explains the meaning of ‘urban centre’ and a ‘locality’ referred to in Part 2</w:t>
      </w:r>
      <w:r w:rsidR="005F5A43">
        <w:t xml:space="preserve"> of Schedule 1</w:t>
      </w:r>
      <w:r>
        <w:t>. It provides reference to an Australian Bureau of Statistics publication which gives additional information on the current method of delimitation of urban centres and localities.</w:t>
      </w:r>
    </w:p>
    <w:p w:rsidR="00800AA6" w:rsidRDefault="00800AA6" w:rsidP="00800AA6">
      <w:pPr>
        <w:rPr>
          <w:b/>
        </w:rPr>
      </w:pPr>
    </w:p>
    <w:p w:rsidR="00800AA6" w:rsidRPr="00D85D24" w:rsidRDefault="00800AA6" w:rsidP="00800AA6">
      <w:pPr>
        <w:rPr>
          <w:b/>
        </w:rPr>
      </w:pPr>
      <w:r w:rsidRPr="00D85D24">
        <w:rPr>
          <w:b/>
        </w:rPr>
        <w:t>Part 2 – Guaranteed maximum connection periods</w:t>
      </w:r>
    </w:p>
    <w:p w:rsidR="00800AA6" w:rsidRDefault="00800AA6" w:rsidP="00800AA6">
      <w:pPr>
        <w:rPr>
          <w:b/>
        </w:rPr>
      </w:pPr>
    </w:p>
    <w:p w:rsidR="00800AA6" w:rsidRPr="00D85D24" w:rsidRDefault="00800AA6" w:rsidP="00800AA6">
      <w:pPr>
        <w:rPr>
          <w:b/>
        </w:rPr>
      </w:pPr>
      <w:r w:rsidRPr="00D85D24">
        <w:rPr>
          <w:b/>
        </w:rPr>
        <w:t>Item 201 – Sites with in-place connections</w:t>
      </w:r>
    </w:p>
    <w:p w:rsidR="00800AA6" w:rsidRDefault="00800AA6" w:rsidP="00800AA6">
      <w:pPr>
        <w:autoSpaceDE w:val="0"/>
        <w:autoSpaceDN w:val="0"/>
        <w:adjustRightInd w:val="0"/>
        <w:spacing w:before="80" w:after="120"/>
      </w:pPr>
      <w:r>
        <w:t>Item 201 specifies that the guaranteed maximum connection period for an ‘in-place’ connection is within two working days after the CSP receives the customer request.</w:t>
      </w:r>
    </w:p>
    <w:p w:rsidR="00800AA6" w:rsidRPr="004300DB" w:rsidRDefault="00800AA6" w:rsidP="00800AA6">
      <w:pPr>
        <w:rPr>
          <w:b/>
          <w:sz w:val="10"/>
          <w:szCs w:val="10"/>
        </w:rPr>
      </w:pPr>
    </w:p>
    <w:p w:rsidR="00800AA6" w:rsidRPr="00D85D24" w:rsidRDefault="00800AA6" w:rsidP="00800AA6">
      <w:pPr>
        <w:rPr>
          <w:b/>
        </w:rPr>
      </w:pPr>
      <w:r w:rsidRPr="00D85D24">
        <w:rPr>
          <w:b/>
        </w:rPr>
        <w:t>Item 202 – Other sites</w:t>
      </w:r>
    </w:p>
    <w:p w:rsidR="00800AA6" w:rsidRDefault="00800AA6" w:rsidP="00800AA6">
      <w:pPr>
        <w:autoSpaceDE w:val="0"/>
        <w:autoSpaceDN w:val="0"/>
        <w:adjustRightInd w:val="0"/>
        <w:spacing w:before="80" w:after="120"/>
      </w:pPr>
      <w:r>
        <w:t>Item 202 specifies the guaranteed maximum connection periods for four site categories according to population parameters. These are specified for areas where an ‘in-place’ connection is not applicable.</w:t>
      </w:r>
    </w:p>
    <w:p w:rsidR="00800AA6" w:rsidRPr="00731D4D" w:rsidRDefault="00800AA6" w:rsidP="00800AA6">
      <w:pPr>
        <w:autoSpaceDE w:val="0"/>
        <w:autoSpaceDN w:val="0"/>
        <w:adjustRightInd w:val="0"/>
        <w:spacing w:before="80" w:after="120"/>
      </w:pPr>
      <w:r w:rsidRPr="00731D4D">
        <w:t xml:space="preserve">Paragraph 202(a) provides that the guaranteed maximum connection period for sites with a population of equal to or greater than 10,000 people is not later than 5 working days after the CSP receives the request. </w:t>
      </w:r>
    </w:p>
    <w:p w:rsidR="00800AA6" w:rsidRPr="00731D4D" w:rsidRDefault="00800AA6" w:rsidP="00800AA6">
      <w:pPr>
        <w:autoSpaceDE w:val="0"/>
        <w:autoSpaceDN w:val="0"/>
        <w:adjustRightInd w:val="0"/>
        <w:spacing w:before="80" w:after="120"/>
      </w:pPr>
      <w:r w:rsidRPr="00731D4D">
        <w:t>Paragraph 202(b) provides that the guaranteed maximum connection period for sites with a population of greater than 2,500 people but less than 10,000 is not later than 10 working days after the CSP receives the request.</w:t>
      </w:r>
    </w:p>
    <w:p w:rsidR="00800AA6" w:rsidRDefault="00800AA6" w:rsidP="00800AA6">
      <w:pPr>
        <w:autoSpaceDE w:val="0"/>
        <w:autoSpaceDN w:val="0"/>
        <w:adjustRightInd w:val="0"/>
        <w:spacing w:before="80" w:after="120"/>
      </w:pPr>
      <w:r w:rsidRPr="00731D4D">
        <w:t>Paragraphs 202(c) and (d) provide that the guaranteed maximum connection period for sites with a population between 200 and 2,500 people, and sites with fewer than 200 people is within 15 working days of the customer’s request.</w:t>
      </w:r>
    </w:p>
    <w:p w:rsidR="00800AA6" w:rsidRPr="004300DB" w:rsidRDefault="00800AA6" w:rsidP="00800AA6">
      <w:pPr>
        <w:rPr>
          <w:b/>
          <w:sz w:val="10"/>
          <w:szCs w:val="10"/>
        </w:rPr>
      </w:pPr>
    </w:p>
    <w:p w:rsidR="00800AA6" w:rsidRPr="00D85D24" w:rsidRDefault="00800AA6" w:rsidP="00800AA6">
      <w:pPr>
        <w:rPr>
          <w:b/>
        </w:rPr>
      </w:pPr>
      <w:r w:rsidRPr="00D85D24">
        <w:rPr>
          <w:b/>
        </w:rPr>
        <w:t>Schedule 2 – Categories of contravention of performance standards and damages</w:t>
      </w:r>
    </w:p>
    <w:p w:rsidR="00800AA6" w:rsidRDefault="00800AA6" w:rsidP="00800AA6">
      <w:pPr>
        <w:rPr>
          <w:b/>
        </w:rPr>
      </w:pPr>
    </w:p>
    <w:p w:rsidR="00800AA6" w:rsidRPr="00D85D24" w:rsidRDefault="00800AA6" w:rsidP="00800AA6">
      <w:pPr>
        <w:rPr>
          <w:b/>
        </w:rPr>
      </w:pPr>
      <w:r w:rsidRPr="00D85D24">
        <w:rPr>
          <w:b/>
        </w:rPr>
        <w:t>Part 1 – Interpretation</w:t>
      </w:r>
    </w:p>
    <w:p w:rsidR="00800AA6" w:rsidRDefault="00800AA6" w:rsidP="00800AA6">
      <w:pPr>
        <w:autoSpaceDE w:val="0"/>
        <w:autoSpaceDN w:val="0"/>
        <w:adjustRightInd w:val="0"/>
        <w:spacing w:before="80" w:after="120"/>
      </w:pPr>
      <w:r>
        <w:t xml:space="preserve">Item 101 explains the meaning of ‘delay’ when referred to in Part 2 </w:t>
      </w:r>
      <w:r w:rsidR="005F5A43">
        <w:t xml:space="preserve">of Schedule 2 </w:t>
      </w:r>
      <w:r>
        <w:t xml:space="preserve">in relation to the connection of service, rectification of service, and the keeping of appointments, with a delay referring to </w:t>
      </w:r>
      <w:r w:rsidR="00F719DF">
        <w:t xml:space="preserve">the </w:t>
      </w:r>
      <w:r>
        <w:t>CSP exceeding the guaranteed maximum connection or rectification period for a specified service or the CSP failing to comply with an arrangement made by the CSP with the customer for a connection or fault rectification on a particular day or in a particular period. Paragraph (2) of item 101 notes that, where a carriage service provider provides an interim service for the duration of the delay, a reference to a delay will not be reference to a contravention of the CSG Standard.</w:t>
      </w:r>
    </w:p>
    <w:p w:rsidR="00800AA6" w:rsidRDefault="00800AA6" w:rsidP="00800AA6">
      <w:pPr>
        <w:autoSpaceDE w:val="0"/>
        <w:autoSpaceDN w:val="0"/>
        <w:adjustRightInd w:val="0"/>
        <w:spacing w:before="80" w:after="120"/>
      </w:pPr>
      <w:r>
        <w:t>Items 102 and 103 clarify the three categories of customers referred to in Part 2</w:t>
      </w:r>
      <w:r w:rsidR="005F5A43">
        <w:t xml:space="preserve"> of Schedule 2</w:t>
      </w:r>
      <w:r>
        <w:t>.</w:t>
      </w:r>
    </w:p>
    <w:p w:rsidR="00800AA6" w:rsidRDefault="00800AA6" w:rsidP="00800AA6">
      <w:pPr>
        <w:rPr>
          <w:b/>
          <w:sz w:val="10"/>
          <w:szCs w:val="10"/>
        </w:rPr>
      </w:pPr>
    </w:p>
    <w:p w:rsidR="00800AA6" w:rsidRPr="004300DB" w:rsidRDefault="00800AA6" w:rsidP="00800AA6">
      <w:pPr>
        <w:rPr>
          <w:b/>
          <w:sz w:val="10"/>
          <w:szCs w:val="10"/>
        </w:rPr>
      </w:pPr>
    </w:p>
    <w:p w:rsidR="00800AA6" w:rsidRPr="00D85D24" w:rsidRDefault="00800AA6" w:rsidP="00800AA6">
      <w:pPr>
        <w:rPr>
          <w:b/>
        </w:rPr>
      </w:pPr>
      <w:r w:rsidRPr="00D85D24">
        <w:rPr>
          <w:b/>
        </w:rPr>
        <w:t>Part 2 – Contraventions and damages</w:t>
      </w:r>
    </w:p>
    <w:p w:rsidR="00800AA6" w:rsidRDefault="00800AA6" w:rsidP="00800AA6">
      <w:pPr>
        <w:autoSpaceDE w:val="0"/>
        <w:autoSpaceDN w:val="0"/>
        <w:adjustRightInd w:val="0"/>
        <w:spacing w:before="80" w:after="120"/>
      </w:pPr>
      <w:r>
        <w:t xml:space="preserve">This Part sets out the </w:t>
      </w:r>
      <w:r w:rsidR="005F5A43">
        <w:t>categories</w:t>
      </w:r>
      <w:r>
        <w:t xml:space="preserve"> of contraventions for which damages are payable and the corresponding damages payable. </w:t>
      </w:r>
    </w:p>
    <w:p w:rsidR="00800AA6" w:rsidRPr="004300DB" w:rsidRDefault="00800AA6" w:rsidP="00800AA6">
      <w:pPr>
        <w:autoSpaceDE w:val="0"/>
        <w:autoSpaceDN w:val="0"/>
        <w:adjustRightInd w:val="0"/>
        <w:rPr>
          <w:b/>
          <w:bCs/>
          <w:sz w:val="10"/>
          <w:szCs w:val="10"/>
          <w:highlight w:val="yellow"/>
        </w:rPr>
      </w:pPr>
    </w:p>
    <w:p w:rsidR="00800AA6" w:rsidRPr="00D85D24" w:rsidRDefault="00800AA6" w:rsidP="00800AA6">
      <w:pPr>
        <w:rPr>
          <w:b/>
        </w:rPr>
      </w:pPr>
      <w:r w:rsidRPr="00541C05">
        <w:rPr>
          <w:b/>
        </w:rPr>
        <w:t>Schedule 3 – Criteria for extreme weather conditions</w:t>
      </w:r>
    </w:p>
    <w:p w:rsidR="00800AA6" w:rsidRDefault="00800AA6" w:rsidP="00800AA6">
      <w:pPr>
        <w:autoSpaceDE w:val="0"/>
        <w:autoSpaceDN w:val="0"/>
        <w:adjustRightInd w:val="0"/>
        <w:rPr>
          <w:b/>
          <w:bCs/>
          <w:highlight w:val="yellow"/>
        </w:rPr>
      </w:pPr>
    </w:p>
    <w:p w:rsidR="00800AA6" w:rsidRPr="007961B2" w:rsidRDefault="00800AA6" w:rsidP="00800AA6">
      <w:r>
        <w:t xml:space="preserve">Schedule 3 contains the criteria for the definition of </w:t>
      </w:r>
      <w:r w:rsidRPr="00F84749">
        <w:t>extreme weather conditions</w:t>
      </w:r>
      <w:r>
        <w:t xml:space="preserve"> in section 4. This Schedule is intended to provide clarity around the exemption declaration process by providing empirical definitions to specify what constitutes extreme weather. </w:t>
      </w:r>
    </w:p>
    <w:p w:rsidR="00C67A07" w:rsidRDefault="00C67A07" w:rsidP="00AE1153">
      <w:pPr>
        <w:spacing w:before="80" w:after="120"/>
        <w:rPr>
          <w:b/>
        </w:rPr>
      </w:pPr>
    </w:p>
    <w:sectPr w:rsidR="00C67A07" w:rsidSect="000018E2">
      <w:headerReference w:type="default" r:id="rId7"/>
      <w:footerReference w:type="even" r:id="rId8"/>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45E" w:rsidRDefault="0009445E">
      <w:r>
        <w:separator/>
      </w:r>
    </w:p>
  </w:endnote>
  <w:endnote w:type="continuationSeparator" w:id="0">
    <w:p w:rsidR="0009445E" w:rsidRDefault="00094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03" w:rsidRDefault="00E84C3C" w:rsidP="007B190D">
    <w:pPr>
      <w:pStyle w:val="Footer"/>
      <w:framePr w:wrap="around" w:vAnchor="text" w:hAnchor="margin" w:xAlign="right" w:y="1"/>
      <w:rPr>
        <w:rStyle w:val="PageNumber"/>
      </w:rPr>
    </w:pPr>
    <w:r>
      <w:rPr>
        <w:rStyle w:val="PageNumber"/>
      </w:rPr>
      <w:fldChar w:fldCharType="begin"/>
    </w:r>
    <w:r w:rsidR="00646A03">
      <w:rPr>
        <w:rStyle w:val="PageNumber"/>
      </w:rPr>
      <w:instrText xml:space="preserve">PAGE  </w:instrText>
    </w:r>
    <w:r>
      <w:rPr>
        <w:rStyle w:val="PageNumber"/>
      </w:rPr>
      <w:fldChar w:fldCharType="end"/>
    </w:r>
  </w:p>
  <w:p w:rsidR="00646A03" w:rsidRDefault="00646A03" w:rsidP="007B19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03" w:rsidRDefault="00E84C3C" w:rsidP="007B190D">
    <w:pPr>
      <w:pStyle w:val="Footer"/>
      <w:framePr w:wrap="around" w:vAnchor="text" w:hAnchor="margin" w:xAlign="right" w:y="1"/>
      <w:rPr>
        <w:rStyle w:val="PageNumber"/>
      </w:rPr>
    </w:pPr>
    <w:r>
      <w:rPr>
        <w:rStyle w:val="PageNumber"/>
      </w:rPr>
      <w:fldChar w:fldCharType="begin"/>
    </w:r>
    <w:r w:rsidR="00646A03">
      <w:rPr>
        <w:rStyle w:val="PageNumber"/>
      </w:rPr>
      <w:instrText xml:space="preserve">PAGE  </w:instrText>
    </w:r>
    <w:r>
      <w:rPr>
        <w:rStyle w:val="PageNumber"/>
      </w:rPr>
      <w:fldChar w:fldCharType="separate"/>
    </w:r>
    <w:r w:rsidR="007E275D">
      <w:rPr>
        <w:rStyle w:val="PageNumber"/>
        <w:noProof/>
      </w:rPr>
      <w:t>17</w:t>
    </w:r>
    <w:r>
      <w:rPr>
        <w:rStyle w:val="PageNumber"/>
      </w:rPr>
      <w:fldChar w:fldCharType="end"/>
    </w:r>
  </w:p>
  <w:p w:rsidR="00646A03" w:rsidRDefault="00646A03" w:rsidP="007B190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45E" w:rsidRDefault="0009445E">
      <w:r>
        <w:separator/>
      </w:r>
    </w:p>
  </w:footnote>
  <w:footnote w:type="continuationSeparator" w:id="0">
    <w:p w:rsidR="0009445E" w:rsidRDefault="000944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A03" w:rsidRPr="000018E2" w:rsidRDefault="00646A03" w:rsidP="000018E2">
    <w:pPr>
      <w:pStyle w:val="Header"/>
      <w:jc w:val="right"/>
      <w:rPr>
        <w:b/>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278"/>
    <w:multiLevelType w:val="hybridMultilevel"/>
    <w:tmpl w:val="6C28B70E"/>
    <w:lvl w:ilvl="0" w:tplc="0C090017">
      <w:start w:val="1"/>
      <w:numFmt w:val="lowerLetter"/>
      <w:lvlText w:val="%1)"/>
      <w:lvlJc w:val="left"/>
      <w:pPr>
        <w:tabs>
          <w:tab w:val="num" w:pos="720"/>
        </w:tabs>
        <w:ind w:left="720" w:hanging="360"/>
      </w:p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01844170"/>
    <w:multiLevelType w:val="hybridMultilevel"/>
    <w:tmpl w:val="0BA4E8A2"/>
    <w:lvl w:ilvl="0" w:tplc="45B8073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50138B8"/>
    <w:multiLevelType w:val="hybridMultilevel"/>
    <w:tmpl w:val="A190A374"/>
    <w:lvl w:ilvl="0" w:tplc="473ACC16">
      <w:start w:val="1"/>
      <w:numFmt w:val="lowerRoman"/>
      <w:lvlText w:val="(%1)"/>
      <w:lvlJc w:val="left"/>
      <w:pPr>
        <w:ind w:left="1440" w:hanging="720"/>
      </w:pPr>
      <w:rPr>
        <w:rFonts w:ascii="Times New Roman" w:eastAsia="Times New Roman" w:hAnsi="Times New Roman" w:cs="Times New Roman"/>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CBC3B6A"/>
    <w:multiLevelType w:val="hybridMultilevel"/>
    <w:tmpl w:val="23A00084"/>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0F944594"/>
    <w:multiLevelType w:val="hybridMultilevel"/>
    <w:tmpl w:val="876A6536"/>
    <w:lvl w:ilvl="0" w:tplc="E654D6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FE2D73"/>
    <w:multiLevelType w:val="hybridMultilevel"/>
    <w:tmpl w:val="6CEC211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3EE495C"/>
    <w:multiLevelType w:val="hybridMultilevel"/>
    <w:tmpl w:val="1D8498B0"/>
    <w:lvl w:ilvl="0" w:tplc="A332420E">
      <w:start w:val="1"/>
      <w:numFmt w:val="lowerLetter"/>
      <w:pStyle w:val="ACMAletteredlist"/>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52305A"/>
    <w:multiLevelType w:val="hybridMultilevel"/>
    <w:tmpl w:val="C338ACD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F5A5080"/>
    <w:multiLevelType w:val="hybridMultilevel"/>
    <w:tmpl w:val="24705096"/>
    <w:lvl w:ilvl="0" w:tplc="2AD6D52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9">
    <w:nsid w:val="345F68B7"/>
    <w:multiLevelType w:val="hybridMultilevel"/>
    <w:tmpl w:val="DE5E3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5BE7D61"/>
    <w:multiLevelType w:val="hybridMultilevel"/>
    <w:tmpl w:val="0DD8994A"/>
    <w:lvl w:ilvl="0" w:tplc="DF44F4B4">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7FE48EC"/>
    <w:multiLevelType w:val="hybridMultilevel"/>
    <w:tmpl w:val="9EF81C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40C21490"/>
    <w:multiLevelType w:val="hybridMultilevel"/>
    <w:tmpl w:val="E68ADFFC"/>
    <w:lvl w:ilvl="0" w:tplc="0C09000F">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45231F8D"/>
    <w:multiLevelType w:val="multilevel"/>
    <w:tmpl w:val="E68ADF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BC63F25"/>
    <w:multiLevelType w:val="hybridMultilevel"/>
    <w:tmpl w:val="5142AD2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nsid w:val="59C06C6E"/>
    <w:multiLevelType w:val="hybridMultilevel"/>
    <w:tmpl w:val="23FA8920"/>
    <w:lvl w:ilvl="0" w:tplc="E34A4B1E">
      <w:start w:val="1"/>
      <w:numFmt w:val="bullet"/>
      <w:lvlText w:val=""/>
      <w:lvlJc w:val="left"/>
      <w:pPr>
        <w:tabs>
          <w:tab w:val="num" w:pos="851"/>
        </w:tabs>
        <w:ind w:left="851" w:hanging="511"/>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4171DE0"/>
    <w:multiLevelType w:val="hybridMultilevel"/>
    <w:tmpl w:val="235A7F62"/>
    <w:lvl w:ilvl="0" w:tplc="1F707552">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7">
    <w:nsid w:val="73F7290A"/>
    <w:multiLevelType w:val="hybridMultilevel"/>
    <w:tmpl w:val="5BB461F8"/>
    <w:lvl w:ilvl="0" w:tplc="A9C0AE62">
      <w:start w:val="1"/>
      <w:numFmt w:val="lowerLetter"/>
      <w:lvlText w:val="(%1)"/>
      <w:lvlJc w:val="left"/>
      <w:pPr>
        <w:tabs>
          <w:tab w:val="num" w:pos="1440"/>
        </w:tabs>
        <w:ind w:left="1440" w:hanging="720"/>
      </w:pPr>
      <w:rPr>
        <w:rFonts w:hint="default"/>
      </w:rPr>
    </w:lvl>
    <w:lvl w:ilvl="1" w:tplc="EC2E20F2">
      <w:start w:val="1"/>
      <w:numFmt w:val="lowerRoman"/>
      <w:lvlText w:val="(%2)"/>
      <w:lvlJc w:val="left"/>
      <w:pPr>
        <w:tabs>
          <w:tab w:val="num" w:pos="2160"/>
        </w:tabs>
        <w:ind w:left="2160" w:hanging="72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8">
    <w:nsid w:val="7F832ACF"/>
    <w:multiLevelType w:val="hybridMultilevel"/>
    <w:tmpl w:val="E27AE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5"/>
  </w:num>
  <w:num w:numId="4">
    <w:abstractNumId w:val="8"/>
  </w:num>
  <w:num w:numId="5">
    <w:abstractNumId w:val="6"/>
  </w:num>
  <w:num w:numId="6">
    <w:abstractNumId w:val="16"/>
  </w:num>
  <w:num w:numId="7">
    <w:abstractNumId w:val="7"/>
  </w:num>
  <w:num w:numId="8">
    <w:abstractNumId w:val="3"/>
  </w:num>
  <w:num w:numId="9">
    <w:abstractNumId w:val="5"/>
  </w:num>
  <w:num w:numId="10">
    <w:abstractNumId w:val="0"/>
  </w:num>
  <w:num w:numId="11">
    <w:abstractNumId w:val="14"/>
  </w:num>
  <w:num w:numId="12">
    <w:abstractNumId w:val="9"/>
  </w:num>
  <w:num w:numId="13">
    <w:abstractNumId w:val="12"/>
  </w:num>
  <w:num w:numId="14">
    <w:abstractNumId w:val="13"/>
  </w:num>
  <w:num w:numId="15">
    <w:abstractNumId w:val="4"/>
  </w:num>
  <w:num w:numId="16">
    <w:abstractNumId w:val="2"/>
  </w:num>
  <w:num w:numId="17">
    <w:abstractNumId w:val="1"/>
  </w:num>
  <w:num w:numId="18">
    <w:abstractNumId w:val="11"/>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characterSpacingControl w:val="doNotCompress"/>
  <w:hdrShapeDefaults>
    <o:shapedefaults v:ext="edit" spidmax="358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190D"/>
    <w:rsid w:val="000018E2"/>
    <w:rsid w:val="00002D5D"/>
    <w:rsid w:val="00002F37"/>
    <w:rsid w:val="00004045"/>
    <w:rsid w:val="0000431B"/>
    <w:rsid w:val="0000491F"/>
    <w:rsid w:val="00005220"/>
    <w:rsid w:val="00006663"/>
    <w:rsid w:val="00006989"/>
    <w:rsid w:val="000078DB"/>
    <w:rsid w:val="00013801"/>
    <w:rsid w:val="00014050"/>
    <w:rsid w:val="000205DD"/>
    <w:rsid w:val="00021769"/>
    <w:rsid w:val="00021833"/>
    <w:rsid w:val="000231D2"/>
    <w:rsid w:val="000242B3"/>
    <w:rsid w:val="00025727"/>
    <w:rsid w:val="00027B7E"/>
    <w:rsid w:val="00027BC2"/>
    <w:rsid w:val="00027E06"/>
    <w:rsid w:val="00032678"/>
    <w:rsid w:val="000331D8"/>
    <w:rsid w:val="000352B1"/>
    <w:rsid w:val="00036862"/>
    <w:rsid w:val="0004024F"/>
    <w:rsid w:val="00040440"/>
    <w:rsid w:val="0004100E"/>
    <w:rsid w:val="00042287"/>
    <w:rsid w:val="000469C5"/>
    <w:rsid w:val="00046DD7"/>
    <w:rsid w:val="00047C4E"/>
    <w:rsid w:val="00052D92"/>
    <w:rsid w:val="0005541B"/>
    <w:rsid w:val="00056405"/>
    <w:rsid w:val="00056E26"/>
    <w:rsid w:val="00060407"/>
    <w:rsid w:val="00060559"/>
    <w:rsid w:val="0006088B"/>
    <w:rsid w:val="00063A81"/>
    <w:rsid w:val="00065F37"/>
    <w:rsid w:val="000661D4"/>
    <w:rsid w:val="0006637D"/>
    <w:rsid w:val="000663B2"/>
    <w:rsid w:val="00071187"/>
    <w:rsid w:val="0007189C"/>
    <w:rsid w:val="00073566"/>
    <w:rsid w:val="000735B9"/>
    <w:rsid w:val="00075928"/>
    <w:rsid w:val="000829D1"/>
    <w:rsid w:val="000856BE"/>
    <w:rsid w:val="00085897"/>
    <w:rsid w:val="00086701"/>
    <w:rsid w:val="00086B0E"/>
    <w:rsid w:val="000906F6"/>
    <w:rsid w:val="00091CE8"/>
    <w:rsid w:val="00092B2B"/>
    <w:rsid w:val="000931A8"/>
    <w:rsid w:val="0009445E"/>
    <w:rsid w:val="00095E03"/>
    <w:rsid w:val="0009700F"/>
    <w:rsid w:val="00097423"/>
    <w:rsid w:val="00097B98"/>
    <w:rsid w:val="000A0230"/>
    <w:rsid w:val="000A261F"/>
    <w:rsid w:val="000A3177"/>
    <w:rsid w:val="000A4BB7"/>
    <w:rsid w:val="000A563F"/>
    <w:rsid w:val="000A746F"/>
    <w:rsid w:val="000B1ABF"/>
    <w:rsid w:val="000B3CBD"/>
    <w:rsid w:val="000B5A05"/>
    <w:rsid w:val="000B7554"/>
    <w:rsid w:val="000C6107"/>
    <w:rsid w:val="000C684E"/>
    <w:rsid w:val="000D2726"/>
    <w:rsid w:val="000D3812"/>
    <w:rsid w:val="000D44AA"/>
    <w:rsid w:val="000D453A"/>
    <w:rsid w:val="000D4F0C"/>
    <w:rsid w:val="000D7C6F"/>
    <w:rsid w:val="000E01D4"/>
    <w:rsid w:val="000E12D1"/>
    <w:rsid w:val="000E1CDE"/>
    <w:rsid w:val="000E1D71"/>
    <w:rsid w:val="000E230F"/>
    <w:rsid w:val="000E3C57"/>
    <w:rsid w:val="000E70BB"/>
    <w:rsid w:val="000F4AB8"/>
    <w:rsid w:val="000F59D7"/>
    <w:rsid w:val="00100278"/>
    <w:rsid w:val="00104A2E"/>
    <w:rsid w:val="00105C2E"/>
    <w:rsid w:val="00106352"/>
    <w:rsid w:val="00107F1A"/>
    <w:rsid w:val="0011041D"/>
    <w:rsid w:val="00112421"/>
    <w:rsid w:val="00114356"/>
    <w:rsid w:val="0011575E"/>
    <w:rsid w:val="00120849"/>
    <w:rsid w:val="00121361"/>
    <w:rsid w:val="00122624"/>
    <w:rsid w:val="00123E5B"/>
    <w:rsid w:val="00125A0D"/>
    <w:rsid w:val="001267D4"/>
    <w:rsid w:val="00127288"/>
    <w:rsid w:val="001326FB"/>
    <w:rsid w:val="001332B3"/>
    <w:rsid w:val="00133A7F"/>
    <w:rsid w:val="0013556F"/>
    <w:rsid w:val="00136A80"/>
    <w:rsid w:val="00137960"/>
    <w:rsid w:val="00140542"/>
    <w:rsid w:val="0014170C"/>
    <w:rsid w:val="0014191F"/>
    <w:rsid w:val="0014195F"/>
    <w:rsid w:val="00142856"/>
    <w:rsid w:val="00144834"/>
    <w:rsid w:val="00146C9B"/>
    <w:rsid w:val="00150AF0"/>
    <w:rsid w:val="001535C9"/>
    <w:rsid w:val="00153CA9"/>
    <w:rsid w:val="00162DE3"/>
    <w:rsid w:val="0016386F"/>
    <w:rsid w:val="00172FAE"/>
    <w:rsid w:val="00173F2B"/>
    <w:rsid w:val="00175496"/>
    <w:rsid w:val="00175AE9"/>
    <w:rsid w:val="0017665E"/>
    <w:rsid w:val="00176E6E"/>
    <w:rsid w:val="00176FCF"/>
    <w:rsid w:val="00184530"/>
    <w:rsid w:val="00187585"/>
    <w:rsid w:val="0018788A"/>
    <w:rsid w:val="00190ECC"/>
    <w:rsid w:val="00191ACB"/>
    <w:rsid w:val="0019270E"/>
    <w:rsid w:val="00196195"/>
    <w:rsid w:val="00196A2C"/>
    <w:rsid w:val="00196EF9"/>
    <w:rsid w:val="001A26E5"/>
    <w:rsid w:val="001A2FC0"/>
    <w:rsid w:val="001A30E4"/>
    <w:rsid w:val="001A359B"/>
    <w:rsid w:val="001A4EF8"/>
    <w:rsid w:val="001A6D79"/>
    <w:rsid w:val="001B074A"/>
    <w:rsid w:val="001B3795"/>
    <w:rsid w:val="001B669A"/>
    <w:rsid w:val="001C359C"/>
    <w:rsid w:val="001C4A59"/>
    <w:rsid w:val="001C7916"/>
    <w:rsid w:val="001D0F16"/>
    <w:rsid w:val="001D110E"/>
    <w:rsid w:val="001D1FB8"/>
    <w:rsid w:val="001D3435"/>
    <w:rsid w:val="001D391C"/>
    <w:rsid w:val="001D63BB"/>
    <w:rsid w:val="001E0B47"/>
    <w:rsid w:val="001E1077"/>
    <w:rsid w:val="001E212A"/>
    <w:rsid w:val="001E2829"/>
    <w:rsid w:val="001E548C"/>
    <w:rsid w:val="001E571E"/>
    <w:rsid w:val="001E5D99"/>
    <w:rsid w:val="001E5F8E"/>
    <w:rsid w:val="001E6FF0"/>
    <w:rsid w:val="001F0C58"/>
    <w:rsid w:val="001F1580"/>
    <w:rsid w:val="001F2711"/>
    <w:rsid w:val="001F28F2"/>
    <w:rsid w:val="001F315A"/>
    <w:rsid w:val="001F3B1B"/>
    <w:rsid w:val="001F46CF"/>
    <w:rsid w:val="00200CB6"/>
    <w:rsid w:val="0020139B"/>
    <w:rsid w:val="0020277F"/>
    <w:rsid w:val="0021353D"/>
    <w:rsid w:val="00216EF9"/>
    <w:rsid w:val="00217D71"/>
    <w:rsid w:val="002210E5"/>
    <w:rsid w:val="002258E6"/>
    <w:rsid w:val="002267CE"/>
    <w:rsid w:val="0023092C"/>
    <w:rsid w:val="0023131B"/>
    <w:rsid w:val="00234245"/>
    <w:rsid w:val="00234512"/>
    <w:rsid w:val="00236B68"/>
    <w:rsid w:val="00240471"/>
    <w:rsid w:val="00240F52"/>
    <w:rsid w:val="00243EB2"/>
    <w:rsid w:val="00243F38"/>
    <w:rsid w:val="00244B32"/>
    <w:rsid w:val="0024608C"/>
    <w:rsid w:val="00246366"/>
    <w:rsid w:val="002501C0"/>
    <w:rsid w:val="002521D8"/>
    <w:rsid w:val="00252628"/>
    <w:rsid w:val="002535BC"/>
    <w:rsid w:val="00254F64"/>
    <w:rsid w:val="00257CAF"/>
    <w:rsid w:val="00262AD1"/>
    <w:rsid w:val="00262DC5"/>
    <w:rsid w:val="00265D7B"/>
    <w:rsid w:val="00266ADB"/>
    <w:rsid w:val="002720A4"/>
    <w:rsid w:val="00273DA3"/>
    <w:rsid w:val="002813E7"/>
    <w:rsid w:val="00281A00"/>
    <w:rsid w:val="00283173"/>
    <w:rsid w:val="0028340A"/>
    <w:rsid w:val="00283B53"/>
    <w:rsid w:val="00283CE0"/>
    <w:rsid w:val="00284274"/>
    <w:rsid w:val="00284420"/>
    <w:rsid w:val="00284C5E"/>
    <w:rsid w:val="00285A92"/>
    <w:rsid w:val="002876F0"/>
    <w:rsid w:val="00290992"/>
    <w:rsid w:val="00290FCA"/>
    <w:rsid w:val="00293F95"/>
    <w:rsid w:val="00297D92"/>
    <w:rsid w:val="00297F32"/>
    <w:rsid w:val="002A060E"/>
    <w:rsid w:val="002A1CEF"/>
    <w:rsid w:val="002A1F12"/>
    <w:rsid w:val="002A4D91"/>
    <w:rsid w:val="002A5DE2"/>
    <w:rsid w:val="002A7E68"/>
    <w:rsid w:val="002B185C"/>
    <w:rsid w:val="002B658E"/>
    <w:rsid w:val="002C11E0"/>
    <w:rsid w:val="002C135F"/>
    <w:rsid w:val="002C191C"/>
    <w:rsid w:val="002C3FC2"/>
    <w:rsid w:val="002C403D"/>
    <w:rsid w:val="002C7290"/>
    <w:rsid w:val="002C7A1A"/>
    <w:rsid w:val="002D0B9A"/>
    <w:rsid w:val="002D2119"/>
    <w:rsid w:val="002D2151"/>
    <w:rsid w:val="002D2250"/>
    <w:rsid w:val="002D34B6"/>
    <w:rsid w:val="002D5B88"/>
    <w:rsid w:val="002D73AB"/>
    <w:rsid w:val="002E2752"/>
    <w:rsid w:val="002E2E17"/>
    <w:rsid w:val="002E6D3E"/>
    <w:rsid w:val="002F12C0"/>
    <w:rsid w:val="002F3A7F"/>
    <w:rsid w:val="002F6071"/>
    <w:rsid w:val="00304DD5"/>
    <w:rsid w:val="00305B2B"/>
    <w:rsid w:val="003104DD"/>
    <w:rsid w:val="003122FF"/>
    <w:rsid w:val="003130A2"/>
    <w:rsid w:val="00314ECA"/>
    <w:rsid w:val="00315695"/>
    <w:rsid w:val="00321128"/>
    <w:rsid w:val="00322585"/>
    <w:rsid w:val="00327F4F"/>
    <w:rsid w:val="003313D6"/>
    <w:rsid w:val="00332B22"/>
    <w:rsid w:val="00335A62"/>
    <w:rsid w:val="00335FC9"/>
    <w:rsid w:val="00336565"/>
    <w:rsid w:val="00337900"/>
    <w:rsid w:val="0034041E"/>
    <w:rsid w:val="00340D8F"/>
    <w:rsid w:val="00341474"/>
    <w:rsid w:val="00343061"/>
    <w:rsid w:val="0034311A"/>
    <w:rsid w:val="00343231"/>
    <w:rsid w:val="00343265"/>
    <w:rsid w:val="00344383"/>
    <w:rsid w:val="003461BF"/>
    <w:rsid w:val="00346B25"/>
    <w:rsid w:val="0035012D"/>
    <w:rsid w:val="003513BB"/>
    <w:rsid w:val="00352F91"/>
    <w:rsid w:val="00353180"/>
    <w:rsid w:val="003531B8"/>
    <w:rsid w:val="00353787"/>
    <w:rsid w:val="00355372"/>
    <w:rsid w:val="00355543"/>
    <w:rsid w:val="00355A65"/>
    <w:rsid w:val="00362A8D"/>
    <w:rsid w:val="00363A47"/>
    <w:rsid w:val="00363F7C"/>
    <w:rsid w:val="003662B5"/>
    <w:rsid w:val="0036669C"/>
    <w:rsid w:val="003670F7"/>
    <w:rsid w:val="00371522"/>
    <w:rsid w:val="003717C2"/>
    <w:rsid w:val="003744BA"/>
    <w:rsid w:val="00377635"/>
    <w:rsid w:val="00380486"/>
    <w:rsid w:val="00382599"/>
    <w:rsid w:val="00382C6C"/>
    <w:rsid w:val="00383840"/>
    <w:rsid w:val="0038508D"/>
    <w:rsid w:val="00385C85"/>
    <w:rsid w:val="00386A8A"/>
    <w:rsid w:val="00386D73"/>
    <w:rsid w:val="00386EBA"/>
    <w:rsid w:val="00390083"/>
    <w:rsid w:val="00390CCA"/>
    <w:rsid w:val="00392C03"/>
    <w:rsid w:val="003A28B3"/>
    <w:rsid w:val="003A48E3"/>
    <w:rsid w:val="003A502D"/>
    <w:rsid w:val="003A6E2E"/>
    <w:rsid w:val="003B0CE2"/>
    <w:rsid w:val="003B16FF"/>
    <w:rsid w:val="003B1760"/>
    <w:rsid w:val="003B188D"/>
    <w:rsid w:val="003B1C47"/>
    <w:rsid w:val="003B28A1"/>
    <w:rsid w:val="003B3ED8"/>
    <w:rsid w:val="003B53A5"/>
    <w:rsid w:val="003B596C"/>
    <w:rsid w:val="003B624E"/>
    <w:rsid w:val="003B64B0"/>
    <w:rsid w:val="003B7B32"/>
    <w:rsid w:val="003C0C62"/>
    <w:rsid w:val="003C26E4"/>
    <w:rsid w:val="003C4450"/>
    <w:rsid w:val="003C6149"/>
    <w:rsid w:val="003C6643"/>
    <w:rsid w:val="003C7814"/>
    <w:rsid w:val="003C7887"/>
    <w:rsid w:val="003D4288"/>
    <w:rsid w:val="003D4697"/>
    <w:rsid w:val="003D5936"/>
    <w:rsid w:val="003D6079"/>
    <w:rsid w:val="003D6F60"/>
    <w:rsid w:val="003E16D2"/>
    <w:rsid w:val="003E189A"/>
    <w:rsid w:val="003E1DBE"/>
    <w:rsid w:val="003E37F2"/>
    <w:rsid w:val="003E3C5E"/>
    <w:rsid w:val="003E40EA"/>
    <w:rsid w:val="003E689E"/>
    <w:rsid w:val="003E7BDD"/>
    <w:rsid w:val="003F4620"/>
    <w:rsid w:val="003F5D3A"/>
    <w:rsid w:val="00400857"/>
    <w:rsid w:val="00400D51"/>
    <w:rsid w:val="00404265"/>
    <w:rsid w:val="004055D7"/>
    <w:rsid w:val="00405B73"/>
    <w:rsid w:val="00414153"/>
    <w:rsid w:val="00414B7D"/>
    <w:rsid w:val="00415505"/>
    <w:rsid w:val="00423E69"/>
    <w:rsid w:val="004259F4"/>
    <w:rsid w:val="00427CD9"/>
    <w:rsid w:val="004300DB"/>
    <w:rsid w:val="00430A1D"/>
    <w:rsid w:val="00432F59"/>
    <w:rsid w:val="00433598"/>
    <w:rsid w:val="00435B92"/>
    <w:rsid w:val="00437ABA"/>
    <w:rsid w:val="004400CA"/>
    <w:rsid w:val="00440C91"/>
    <w:rsid w:val="00440CB7"/>
    <w:rsid w:val="00444172"/>
    <w:rsid w:val="00445045"/>
    <w:rsid w:val="0044613B"/>
    <w:rsid w:val="00451DCB"/>
    <w:rsid w:val="00451F82"/>
    <w:rsid w:val="00452F99"/>
    <w:rsid w:val="0045415A"/>
    <w:rsid w:val="00454C83"/>
    <w:rsid w:val="004602A8"/>
    <w:rsid w:val="00461BA6"/>
    <w:rsid w:val="00462D78"/>
    <w:rsid w:val="004726B4"/>
    <w:rsid w:val="00473C8E"/>
    <w:rsid w:val="004744C7"/>
    <w:rsid w:val="004822C7"/>
    <w:rsid w:val="0048457D"/>
    <w:rsid w:val="00485733"/>
    <w:rsid w:val="004865C3"/>
    <w:rsid w:val="00487E41"/>
    <w:rsid w:val="00491A6F"/>
    <w:rsid w:val="00492B7B"/>
    <w:rsid w:val="00494178"/>
    <w:rsid w:val="00495864"/>
    <w:rsid w:val="00495FE7"/>
    <w:rsid w:val="004A0FBE"/>
    <w:rsid w:val="004A22CC"/>
    <w:rsid w:val="004A5110"/>
    <w:rsid w:val="004A644F"/>
    <w:rsid w:val="004A6616"/>
    <w:rsid w:val="004B0A81"/>
    <w:rsid w:val="004B1FAE"/>
    <w:rsid w:val="004B34BD"/>
    <w:rsid w:val="004B6A77"/>
    <w:rsid w:val="004C0AEC"/>
    <w:rsid w:val="004C2E2A"/>
    <w:rsid w:val="004C6E5C"/>
    <w:rsid w:val="004C78DC"/>
    <w:rsid w:val="004D16AE"/>
    <w:rsid w:val="004D1763"/>
    <w:rsid w:val="004D181A"/>
    <w:rsid w:val="004D21D8"/>
    <w:rsid w:val="004D254E"/>
    <w:rsid w:val="004D74BD"/>
    <w:rsid w:val="004E0056"/>
    <w:rsid w:val="004E1149"/>
    <w:rsid w:val="004E13F4"/>
    <w:rsid w:val="004E5B15"/>
    <w:rsid w:val="004F0D5E"/>
    <w:rsid w:val="004F6A9B"/>
    <w:rsid w:val="0050152D"/>
    <w:rsid w:val="00503041"/>
    <w:rsid w:val="00503DD6"/>
    <w:rsid w:val="00503FBB"/>
    <w:rsid w:val="00510CAE"/>
    <w:rsid w:val="005126E2"/>
    <w:rsid w:val="0051472F"/>
    <w:rsid w:val="00514DED"/>
    <w:rsid w:val="0051574E"/>
    <w:rsid w:val="00523987"/>
    <w:rsid w:val="005254B4"/>
    <w:rsid w:val="0052599D"/>
    <w:rsid w:val="00530FC8"/>
    <w:rsid w:val="0053109D"/>
    <w:rsid w:val="00531A0B"/>
    <w:rsid w:val="00533FF7"/>
    <w:rsid w:val="00534624"/>
    <w:rsid w:val="00535AAE"/>
    <w:rsid w:val="00535D86"/>
    <w:rsid w:val="00540AA5"/>
    <w:rsid w:val="005410B2"/>
    <w:rsid w:val="00541C05"/>
    <w:rsid w:val="00542757"/>
    <w:rsid w:val="00545738"/>
    <w:rsid w:val="00545A37"/>
    <w:rsid w:val="00545B94"/>
    <w:rsid w:val="005508CD"/>
    <w:rsid w:val="00555D83"/>
    <w:rsid w:val="005561D0"/>
    <w:rsid w:val="005602F5"/>
    <w:rsid w:val="00562393"/>
    <w:rsid w:val="0056710C"/>
    <w:rsid w:val="00567693"/>
    <w:rsid w:val="00567950"/>
    <w:rsid w:val="00570DDC"/>
    <w:rsid w:val="005755CB"/>
    <w:rsid w:val="00580EB0"/>
    <w:rsid w:val="00582E30"/>
    <w:rsid w:val="00583002"/>
    <w:rsid w:val="005845E6"/>
    <w:rsid w:val="00585FB8"/>
    <w:rsid w:val="005875A7"/>
    <w:rsid w:val="00591568"/>
    <w:rsid w:val="00595E1B"/>
    <w:rsid w:val="00597064"/>
    <w:rsid w:val="005A076F"/>
    <w:rsid w:val="005A16AC"/>
    <w:rsid w:val="005A2FB7"/>
    <w:rsid w:val="005A6F74"/>
    <w:rsid w:val="005B3892"/>
    <w:rsid w:val="005C0CFE"/>
    <w:rsid w:val="005C1115"/>
    <w:rsid w:val="005C5E78"/>
    <w:rsid w:val="005C710B"/>
    <w:rsid w:val="005C7CC2"/>
    <w:rsid w:val="005D034C"/>
    <w:rsid w:val="005D0774"/>
    <w:rsid w:val="005D2859"/>
    <w:rsid w:val="005D4B60"/>
    <w:rsid w:val="005D52A0"/>
    <w:rsid w:val="005D543B"/>
    <w:rsid w:val="005D7708"/>
    <w:rsid w:val="005F19BD"/>
    <w:rsid w:val="005F342C"/>
    <w:rsid w:val="005F3D52"/>
    <w:rsid w:val="005F42F3"/>
    <w:rsid w:val="005F5A43"/>
    <w:rsid w:val="005F6581"/>
    <w:rsid w:val="005F79FB"/>
    <w:rsid w:val="00603873"/>
    <w:rsid w:val="006239B8"/>
    <w:rsid w:val="0062436F"/>
    <w:rsid w:val="00624EB4"/>
    <w:rsid w:val="00625641"/>
    <w:rsid w:val="00627A01"/>
    <w:rsid w:val="006309C3"/>
    <w:rsid w:val="00633B15"/>
    <w:rsid w:val="00634E83"/>
    <w:rsid w:val="00637CC6"/>
    <w:rsid w:val="00640093"/>
    <w:rsid w:val="0064018C"/>
    <w:rsid w:val="00641C1A"/>
    <w:rsid w:val="0064344A"/>
    <w:rsid w:val="00643EF7"/>
    <w:rsid w:val="006451CC"/>
    <w:rsid w:val="006467A8"/>
    <w:rsid w:val="00646A03"/>
    <w:rsid w:val="0065184B"/>
    <w:rsid w:val="00651E84"/>
    <w:rsid w:val="006540DC"/>
    <w:rsid w:val="006542EC"/>
    <w:rsid w:val="006547C5"/>
    <w:rsid w:val="006556EA"/>
    <w:rsid w:val="006562AB"/>
    <w:rsid w:val="00660F35"/>
    <w:rsid w:val="0066528C"/>
    <w:rsid w:val="00665724"/>
    <w:rsid w:val="006658C2"/>
    <w:rsid w:val="00666F86"/>
    <w:rsid w:val="00670ADE"/>
    <w:rsid w:val="00672399"/>
    <w:rsid w:val="00674200"/>
    <w:rsid w:val="006757E1"/>
    <w:rsid w:val="00676002"/>
    <w:rsid w:val="00680662"/>
    <w:rsid w:val="00680CFA"/>
    <w:rsid w:val="00681065"/>
    <w:rsid w:val="00683F1C"/>
    <w:rsid w:val="00684028"/>
    <w:rsid w:val="0068543F"/>
    <w:rsid w:val="0068673C"/>
    <w:rsid w:val="00687B54"/>
    <w:rsid w:val="00691019"/>
    <w:rsid w:val="00695B84"/>
    <w:rsid w:val="006A12FA"/>
    <w:rsid w:val="006A2F21"/>
    <w:rsid w:val="006A5F3E"/>
    <w:rsid w:val="006A611D"/>
    <w:rsid w:val="006A786E"/>
    <w:rsid w:val="006B06CD"/>
    <w:rsid w:val="006B0D7B"/>
    <w:rsid w:val="006B0ECD"/>
    <w:rsid w:val="006B2D12"/>
    <w:rsid w:val="006C344B"/>
    <w:rsid w:val="006C3C33"/>
    <w:rsid w:val="006C645A"/>
    <w:rsid w:val="006C746E"/>
    <w:rsid w:val="006D036D"/>
    <w:rsid w:val="006D04FE"/>
    <w:rsid w:val="006D0982"/>
    <w:rsid w:val="006D15E0"/>
    <w:rsid w:val="006D1CC4"/>
    <w:rsid w:val="006D20C0"/>
    <w:rsid w:val="006D3579"/>
    <w:rsid w:val="006D36D3"/>
    <w:rsid w:val="006D37D4"/>
    <w:rsid w:val="006D5A0B"/>
    <w:rsid w:val="006D5DC3"/>
    <w:rsid w:val="006D6196"/>
    <w:rsid w:val="006D669F"/>
    <w:rsid w:val="006D6BBC"/>
    <w:rsid w:val="006D782E"/>
    <w:rsid w:val="006E33DA"/>
    <w:rsid w:val="006E40AF"/>
    <w:rsid w:val="006E536C"/>
    <w:rsid w:val="006E6CED"/>
    <w:rsid w:val="006E6DA5"/>
    <w:rsid w:val="006F1CBA"/>
    <w:rsid w:val="006F2CAA"/>
    <w:rsid w:val="006F40FD"/>
    <w:rsid w:val="006F7560"/>
    <w:rsid w:val="006F7E4D"/>
    <w:rsid w:val="007019B0"/>
    <w:rsid w:val="00705722"/>
    <w:rsid w:val="0070705E"/>
    <w:rsid w:val="00710B47"/>
    <w:rsid w:val="00713963"/>
    <w:rsid w:val="00717819"/>
    <w:rsid w:val="00722635"/>
    <w:rsid w:val="00722F65"/>
    <w:rsid w:val="00723352"/>
    <w:rsid w:val="00724078"/>
    <w:rsid w:val="00725EAC"/>
    <w:rsid w:val="00726CE8"/>
    <w:rsid w:val="00731D4D"/>
    <w:rsid w:val="00734F9E"/>
    <w:rsid w:val="00737DAD"/>
    <w:rsid w:val="007416D2"/>
    <w:rsid w:val="00741EEE"/>
    <w:rsid w:val="00742766"/>
    <w:rsid w:val="00743667"/>
    <w:rsid w:val="00744B5A"/>
    <w:rsid w:val="0074566F"/>
    <w:rsid w:val="007472D3"/>
    <w:rsid w:val="007517F7"/>
    <w:rsid w:val="0075297C"/>
    <w:rsid w:val="00754026"/>
    <w:rsid w:val="0075419F"/>
    <w:rsid w:val="00754463"/>
    <w:rsid w:val="00760814"/>
    <w:rsid w:val="007620E1"/>
    <w:rsid w:val="00762F34"/>
    <w:rsid w:val="007639F1"/>
    <w:rsid w:val="0076434A"/>
    <w:rsid w:val="00764904"/>
    <w:rsid w:val="0076661C"/>
    <w:rsid w:val="007674BC"/>
    <w:rsid w:val="00767BC5"/>
    <w:rsid w:val="00771FBF"/>
    <w:rsid w:val="007723DB"/>
    <w:rsid w:val="00772A6C"/>
    <w:rsid w:val="00772AE7"/>
    <w:rsid w:val="00773739"/>
    <w:rsid w:val="00774CA1"/>
    <w:rsid w:val="00776E79"/>
    <w:rsid w:val="0078439B"/>
    <w:rsid w:val="00784547"/>
    <w:rsid w:val="00785E57"/>
    <w:rsid w:val="007931D6"/>
    <w:rsid w:val="00796E47"/>
    <w:rsid w:val="00797D8F"/>
    <w:rsid w:val="007A3345"/>
    <w:rsid w:val="007A41B1"/>
    <w:rsid w:val="007A4539"/>
    <w:rsid w:val="007A6CC0"/>
    <w:rsid w:val="007B11A5"/>
    <w:rsid w:val="007B190D"/>
    <w:rsid w:val="007B1C46"/>
    <w:rsid w:val="007B1D58"/>
    <w:rsid w:val="007B37FC"/>
    <w:rsid w:val="007B4273"/>
    <w:rsid w:val="007B55CE"/>
    <w:rsid w:val="007C2E96"/>
    <w:rsid w:val="007C4329"/>
    <w:rsid w:val="007C4EB4"/>
    <w:rsid w:val="007C51AD"/>
    <w:rsid w:val="007C5595"/>
    <w:rsid w:val="007C653E"/>
    <w:rsid w:val="007C7108"/>
    <w:rsid w:val="007D0A35"/>
    <w:rsid w:val="007D186E"/>
    <w:rsid w:val="007D2B51"/>
    <w:rsid w:val="007D388C"/>
    <w:rsid w:val="007D500B"/>
    <w:rsid w:val="007D5A17"/>
    <w:rsid w:val="007D60EF"/>
    <w:rsid w:val="007E01B1"/>
    <w:rsid w:val="007E10B0"/>
    <w:rsid w:val="007E15D2"/>
    <w:rsid w:val="007E275D"/>
    <w:rsid w:val="007E49FC"/>
    <w:rsid w:val="007E555A"/>
    <w:rsid w:val="007E5A8D"/>
    <w:rsid w:val="007E5AFE"/>
    <w:rsid w:val="007E7365"/>
    <w:rsid w:val="007F0737"/>
    <w:rsid w:val="007F1C08"/>
    <w:rsid w:val="007F2952"/>
    <w:rsid w:val="0080088D"/>
    <w:rsid w:val="00800AA6"/>
    <w:rsid w:val="008020AB"/>
    <w:rsid w:val="00806F94"/>
    <w:rsid w:val="0081326C"/>
    <w:rsid w:val="00815CA0"/>
    <w:rsid w:val="00820136"/>
    <w:rsid w:val="00820F6D"/>
    <w:rsid w:val="00822794"/>
    <w:rsid w:val="008232A6"/>
    <w:rsid w:val="00823896"/>
    <w:rsid w:val="00825155"/>
    <w:rsid w:val="0082634F"/>
    <w:rsid w:val="00832BB2"/>
    <w:rsid w:val="008334B5"/>
    <w:rsid w:val="00836383"/>
    <w:rsid w:val="00836B87"/>
    <w:rsid w:val="00836E1D"/>
    <w:rsid w:val="00836FAA"/>
    <w:rsid w:val="008439EC"/>
    <w:rsid w:val="00843AE9"/>
    <w:rsid w:val="00843F4C"/>
    <w:rsid w:val="00853EBF"/>
    <w:rsid w:val="00854003"/>
    <w:rsid w:val="008545D4"/>
    <w:rsid w:val="00854791"/>
    <w:rsid w:val="008611E3"/>
    <w:rsid w:val="00862777"/>
    <w:rsid w:val="00863E9A"/>
    <w:rsid w:val="00864FAC"/>
    <w:rsid w:val="008671B0"/>
    <w:rsid w:val="00867C06"/>
    <w:rsid w:val="008702FB"/>
    <w:rsid w:val="00871278"/>
    <w:rsid w:val="0087146A"/>
    <w:rsid w:val="0087299A"/>
    <w:rsid w:val="0087359F"/>
    <w:rsid w:val="00874A04"/>
    <w:rsid w:val="00875AAE"/>
    <w:rsid w:val="008761FA"/>
    <w:rsid w:val="00882DD7"/>
    <w:rsid w:val="008830E8"/>
    <w:rsid w:val="008832F8"/>
    <w:rsid w:val="00886D56"/>
    <w:rsid w:val="008873C9"/>
    <w:rsid w:val="00891185"/>
    <w:rsid w:val="008944F7"/>
    <w:rsid w:val="008A464B"/>
    <w:rsid w:val="008B05DB"/>
    <w:rsid w:val="008B092F"/>
    <w:rsid w:val="008B1AEF"/>
    <w:rsid w:val="008B3EE4"/>
    <w:rsid w:val="008C1038"/>
    <w:rsid w:val="008C1677"/>
    <w:rsid w:val="008C1F1F"/>
    <w:rsid w:val="008C255E"/>
    <w:rsid w:val="008C4D92"/>
    <w:rsid w:val="008C56BB"/>
    <w:rsid w:val="008C7F44"/>
    <w:rsid w:val="008D22E3"/>
    <w:rsid w:val="008D3E49"/>
    <w:rsid w:val="008D58C4"/>
    <w:rsid w:val="008D7522"/>
    <w:rsid w:val="008E1208"/>
    <w:rsid w:val="008E39FF"/>
    <w:rsid w:val="008E3B52"/>
    <w:rsid w:val="008E4EEF"/>
    <w:rsid w:val="008E5680"/>
    <w:rsid w:val="008E5F4C"/>
    <w:rsid w:val="008E632A"/>
    <w:rsid w:val="008F00C0"/>
    <w:rsid w:val="008F034A"/>
    <w:rsid w:val="008F29EB"/>
    <w:rsid w:val="008F5777"/>
    <w:rsid w:val="008F79DE"/>
    <w:rsid w:val="00902E65"/>
    <w:rsid w:val="0090376C"/>
    <w:rsid w:val="00903C60"/>
    <w:rsid w:val="009040A2"/>
    <w:rsid w:val="00906864"/>
    <w:rsid w:val="00906C33"/>
    <w:rsid w:val="00911934"/>
    <w:rsid w:val="00911F28"/>
    <w:rsid w:val="009132DE"/>
    <w:rsid w:val="00913C99"/>
    <w:rsid w:val="00913EDD"/>
    <w:rsid w:val="00913F11"/>
    <w:rsid w:val="00914189"/>
    <w:rsid w:val="009150AE"/>
    <w:rsid w:val="00922360"/>
    <w:rsid w:val="009325D5"/>
    <w:rsid w:val="0093529A"/>
    <w:rsid w:val="00936252"/>
    <w:rsid w:val="009362A9"/>
    <w:rsid w:val="009409E8"/>
    <w:rsid w:val="00941637"/>
    <w:rsid w:val="00942F73"/>
    <w:rsid w:val="00943F33"/>
    <w:rsid w:val="009511B9"/>
    <w:rsid w:val="00952DD8"/>
    <w:rsid w:val="00956139"/>
    <w:rsid w:val="009563A4"/>
    <w:rsid w:val="00956FC8"/>
    <w:rsid w:val="00957D08"/>
    <w:rsid w:val="00965B05"/>
    <w:rsid w:val="0097014C"/>
    <w:rsid w:val="00973848"/>
    <w:rsid w:val="00973E89"/>
    <w:rsid w:val="00976D7C"/>
    <w:rsid w:val="009803B0"/>
    <w:rsid w:val="00980474"/>
    <w:rsid w:val="00985F1C"/>
    <w:rsid w:val="009933A7"/>
    <w:rsid w:val="00993CDA"/>
    <w:rsid w:val="009964AC"/>
    <w:rsid w:val="009A166F"/>
    <w:rsid w:val="009A1A80"/>
    <w:rsid w:val="009A1BA3"/>
    <w:rsid w:val="009A1EFB"/>
    <w:rsid w:val="009A2EA7"/>
    <w:rsid w:val="009A3D3B"/>
    <w:rsid w:val="009A40D1"/>
    <w:rsid w:val="009A4A64"/>
    <w:rsid w:val="009A71C7"/>
    <w:rsid w:val="009B1D7E"/>
    <w:rsid w:val="009B20B2"/>
    <w:rsid w:val="009B24E1"/>
    <w:rsid w:val="009B4062"/>
    <w:rsid w:val="009B555F"/>
    <w:rsid w:val="009B601F"/>
    <w:rsid w:val="009B66A9"/>
    <w:rsid w:val="009C0CE7"/>
    <w:rsid w:val="009C0E29"/>
    <w:rsid w:val="009C1A93"/>
    <w:rsid w:val="009C281A"/>
    <w:rsid w:val="009C61E0"/>
    <w:rsid w:val="009C7C7C"/>
    <w:rsid w:val="009C7CF0"/>
    <w:rsid w:val="009D080F"/>
    <w:rsid w:val="009D105F"/>
    <w:rsid w:val="009D227B"/>
    <w:rsid w:val="009D318D"/>
    <w:rsid w:val="009D3E66"/>
    <w:rsid w:val="009D46D5"/>
    <w:rsid w:val="009D4C50"/>
    <w:rsid w:val="009D6611"/>
    <w:rsid w:val="009E00F7"/>
    <w:rsid w:val="009E145D"/>
    <w:rsid w:val="009E1932"/>
    <w:rsid w:val="009E1A1D"/>
    <w:rsid w:val="009E1BFB"/>
    <w:rsid w:val="009E2320"/>
    <w:rsid w:val="009E5853"/>
    <w:rsid w:val="009E6BAE"/>
    <w:rsid w:val="009F1215"/>
    <w:rsid w:val="009F14ED"/>
    <w:rsid w:val="009F2FDB"/>
    <w:rsid w:val="009F60B4"/>
    <w:rsid w:val="009F6685"/>
    <w:rsid w:val="009F70D6"/>
    <w:rsid w:val="00A00110"/>
    <w:rsid w:val="00A0031A"/>
    <w:rsid w:val="00A045A7"/>
    <w:rsid w:val="00A0501C"/>
    <w:rsid w:val="00A10B3E"/>
    <w:rsid w:val="00A12403"/>
    <w:rsid w:val="00A138E2"/>
    <w:rsid w:val="00A13A50"/>
    <w:rsid w:val="00A15BFC"/>
    <w:rsid w:val="00A161C4"/>
    <w:rsid w:val="00A21360"/>
    <w:rsid w:val="00A24608"/>
    <w:rsid w:val="00A258E7"/>
    <w:rsid w:val="00A3114A"/>
    <w:rsid w:val="00A3259F"/>
    <w:rsid w:val="00A354FE"/>
    <w:rsid w:val="00A356E2"/>
    <w:rsid w:val="00A40C03"/>
    <w:rsid w:val="00A43486"/>
    <w:rsid w:val="00A43AE3"/>
    <w:rsid w:val="00A504CD"/>
    <w:rsid w:val="00A529E2"/>
    <w:rsid w:val="00A54575"/>
    <w:rsid w:val="00A55943"/>
    <w:rsid w:val="00A576B5"/>
    <w:rsid w:val="00A57C4D"/>
    <w:rsid w:val="00A60FBE"/>
    <w:rsid w:val="00A627AB"/>
    <w:rsid w:val="00A62881"/>
    <w:rsid w:val="00A64898"/>
    <w:rsid w:val="00A67615"/>
    <w:rsid w:val="00A70F9D"/>
    <w:rsid w:val="00A7232C"/>
    <w:rsid w:val="00A73764"/>
    <w:rsid w:val="00A74010"/>
    <w:rsid w:val="00A76094"/>
    <w:rsid w:val="00A768B6"/>
    <w:rsid w:val="00A7727F"/>
    <w:rsid w:val="00A81654"/>
    <w:rsid w:val="00A84427"/>
    <w:rsid w:val="00A85898"/>
    <w:rsid w:val="00A8654B"/>
    <w:rsid w:val="00A87C99"/>
    <w:rsid w:val="00A9089D"/>
    <w:rsid w:val="00A90F43"/>
    <w:rsid w:val="00A92054"/>
    <w:rsid w:val="00A925E6"/>
    <w:rsid w:val="00A929B0"/>
    <w:rsid w:val="00A94259"/>
    <w:rsid w:val="00AA0AF3"/>
    <w:rsid w:val="00AA0BFB"/>
    <w:rsid w:val="00AA111B"/>
    <w:rsid w:val="00AA1B6E"/>
    <w:rsid w:val="00AA54ED"/>
    <w:rsid w:val="00AA60DF"/>
    <w:rsid w:val="00AA77E1"/>
    <w:rsid w:val="00AA78D4"/>
    <w:rsid w:val="00AA7A2D"/>
    <w:rsid w:val="00AA7CD9"/>
    <w:rsid w:val="00AB07E2"/>
    <w:rsid w:val="00AC0885"/>
    <w:rsid w:val="00AC73CD"/>
    <w:rsid w:val="00AD0D70"/>
    <w:rsid w:val="00AD115A"/>
    <w:rsid w:val="00AD248C"/>
    <w:rsid w:val="00AD24F9"/>
    <w:rsid w:val="00AD4EB9"/>
    <w:rsid w:val="00AD6CCA"/>
    <w:rsid w:val="00AD760F"/>
    <w:rsid w:val="00AD7D8A"/>
    <w:rsid w:val="00AE08F4"/>
    <w:rsid w:val="00AE1153"/>
    <w:rsid w:val="00AE1445"/>
    <w:rsid w:val="00AE2FBB"/>
    <w:rsid w:val="00AE4D9E"/>
    <w:rsid w:val="00AE668D"/>
    <w:rsid w:val="00AE66B3"/>
    <w:rsid w:val="00AF3225"/>
    <w:rsid w:val="00AF3DD7"/>
    <w:rsid w:val="00AF528A"/>
    <w:rsid w:val="00AF5C70"/>
    <w:rsid w:val="00AF651C"/>
    <w:rsid w:val="00AF6616"/>
    <w:rsid w:val="00B039E1"/>
    <w:rsid w:val="00B050CD"/>
    <w:rsid w:val="00B051AC"/>
    <w:rsid w:val="00B05AC8"/>
    <w:rsid w:val="00B06DF5"/>
    <w:rsid w:val="00B1572C"/>
    <w:rsid w:val="00B17084"/>
    <w:rsid w:val="00B17D02"/>
    <w:rsid w:val="00B17DD6"/>
    <w:rsid w:val="00B21C4A"/>
    <w:rsid w:val="00B239C3"/>
    <w:rsid w:val="00B24C4C"/>
    <w:rsid w:val="00B30446"/>
    <w:rsid w:val="00B3216B"/>
    <w:rsid w:val="00B348CC"/>
    <w:rsid w:val="00B35EC9"/>
    <w:rsid w:val="00B3647A"/>
    <w:rsid w:val="00B37149"/>
    <w:rsid w:val="00B37564"/>
    <w:rsid w:val="00B403A3"/>
    <w:rsid w:val="00B4066F"/>
    <w:rsid w:val="00B40B10"/>
    <w:rsid w:val="00B40C5C"/>
    <w:rsid w:val="00B41C26"/>
    <w:rsid w:val="00B43040"/>
    <w:rsid w:val="00B436B3"/>
    <w:rsid w:val="00B4373B"/>
    <w:rsid w:val="00B45027"/>
    <w:rsid w:val="00B46550"/>
    <w:rsid w:val="00B50BAB"/>
    <w:rsid w:val="00B50C89"/>
    <w:rsid w:val="00B5251F"/>
    <w:rsid w:val="00B52E81"/>
    <w:rsid w:val="00B52F0B"/>
    <w:rsid w:val="00B52F9D"/>
    <w:rsid w:val="00B53163"/>
    <w:rsid w:val="00B56C55"/>
    <w:rsid w:val="00B60EBF"/>
    <w:rsid w:val="00B62DD2"/>
    <w:rsid w:val="00B64770"/>
    <w:rsid w:val="00B66457"/>
    <w:rsid w:val="00B67600"/>
    <w:rsid w:val="00B67F9F"/>
    <w:rsid w:val="00B7007A"/>
    <w:rsid w:val="00B717C8"/>
    <w:rsid w:val="00B73283"/>
    <w:rsid w:val="00B742A4"/>
    <w:rsid w:val="00B748BA"/>
    <w:rsid w:val="00B761D9"/>
    <w:rsid w:val="00B8094E"/>
    <w:rsid w:val="00B81F1D"/>
    <w:rsid w:val="00B83C06"/>
    <w:rsid w:val="00B85089"/>
    <w:rsid w:val="00B858B0"/>
    <w:rsid w:val="00B90D12"/>
    <w:rsid w:val="00B91485"/>
    <w:rsid w:val="00B91734"/>
    <w:rsid w:val="00B96BCC"/>
    <w:rsid w:val="00B97C60"/>
    <w:rsid w:val="00BA7583"/>
    <w:rsid w:val="00BB0ED7"/>
    <w:rsid w:val="00BB3608"/>
    <w:rsid w:val="00BB3F78"/>
    <w:rsid w:val="00BB5340"/>
    <w:rsid w:val="00BB57D1"/>
    <w:rsid w:val="00BB6AF0"/>
    <w:rsid w:val="00BB7619"/>
    <w:rsid w:val="00BC0649"/>
    <w:rsid w:val="00BC589C"/>
    <w:rsid w:val="00BC59D0"/>
    <w:rsid w:val="00BC5BAA"/>
    <w:rsid w:val="00BC65D1"/>
    <w:rsid w:val="00BD1CBF"/>
    <w:rsid w:val="00BD6781"/>
    <w:rsid w:val="00BE0BD6"/>
    <w:rsid w:val="00BE1CC1"/>
    <w:rsid w:val="00BE3C74"/>
    <w:rsid w:val="00BE7FB2"/>
    <w:rsid w:val="00BF1CD9"/>
    <w:rsid w:val="00BF5351"/>
    <w:rsid w:val="00BF56B4"/>
    <w:rsid w:val="00BF71B3"/>
    <w:rsid w:val="00C00957"/>
    <w:rsid w:val="00C02775"/>
    <w:rsid w:val="00C03E46"/>
    <w:rsid w:val="00C04715"/>
    <w:rsid w:val="00C04B20"/>
    <w:rsid w:val="00C04B2D"/>
    <w:rsid w:val="00C04BF1"/>
    <w:rsid w:val="00C05FC6"/>
    <w:rsid w:val="00C06DEA"/>
    <w:rsid w:val="00C0709B"/>
    <w:rsid w:val="00C1263F"/>
    <w:rsid w:val="00C14D18"/>
    <w:rsid w:val="00C20BC8"/>
    <w:rsid w:val="00C243DB"/>
    <w:rsid w:val="00C243EC"/>
    <w:rsid w:val="00C244E7"/>
    <w:rsid w:val="00C26F8A"/>
    <w:rsid w:val="00C307C1"/>
    <w:rsid w:val="00C310D3"/>
    <w:rsid w:val="00C31133"/>
    <w:rsid w:val="00C31587"/>
    <w:rsid w:val="00C31C71"/>
    <w:rsid w:val="00C40D50"/>
    <w:rsid w:val="00C41309"/>
    <w:rsid w:val="00C41A73"/>
    <w:rsid w:val="00C44893"/>
    <w:rsid w:val="00C50057"/>
    <w:rsid w:val="00C5119C"/>
    <w:rsid w:val="00C52DE4"/>
    <w:rsid w:val="00C574D2"/>
    <w:rsid w:val="00C61DED"/>
    <w:rsid w:val="00C62B03"/>
    <w:rsid w:val="00C63E83"/>
    <w:rsid w:val="00C6516F"/>
    <w:rsid w:val="00C66E7C"/>
    <w:rsid w:val="00C67A07"/>
    <w:rsid w:val="00C70AC0"/>
    <w:rsid w:val="00C70C36"/>
    <w:rsid w:val="00C743C9"/>
    <w:rsid w:val="00C756B5"/>
    <w:rsid w:val="00C775C2"/>
    <w:rsid w:val="00C8098A"/>
    <w:rsid w:val="00C81E0E"/>
    <w:rsid w:val="00C93B3D"/>
    <w:rsid w:val="00C9539B"/>
    <w:rsid w:val="00C9738A"/>
    <w:rsid w:val="00C97B79"/>
    <w:rsid w:val="00C97E1A"/>
    <w:rsid w:val="00CA3D97"/>
    <w:rsid w:val="00CA53F3"/>
    <w:rsid w:val="00CA688C"/>
    <w:rsid w:val="00CA7F94"/>
    <w:rsid w:val="00CB0624"/>
    <w:rsid w:val="00CB496F"/>
    <w:rsid w:val="00CB4C06"/>
    <w:rsid w:val="00CB4D33"/>
    <w:rsid w:val="00CB5788"/>
    <w:rsid w:val="00CB6C5D"/>
    <w:rsid w:val="00CB6EC8"/>
    <w:rsid w:val="00CC3818"/>
    <w:rsid w:val="00CC3DCF"/>
    <w:rsid w:val="00CC68DA"/>
    <w:rsid w:val="00CC7268"/>
    <w:rsid w:val="00CD1150"/>
    <w:rsid w:val="00CD1511"/>
    <w:rsid w:val="00CD26AB"/>
    <w:rsid w:val="00CD43A0"/>
    <w:rsid w:val="00CD6740"/>
    <w:rsid w:val="00CD7B1C"/>
    <w:rsid w:val="00CE1BC9"/>
    <w:rsid w:val="00CE5834"/>
    <w:rsid w:val="00CE6F33"/>
    <w:rsid w:val="00CF1294"/>
    <w:rsid w:val="00CF2407"/>
    <w:rsid w:val="00CF4300"/>
    <w:rsid w:val="00CF6F27"/>
    <w:rsid w:val="00CF7313"/>
    <w:rsid w:val="00CF778B"/>
    <w:rsid w:val="00D00CC0"/>
    <w:rsid w:val="00D03DDC"/>
    <w:rsid w:val="00D06E49"/>
    <w:rsid w:val="00D07D3C"/>
    <w:rsid w:val="00D140F8"/>
    <w:rsid w:val="00D1556C"/>
    <w:rsid w:val="00D156BC"/>
    <w:rsid w:val="00D156F3"/>
    <w:rsid w:val="00D200FC"/>
    <w:rsid w:val="00D209CF"/>
    <w:rsid w:val="00D22463"/>
    <w:rsid w:val="00D23D25"/>
    <w:rsid w:val="00D258D0"/>
    <w:rsid w:val="00D263E3"/>
    <w:rsid w:val="00D2654D"/>
    <w:rsid w:val="00D27894"/>
    <w:rsid w:val="00D27D78"/>
    <w:rsid w:val="00D300D3"/>
    <w:rsid w:val="00D3094D"/>
    <w:rsid w:val="00D30D1A"/>
    <w:rsid w:val="00D30D94"/>
    <w:rsid w:val="00D32954"/>
    <w:rsid w:val="00D33E40"/>
    <w:rsid w:val="00D4058B"/>
    <w:rsid w:val="00D411B5"/>
    <w:rsid w:val="00D413E4"/>
    <w:rsid w:val="00D4349C"/>
    <w:rsid w:val="00D44248"/>
    <w:rsid w:val="00D44B0E"/>
    <w:rsid w:val="00D46F80"/>
    <w:rsid w:val="00D52DD5"/>
    <w:rsid w:val="00D53295"/>
    <w:rsid w:val="00D55F79"/>
    <w:rsid w:val="00D56EC1"/>
    <w:rsid w:val="00D574FF"/>
    <w:rsid w:val="00D57DDB"/>
    <w:rsid w:val="00D60D40"/>
    <w:rsid w:val="00D62F84"/>
    <w:rsid w:val="00D643C4"/>
    <w:rsid w:val="00D648D0"/>
    <w:rsid w:val="00D66A40"/>
    <w:rsid w:val="00D7046C"/>
    <w:rsid w:val="00D7144C"/>
    <w:rsid w:val="00D72DBF"/>
    <w:rsid w:val="00D770DF"/>
    <w:rsid w:val="00D80795"/>
    <w:rsid w:val="00D817C8"/>
    <w:rsid w:val="00D82FB6"/>
    <w:rsid w:val="00D84F2E"/>
    <w:rsid w:val="00D85841"/>
    <w:rsid w:val="00D85D24"/>
    <w:rsid w:val="00D8739A"/>
    <w:rsid w:val="00D9153A"/>
    <w:rsid w:val="00D93AA8"/>
    <w:rsid w:val="00D9476D"/>
    <w:rsid w:val="00D971BE"/>
    <w:rsid w:val="00DA080C"/>
    <w:rsid w:val="00DB4E21"/>
    <w:rsid w:val="00DB7999"/>
    <w:rsid w:val="00DC180C"/>
    <w:rsid w:val="00DC38DA"/>
    <w:rsid w:val="00DC4DF4"/>
    <w:rsid w:val="00DC4E35"/>
    <w:rsid w:val="00DC51D4"/>
    <w:rsid w:val="00DC6F37"/>
    <w:rsid w:val="00DC731B"/>
    <w:rsid w:val="00DC77D1"/>
    <w:rsid w:val="00DD043A"/>
    <w:rsid w:val="00DD1047"/>
    <w:rsid w:val="00DD11F9"/>
    <w:rsid w:val="00DD13CC"/>
    <w:rsid w:val="00DD3772"/>
    <w:rsid w:val="00DD4018"/>
    <w:rsid w:val="00DD707B"/>
    <w:rsid w:val="00DD7574"/>
    <w:rsid w:val="00DE3299"/>
    <w:rsid w:val="00DE3C39"/>
    <w:rsid w:val="00DF039E"/>
    <w:rsid w:val="00DF0744"/>
    <w:rsid w:val="00DF1901"/>
    <w:rsid w:val="00DF33E8"/>
    <w:rsid w:val="00DF7AD5"/>
    <w:rsid w:val="00E01DB9"/>
    <w:rsid w:val="00E06B28"/>
    <w:rsid w:val="00E07AA6"/>
    <w:rsid w:val="00E1026D"/>
    <w:rsid w:val="00E115BA"/>
    <w:rsid w:val="00E124BC"/>
    <w:rsid w:val="00E13843"/>
    <w:rsid w:val="00E1588F"/>
    <w:rsid w:val="00E16F75"/>
    <w:rsid w:val="00E200D7"/>
    <w:rsid w:val="00E20B51"/>
    <w:rsid w:val="00E20DD0"/>
    <w:rsid w:val="00E23004"/>
    <w:rsid w:val="00E2382F"/>
    <w:rsid w:val="00E25448"/>
    <w:rsid w:val="00E2598F"/>
    <w:rsid w:val="00E3193C"/>
    <w:rsid w:val="00E3255B"/>
    <w:rsid w:val="00E35590"/>
    <w:rsid w:val="00E37376"/>
    <w:rsid w:val="00E3765D"/>
    <w:rsid w:val="00E37872"/>
    <w:rsid w:val="00E401B8"/>
    <w:rsid w:val="00E42F62"/>
    <w:rsid w:val="00E469D2"/>
    <w:rsid w:val="00E521FC"/>
    <w:rsid w:val="00E5276C"/>
    <w:rsid w:val="00E532C8"/>
    <w:rsid w:val="00E53649"/>
    <w:rsid w:val="00E53B13"/>
    <w:rsid w:val="00E540C1"/>
    <w:rsid w:val="00E557F3"/>
    <w:rsid w:val="00E55EB7"/>
    <w:rsid w:val="00E60822"/>
    <w:rsid w:val="00E635E7"/>
    <w:rsid w:val="00E646F6"/>
    <w:rsid w:val="00E67979"/>
    <w:rsid w:val="00E703B7"/>
    <w:rsid w:val="00E717BD"/>
    <w:rsid w:val="00E77235"/>
    <w:rsid w:val="00E77994"/>
    <w:rsid w:val="00E80F82"/>
    <w:rsid w:val="00E84C3C"/>
    <w:rsid w:val="00E86FBB"/>
    <w:rsid w:val="00E9296B"/>
    <w:rsid w:val="00E92B64"/>
    <w:rsid w:val="00E9334F"/>
    <w:rsid w:val="00E94ADF"/>
    <w:rsid w:val="00E94F98"/>
    <w:rsid w:val="00E957A8"/>
    <w:rsid w:val="00E95B12"/>
    <w:rsid w:val="00E95CF3"/>
    <w:rsid w:val="00E97AFF"/>
    <w:rsid w:val="00EA1EA4"/>
    <w:rsid w:val="00EA311E"/>
    <w:rsid w:val="00EA6B60"/>
    <w:rsid w:val="00EA70EA"/>
    <w:rsid w:val="00EB069E"/>
    <w:rsid w:val="00EB0D43"/>
    <w:rsid w:val="00EB3CB0"/>
    <w:rsid w:val="00EB4E05"/>
    <w:rsid w:val="00EB522B"/>
    <w:rsid w:val="00EB6982"/>
    <w:rsid w:val="00EC354A"/>
    <w:rsid w:val="00EC45CA"/>
    <w:rsid w:val="00EC59A5"/>
    <w:rsid w:val="00EC6413"/>
    <w:rsid w:val="00ED0E14"/>
    <w:rsid w:val="00ED16C7"/>
    <w:rsid w:val="00ED4611"/>
    <w:rsid w:val="00ED5B35"/>
    <w:rsid w:val="00ED6AD9"/>
    <w:rsid w:val="00EE1DAE"/>
    <w:rsid w:val="00EE22B9"/>
    <w:rsid w:val="00EE2EB0"/>
    <w:rsid w:val="00EE2FC3"/>
    <w:rsid w:val="00EF2819"/>
    <w:rsid w:val="00EF37B0"/>
    <w:rsid w:val="00EF43A5"/>
    <w:rsid w:val="00EF5792"/>
    <w:rsid w:val="00EF7192"/>
    <w:rsid w:val="00F01630"/>
    <w:rsid w:val="00F01AFF"/>
    <w:rsid w:val="00F07FE5"/>
    <w:rsid w:val="00F12958"/>
    <w:rsid w:val="00F14F09"/>
    <w:rsid w:val="00F16064"/>
    <w:rsid w:val="00F162DD"/>
    <w:rsid w:val="00F16A05"/>
    <w:rsid w:val="00F20498"/>
    <w:rsid w:val="00F2098A"/>
    <w:rsid w:val="00F21926"/>
    <w:rsid w:val="00F23133"/>
    <w:rsid w:val="00F268DD"/>
    <w:rsid w:val="00F26DE8"/>
    <w:rsid w:val="00F30AA2"/>
    <w:rsid w:val="00F325CF"/>
    <w:rsid w:val="00F340B2"/>
    <w:rsid w:val="00F35FE5"/>
    <w:rsid w:val="00F367BE"/>
    <w:rsid w:val="00F36C05"/>
    <w:rsid w:val="00F41EA7"/>
    <w:rsid w:val="00F524F0"/>
    <w:rsid w:val="00F53F1C"/>
    <w:rsid w:val="00F54780"/>
    <w:rsid w:val="00F57041"/>
    <w:rsid w:val="00F57908"/>
    <w:rsid w:val="00F57978"/>
    <w:rsid w:val="00F6217D"/>
    <w:rsid w:val="00F63F41"/>
    <w:rsid w:val="00F65FED"/>
    <w:rsid w:val="00F66FB2"/>
    <w:rsid w:val="00F70AD6"/>
    <w:rsid w:val="00F719DF"/>
    <w:rsid w:val="00F720E5"/>
    <w:rsid w:val="00F72B61"/>
    <w:rsid w:val="00F76A5E"/>
    <w:rsid w:val="00F76AAA"/>
    <w:rsid w:val="00F76DEB"/>
    <w:rsid w:val="00F804D0"/>
    <w:rsid w:val="00F843E6"/>
    <w:rsid w:val="00F84749"/>
    <w:rsid w:val="00F860B1"/>
    <w:rsid w:val="00F8633A"/>
    <w:rsid w:val="00F912A4"/>
    <w:rsid w:val="00F912D0"/>
    <w:rsid w:val="00F92822"/>
    <w:rsid w:val="00F96C80"/>
    <w:rsid w:val="00FA5F5A"/>
    <w:rsid w:val="00FA7BFE"/>
    <w:rsid w:val="00FB0AF2"/>
    <w:rsid w:val="00FB11D3"/>
    <w:rsid w:val="00FB47A5"/>
    <w:rsid w:val="00FD27CA"/>
    <w:rsid w:val="00FD47F5"/>
    <w:rsid w:val="00FE039E"/>
    <w:rsid w:val="00FE39E3"/>
    <w:rsid w:val="00FE4B8C"/>
    <w:rsid w:val="00FE4CC6"/>
    <w:rsid w:val="00FE5456"/>
    <w:rsid w:val="00FE5C1F"/>
    <w:rsid w:val="00FF3278"/>
    <w:rsid w:val="00FF41BD"/>
    <w:rsid w:val="00FF4C98"/>
    <w:rsid w:val="00FF633C"/>
    <w:rsid w:val="00FF69AE"/>
    <w:rsid w:val="00FF6D0D"/>
    <w:rsid w:val="00FF700C"/>
    <w:rsid w:val="00FF72FF"/>
    <w:rsid w:val="00FF78A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190D"/>
    <w:rPr>
      <w:sz w:val="24"/>
      <w:szCs w:val="24"/>
    </w:rPr>
  </w:style>
  <w:style w:type="paragraph" w:styleId="Heading2">
    <w:name w:val="heading 2"/>
    <w:basedOn w:val="Normal"/>
    <w:next w:val="Normal"/>
    <w:link w:val="Heading2Char"/>
    <w:qFormat/>
    <w:rsid w:val="008D7522"/>
    <w:pPr>
      <w:keepNext/>
      <w:spacing w:before="60" w:after="60" w:line="240" w:lineRule="atLeast"/>
      <w:outlineLvl w:val="1"/>
    </w:pPr>
    <w:rPr>
      <w:rFonts w:ascii="HelveticaNeueLT Std" w:hAnsi="HelveticaNeueLT Std"/>
      <w:b/>
      <w:bCs/>
      <w:iCs/>
      <w:sz w:val="28"/>
      <w:szCs w:val="28"/>
    </w:rPr>
  </w:style>
  <w:style w:type="paragraph" w:styleId="Heading3">
    <w:name w:val="heading 3"/>
    <w:basedOn w:val="Normal"/>
    <w:next w:val="Normal"/>
    <w:link w:val="Heading3Char"/>
    <w:qFormat/>
    <w:rsid w:val="008D7522"/>
    <w:pPr>
      <w:keepNext/>
      <w:spacing w:before="60" w:after="60" w:line="240" w:lineRule="atLeast"/>
      <w:outlineLvl w:val="2"/>
    </w:pPr>
    <w:rPr>
      <w:rFonts w:ascii="HelveticaNeueLT Std" w:hAnsi="HelveticaNeueLT Std"/>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B190D"/>
    <w:pPr>
      <w:spacing w:after="120"/>
    </w:pPr>
    <w:rPr>
      <w:szCs w:val="20"/>
    </w:rPr>
  </w:style>
  <w:style w:type="character" w:styleId="CommentReference">
    <w:name w:val="annotation reference"/>
    <w:semiHidden/>
    <w:rsid w:val="007B190D"/>
    <w:rPr>
      <w:sz w:val="16"/>
      <w:szCs w:val="16"/>
    </w:rPr>
  </w:style>
  <w:style w:type="paragraph" w:styleId="CommentText">
    <w:name w:val="annotation text"/>
    <w:basedOn w:val="Normal"/>
    <w:link w:val="CommentTextChar"/>
    <w:semiHidden/>
    <w:rsid w:val="007B190D"/>
    <w:rPr>
      <w:sz w:val="20"/>
      <w:szCs w:val="20"/>
    </w:rPr>
  </w:style>
  <w:style w:type="paragraph" w:customStyle="1" w:styleId="P1">
    <w:name w:val="P1"/>
    <w:aliases w:val="(a)"/>
    <w:basedOn w:val="Normal"/>
    <w:rsid w:val="007B190D"/>
    <w:pPr>
      <w:tabs>
        <w:tab w:val="right" w:pos="1080"/>
      </w:tabs>
      <w:spacing w:before="40" w:line="260" w:lineRule="atLeast"/>
      <w:ind w:left="1276" w:hanging="1280"/>
      <w:jc w:val="both"/>
    </w:pPr>
    <w:rPr>
      <w:rFonts w:ascii="Times" w:hAnsi="Times"/>
      <w:sz w:val="26"/>
      <w:szCs w:val="20"/>
    </w:rPr>
  </w:style>
  <w:style w:type="paragraph" w:styleId="Footer">
    <w:name w:val="footer"/>
    <w:basedOn w:val="Normal"/>
    <w:rsid w:val="007B190D"/>
    <w:pPr>
      <w:tabs>
        <w:tab w:val="center" w:pos="4153"/>
        <w:tab w:val="right" w:pos="8306"/>
      </w:tabs>
    </w:pPr>
  </w:style>
  <w:style w:type="character" w:styleId="PageNumber">
    <w:name w:val="page number"/>
    <w:basedOn w:val="DefaultParagraphFont"/>
    <w:rsid w:val="007B190D"/>
  </w:style>
  <w:style w:type="paragraph" w:styleId="BalloonText">
    <w:name w:val="Balloon Text"/>
    <w:basedOn w:val="Normal"/>
    <w:semiHidden/>
    <w:rsid w:val="007B190D"/>
    <w:rPr>
      <w:rFonts w:ascii="Tahoma" w:hAnsi="Tahoma" w:cs="Tahoma"/>
      <w:sz w:val="16"/>
      <w:szCs w:val="16"/>
    </w:rPr>
  </w:style>
  <w:style w:type="paragraph" w:styleId="Header">
    <w:name w:val="header"/>
    <w:basedOn w:val="Normal"/>
    <w:rsid w:val="009E2320"/>
    <w:pPr>
      <w:tabs>
        <w:tab w:val="center" w:pos="4320"/>
        <w:tab w:val="right" w:pos="8640"/>
      </w:tabs>
      <w:spacing w:before="80" w:after="120" w:line="280" w:lineRule="atLeast"/>
    </w:pPr>
    <w:rPr>
      <w:lang w:eastAsia="en-US"/>
    </w:rPr>
  </w:style>
  <w:style w:type="paragraph" w:customStyle="1" w:styleId="ACMABodyText">
    <w:name w:val="ACMA Body Text"/>
    <w:rsid w:val="009E2320"/>
    <w:pPr>
      <w:suppressAutoHyphens/>
      <w:spacing w:before="80" w:after="120" w:line="280" w:lineRule="atLeast"/>
    </w:pPr>
    <w:rPr>
      <w:snapToGrid w:val="0"/>
      <w:sz w:val="24"/>
      <w:lang w:eastAsia="en-US"/>
    </w:rPr>
  </w:style>
  <w:style w:type="paragraph" w:customStyle="1" w:styleId="ACMABulletLevel1">
    <w:name w:val="ACMA Bullet Level 1"/>
    <w:rsid w:val="009E2320"/>
    <w:pPr>
      <w:numPr>
        <w:numId w:val="4"/>
      </w:numPr>
      <w:spacing w:after="120"/>
    </w:pPr>
    <w:rPr>
      <w:sz w:val="24"/>
      <w:lang w:eastAsia="en-US"/>
    </w:rPr>
  </w:style>
  <w:style w:type="paragraph" w:customStyle="1" w:styleId="ACMAContentsHeading">
    <w:name w:val="ACMA Contents Heading"/>
    <w:rsid w:val="009E2320"/>
    <w:pPr>
      <w:spacing w:before="2160" w:after="480"/>
    </w:pPr>
    <w:rPr>
      <w:sz w:val="56"/>
      <w:szCs w:val="56"/>
      <w:lang w:val="en-US" w:eastAsia="en-US"/>
    </w:rPr>
  </w:style>
  <w:style w:type="paragraph" w:customStyle="1" w:styleId="ACMAFooterEven">
    <w:name w:val="ACMA Footer (Even)"/>
    <w:rsid w:val="009E2320"/>
    <w:pPr>
      <w:pBdr>
        <w:top w:val="single" w:sz="2" w:space="4" w:color="auto"/>
      </w:pBdr>
      <w:tabs>
        <w:tab w:val="right" w:pos="8959"/>
      </w:tabs>
    </w:pPr>
    <w:rPr>
      <w:lang w:eastAsia="en-US"/>
    </w:rPr>
  </w:style>
  <w:style w:type="paragraph" w:customStyle="1" w:styleId="ACMAFooterOdd">
    <w:name w:val="ACMA Footer (Odd)"/>
    <w:rsid w:val="009E2320"/>
    <w:pPr>
      <w:pBdr>
        <w:top w:val="single" w:sz="2" w:space="4" w:color="auto"/>
      </w:pBdr>
      <w:tabs>
        <w:tab w:val="right" w:pos="8959"/>
      </w:tabs>
    </w:pPr>
    <w:rPr>
      <w:lang w:eastAsia="en-US"/>
    </w:rPr>
  </w:style>
  <w:style w:type="paragraph" w:customStyle="1" w:styleId="ACMAHeaderEven">
    <w:name w:val="ACMA Header (Even)"/>
    <w:rsid w:val="009E2320"/>
    <w:rPr>
      <w:i/>
      <w:lang w:val="en-US" w:eastAsia="en-US"/>
    </w:rPr>
  </w:style>
  <w:style w:type="paragraph" w:customStyle="1" w:styleId="ACMAHeaderOdd">
    <w:name w:val="ACMA Header (Odd)"/>
    <w:rsid w:val="009E2320"/>
    <w:pPr>
      <w:jc w:val="right"/>
    </w:pPr>
    <w:rPr>
      <w:i/>
      <w:lang w:val="en-US" w:eastAsia="en-US"/>
    </w:rPr>
  </w:style>
  <w:style w:type="paragraph" w:customStyle="1" w:styleId="ACMAHeading1">
    <w:name w:val="ACMA Heading 1"/>
    <w:next w:val="ACMABodyText"/>
    <w:link w:val="ACMAHeading1Char"/>
    <w:rsid w:val="009E2320"/>
    <w:pPr>
      <w:keepNext/>
      <w:suppressAutoHyphens/>
      <w:spacing w:before="320"/>
      <w:outlineLvl w:val="1"/>
    </w:pPr>
    <w:rPr>
      <w:rFonts w:ascii="Arial" w:hAnsi="Arial"/>
      <w:b/>
      <w:sz w:val="32"/>
      <w:szCs w:val="32"/>
      <w:lang w:val="en-US" w:eastAsia="en-US"/>
    </w:rPr>
  </w:style>
  <w:style w:type="paragraph" w:customStyle="1" w:styleId="ACMAletteredlist">
    <w:name w:val="ACMA lettered list"/>
    <w:rsid w:val="009E2320"/>
    <w:pPr>
      <w:numPr>
        <w:numId w:val="5"/>
      </w:numPr>
      <w:spacing w:before="20" w:after="20"/>
    </w:pPr>
    <w:rPr>
      <w:sz w:val="24"/>
      <w:lang w:eastAsia="en-US"/>
    </w:rPr>
  </w:style>
  <w:style w:type="paragraph" w:customStyle="1" w:styleId="ACMAReportDate">
    <w:name w:val="ACMA Report Date"/>
    <w:rsid w:val="009E2320"/>
    <w:rPr>
      <w:snapToGrid w:val="0"/>
      <w:lang w:eastAsia="en-US"/>
    </w:rPr>
  </w:style>
  <w:style w:type="paragraph" w:customStyle="1" w:styleId="ACMAReportImprint">
    <w:name w:val="ACMA Report Imprint"/>
    <w:rsid w:val="009E2320"/>
    <w:pPr>
      <w:spacing w:after="80"/>
    </w:pPr>
    <w:rPr>
      <w:rFonts w:cs="Arial"/>
      <w:lang w:eastAsia="en-US"/>
    </w:rPr>
  </w:style>
  <w:style w:type="paragraph" w:customStyle="1" w:styleId="ACMAReportSubtitle">
    <w:name w:val="ACMA Report Subtitle"/>
    <w:rsid w:val="009E2320"/>
    <w:pPr>
      <w:spacing w:before="1440"/>
    </w:pPr>
    <w:rPr>
      <w:sz w:val="36"/>
      <w:lang w:eastAsia="en-US"/>
    </w:rPr>
  </w:style>
  <w:style w:type="character" w:styleId="Hyperlink">
    <w:name w:val="Hyperlink"/>
    <w:rsid w:val="009E2320"/>
    <w:rPr>
      <w:color w:val="0000FF"/>
      <w:u w:val="single"/>
    </w:rPr>
  </w:style>
  <w:style w:type="table" w:styleId="TableGrid">
    <w:name w:val="Table Grid"/>
    <w:basedOn w:val="TableNormal"/>
    <w:rsid w:val="009E2320"/>
    <w:pPr>
      <w:spacing w:before="80" w:after="120"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aliases w:val="ACMA 2"/>
    <w:rsid w:val="009E2320"/>
    <w:pPr>
      <w:spacing w:before="240"/>
    </w:pPr>
    <w:rPr>
      <w:bCs/>
      <w:sz w:val="22"/>
      <w:szCs w:val="24"/>
      <w:lang w:eastAsia="en-US"/>
    </w:rPr>
  </w:style>
  <w:style w:type="character" w:customStyle="1" w:styleId="ACMAHeading1Char">
    <w:name w:val="ACMA Heading 1 Char"/>
    <w:link w:val="ACMAHeading1"/>
    <w:rsid w:val="009E2320"/>
    <w:rPr>
      <w:rFonts w:ascii="Arial" w:hAnsi="Arial"/>
      <w:b/>
      <w:sz w:val="32"/>
      <w:szCs w:val="32"/>
      <w:lang w:val="en-US" w:eastAsia="en-US" w:bidi="ar-SA"/>
    </w:rPr>
  </w:style>
  <w:style w:type="paragraph" w:styleId="CommentSubject">
    <w:name w:val="annotation subject"/>
    <w:basedOn w:val="CommentText"/>
    <w:next w:val="CommentText"/>
    <w:semiHidden/>
    <w:rsid w:val="00F76DEB"/>
    <w:rPr>
      <w:b/>
      <w:bCs/>
    </w:rPr>
  </w:style>
  <w:style w:type="character" w:customStyle="1" w:styleId="Heading2Char">
    <w:name w:val="Heading 2 Char"/>
    <w:link w:val="Heading2"/>
    <w:rsid w:val="008D7522"/>
    <w:rPr>
      <w:rFonts w:ascii="HelveticaNeueLT Std" w:hAnsi="HelveticaNeueLT Std" w:cs="Arial"/>
      <w:b/>
      <w:bCs/>
      <w:iCs/>
      <w:sz w:val="28"/>
      <w:szCs w:val="28"/>
    </w:rPr>
  </w:style>
  <w:style w:type="character" w:customStyle="1" w:styleId="Heading3Char">
    <w:name w:val="Heading 3 Char"/>
    <w:link w:val="Heading3"/>
    <w:rsid w:val="008D7522"/>
    <w:rPr>
      <w:rFonts w:ascii="HelveticaNeueLT Std" w:hAnsi="HelveticaNeueLT Std" w:cs="Arial"/>
      <w:b/>
      <w:bCs/>
      <w:szCs w:val="26"/>
    </w:rPr>
  </w:style>
  <w:style w:type="character" w:customStyle="1" w:styleId="CommentTextChar">
    <w:name w:val="Comment Text Char"/>
    <w:basedOn w:val="DefaultParagraphFont"/>
    <w:link w:val="CommentText"/>
    <w:semiHidden/>
    <w:rsid w:val="00A8654B"/>
  </w:style>
  <w:style w:type="paragraph" w:styleId="Revision">
    <w:name w:val="Revision"/>
    <w:hidden/>
    <w:uiPriority w:val="99"/>
    <w:semiHidden/>
    <w:rsid w:val="008E5F4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7229</Words>
  <Characters>37194</Characters>
  <Application>Microsoft Office Word</Application>
  <DocSecurity>4</DocSecurity>
  <Lines>309</Lines>
  <Paragraphs>88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Australian Communications Media Authority</Company>
  <LinksUpToDate>false</LinksUpToDate>
  <CharactersWithSpaces>44335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dseneker</dc:creator>
  <cp:lastModifiedBy>Helen Turnbull</cp:lastModifiedBy>
  <cp:revision>2</cp:revision>
  <cp:lastPrinted>2011-03-02T02:03:00Z</cp:lastPrinted>
  <dcterms:created xsi:type="dcterms:W3CDTF">2011-03-10T03:32:00Z</dcterms:created>
  <dcterms:modified xsi:type="dcterms:W3CDTF">2011-03-10T03:32:00Z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1176363490</vt:i4>
  </property>
  <property fmtid="{D5CDD505-2E9C-101B-9397-08002B2CF9AE}" pid="3" name="_ReviewCycleID">
    <vt:i4>1176363490</vt:i4>
  </property>
  <property fmtid="{D5CDD505-2E9C-101B-9397-08002B2CF9AE}" pid="4" name="_NewReviewCycle">
    <vt:lpwstr/>
  </property>
  <property fmtid="{D5CDD505-2E9C-101B-9397-08002B2CF9AE}" pid="5" name="_EmailEntryID">
    <vt:lpwstr>00000000019BA6F9E7FCDF4281A3B00A795B82A80700D73C1D5507DD794B9A6A0F48C751CFAB00000004E0E10000D73C1D5507DD794B9A6A0F48C751CFAB000000091FCF0000</vt:lpwstr>
  </property>
  <property fmtid="{D5CDD505-2E9C-101B-9397-08002B2CF9AE}" pid="6" name="_ReviewingToolsShownOnce">
    <vt:lpwstr/>
  </property>
</Properties>
</file>