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1F" w:rsidRPr="0037321F" w:rsidRDefault="0037321F" w:rsidP="0037321F">
      <w:pPr>
        <w:autoSpaceDE w:val="0"/>
        <w:autoSpaceDN w:val="0"/>
        <w:adjustRightInd w:val="0"/>
        <w:jc w:val="center"/>
        <w:rPr>
          <w:rFonts w:ascii="Calibri" w:hAnsi="Calibri" w:cs="Calibri"/>
          <w:b/>
          <w:bCs/>
          <w:color w:val="000000"/>
          <w:sz w:val="24"/>
          <w:szCs w:val="24"/>
        </w:rPr>
      </w:pPr>
      <w:r w:rsidRPr="0037321F">
        <w:rPr>
          <w:rFonts w:ascii="Calibri" w:hAnsi="Calibri" w:cs="Calibri"/>
          <w:b/>
          <w:bCs/>
          <w:color w:val="000000"/>
          <w:sz w:val="24"/>
          <w:szCs w:val="24"/>
        </w:rPr>
        <w:t>EXPLANATORY STATEMENT</w:t>
      </w:r>
    </w:p>
    <w:p w:rsidR="0037321F" w:rsidRPr="0037321F" w:rsidRDefault="0037321F" w:rsidP="0037321F">
      <w:pPr>
        <w:autoSpaceDE w:val="0"/>
        <w:autoSpaceDN w:val="0"/>
        <w:adjustRightInd w:val="0"/>
        <w:jc w:val="center"/>
        <w:rPr>
          <w:rFonts w:ascii="Calibri" w:hAnsi="Calibri" w:cs="Calibri"/>
          <w:b/>
          <w:bCs/>
          <w:color w:val="000000"/>
          <w:sz w:val="24"/>
          <w:szCs w:val="24"/>
        </w:rPr>
      </w:pPr>
    </w:p>
    <w:p w:rsidR="0037321F" w:rsidRPr="0037321F" w:rsidRDefault="0037321F" w:rsidP="0037321F">
      <w:pPr>
        <w:autoSpaceDE w:val="0"/>
        <w:autoSpaceDN w:val="0"/>
        <w:adjustRightInd w:val="0"/>
        <w:jc w:val="center"/>
        <w:rPr>
          <w:rFonts w:ascii="Calibri" w:hAnsi="Calibri" w:cs="Calibri"/>
          <w:b/>
          <w:bCs/>
          <w:color w:val="000000"/>
          <w:sz w:val="24"/>
          <w:szCs w:val="24"/>
        </w:rPr>
      </w:pPr>
      <w:r w:rsidRPr="0037321F">
        <w:rPr>
          <w:rFonts w:ascii="Calibri" w:hAnsi="Calibri" w:cs="Calibri"/>
          <w:b/>
          <w:bCs/>
          <w:color w:val="000000"/>
          <w:sz w:val="24"/>
          <w:szCs w:val="24"/>
        </w:rPr>
        <w:t xml:space="preserve">Issued by the Australian Communications and Media Authority </w:t>
      </w:r>
    </w:p>
    <w:p w:rsidR="0037321F" w:rsidRPr="0037321F" w:rsidRDefault="0037321F" w:rsidP="0037321F">
      <w:pPr>
        <w:autoSpaceDE w:val="0"/>
        <w:autoSpaceDN w:val="0"/>
        <w:adjustRightInd w:val="0"/>
        <w:jc w:val="center"/>
        <w:rPr>
          <w:rFonts w:ascii="Calibri" w:hAnsi="Calibri" w:cs="Calibri"/>
          <w:b/>
          <w:bCs/>
          <w:color w:val="000000"/>
          <w:sz w:val="24"/>
          <w:szCs w:val="24"/>
        </w:rPr>
      </w:pPr>
    </w:p>
    <w:p w:rsidR="0037321F" w:rsidRPr="0037321F" w:rsidRDefault="0037321F" w:rsidP="0037321F">
      <w:pPr>
        <w:autoSpaceDE w:val="0"/>
        <w:autoSpaceDN w:val="0"/>
        <w:adjustRightInd w:val="0"/>
        <w:jc w:val="center"/>
        <w:rPr>
          <w:rFonts w:ascii="Calibri" w:hAnsi="Calibri" w:cs="Calibri"/>
          <w:b/>
          <w:bCs/>
          <w:i/>
          <w:iCs/>
          <w:color w:val="000000"/>
          <w:sz w:val="24"/>
          <w:szCs w:val="24"/>
        </w:rPr>
      </w:pPr>
      <w:r w:rsidRPr="0037321F">
        <w:rPr>
          <w:rFonts w:ascii="Calibri" w:hAnsi="Calibri" w:cs="Calibri"/>
          <w:b/>
          <w:bCs/>
          <w:i/>
          <w:iCs/>
          <w:color w:val="000000"/>
          <w:sz w:val="24"/>
          <w:szCs w:val="24"/>
        </w:rPr>
        <w:t>Radiocommunications (Prohibition of PMTS Jamming Devices) Declaration 201</w:t>
      </w:r>
      <w:r>
        <w:rPr>
          <w:rFonts w:ascii="Calibri" w:hAnsi="Calibri" w:cs="Calibri"/>
          <w:b/>
          <w:bCs/>
          <w:i/>
          <w:iCs/>
          <w:color w:val="000000"/>
          <w:sz w:val="24"/>
          <w:szCs w:val="24"/>
        </w:rPr>
        <w:t>1</w:t>
      </w:r>
    </w:p>
    <w:p w:rsidR="0037321F" w:rsidRPr="0037321F" w:rsidRDefault="0037321F" w:rsidP="0037321F">
      <w:pPr>
        <w:autoSpaceDE w:val="0"/>
        <w:autoSpaceDN w:val="0"/>
        <w:adjustRightInd w:val="0"/>
        <w:jc w:val="center"/>
        <w:rPr>
          <w:rFonts w:ascii="Calibri" w:hAnsi="Calibri" w:cs="Calibri"/>
          <w:b/>
          <w:bCs/>
          <w:i/>
          <w:iCs/>
          <w:color w:val="000000"/>
          <w:sz w:val="24"/>
          <w:szCs w:val="24"/>
        </w:rPr>
      </w:pPr>
    </w:p>
    <w:p w:rsidR="0037321F" w:rsidRPr="0037321F" w:rsidRDefault="0037321F" w:rsidP="0037321F">
      <w:pPr>
        <w:autoSpaceDE w:val="0"/>
        <w:autoSpaceDN w:val="0"/>
        <w:adjustRightInd w:val="0"/>
        <w:jc w:val="center"/>
        <w:rPr>
          <w:rFonts w:ascii="Calibri" w:hAnsi="Calibri" w:cs="Calibri"/>
          <w:b/>
          <w:bCs/>
          <w:i/>
          <w:iCs/>
          <w:color w:val="000000"/>
          <w:sz w:val="24"/>
          <w:szCs w:val="24"/>
        </w:rPr>
      </w:pPr>
      <w:r w:rsidRPr="0037321F">
        <w:rPr>
          <w:rFonts w:ascii="Calibri" w:hAnsi="Calibri" w:cs="Calibri"/>
          <w:b/>
          <w:bCs/>
          <w:i/>
          <w:iCs/>
          <w:color w:val="000000"/>
          <w:sz w:val="24"/>
          <w:szCs w:val="24"/>
        </w:rPr>
        <w:t>Radiocommunications Act 1992</w:t>
      </w:r>
    </w:p>
    <w:p w:rsidR="0037321F" w:rsidRPr="0037321F" w:rsidRDefault="0037321F" w:rsidP="0037321F">
      <w:pPr>
        <w:autoSpaceDE w:val="0"/>
        <w:autoSpaceDN w:val="0"/>
        <w:adjustRightInd w:val="0"/>
        <w:jc w:val="center"/>
        <w:rPr>
          <w:rFonts w:ascii="Calibri" w:hAnsi="Calibri" w:cs="Calibri"/>
          <w:b/>
          <w:bCs/>
          <w:i/>
          <w:iCs/>
          <w:color w:val="000000"/>
          <w:sz w:val="22"/>
          <w:szCs w:val="22"/>
        </w:rPr>
      </w:pPr>
    </w:p>
    <w:p w:rsidR="0037321F" w:rsidRPr="0037321F" w:rsidRDefault="0037321F" w:rsidP="0037321F">
      <w:pPr>
        <w:autoSpaceDE w:val="0"/>
        <w:autoSpaceDN w:val="0"/>
        <w:adjustRightInd w:val="0"/>
        <w:jc w:val="center"/>
        <w:rPr>
          <w:rFonts w:ascii="Calibri" w:hAnsi="Calibri" w:cs="Calibri"/>
          <w:b/>
          <w:bCs/>
          <w:i/>
          <w:iCs/>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Purpose</w:t>
      </w:r>
    </w:p>
    <w:p w:rsidR="0037321F" w:rsidRPr="0037321F" w:rsidRDefault="0037321F" w:rsidP="0037321F">
      <w:pPr>
        <w:autoSpaceDE w:val="0"/>
        <w:autoSpaceDN w:val="0"/>
        <w:adjustRightInd w:val="0"/>
        <w:spacing w:before="120"/>
        <w:rPr>
          <w:color w:val="000000"/>
          <w:sz w:val="24"/>
          <w:szCs w:val="24"/>
        </w:rPr>
      </w:pPr>
      <w:r w:rsidRPr="0037321F">
        <w:rPr>
          <w:rFonts w:ascii="Calibri" w:hAnsi="Calibri" w:cs="Calibri"/>
          <w:color w:val="000000"/>
          <w:sz w:val="22"/>
          <w:szCs w:val="22"/>
        </w:rPr>
        <w:t xml:space="preserve">The </w:t>
      </w:r>
      <w:r w:rsidRPr="0037321F">
        <w:rPr>
          <w:rFonts w:ascii="Calibri" w:hAnsi="Calibri" w:cs="Calibri"/>
          <w:i/>
          <w:iCs/>
          <w:color w:val="000000"/>
          <w:sz w:val="22"/>
          <w:szCs w:val="22"/>
        </w:rPr>
        <w:t xml:space="preserve">Radiocommunications (Prohibition of PMTS Jamming Devices) Declaration 2011 </w:t>
      </w:r>
      <w:r w:rsidRPr="0037321F">
        <w:rPr>
          <w:rFonts w:ascii="Calibri" w:hAnsi="Calibri" w:cs="Calibri"/>
          <w:color w:val="000000"/>
          <w:sz w:val="22"/>
          <w:szCs w:val="22"/>
        </w:rPr>
        <w:t>(</w:t>
      </w:r>
      <w:r w:rsidRPr="0037321F">
        <w:rPr>
          <w:rFonts w:ascii="Calibri" w:hAnsi="Calibri" w:cs="Calibri"/>
          <w:b/>
          <w:color w:val="000000"/>
          <w:sz w:val="22"/>
          <w:szCs w:val="22"/>
        </w:rPr>
        <w:t>the Declaration</w:t>
      </w:r>
      <w:r w:rsidRPr="0037321F">
        <w:rPr>
          <w:rFonts w:ascii="Calibri" w:hAnsi="Calibri" w:cs="Calibri"/>
          <w:color w:val="000000"/>
          <w:sz w:val="22"/>
          <w:szCs w:val="22"/>
        </w:rPr>
        <w:t>)</w:t>
      </w:r>
      <w:r w:rsidRPr="0037321F">
        <w:rPr>
          <w:rFonts w:ascii="Calibri" w:hAnsi="Calibri" w:cs="Calibri"/>
          <w:i/>
          <w:iCs/>
          <w:color w:val="000000"/>
          <w:sz w:val="22"/>
          <w:szCs w:val="22"/>
        </w:rPr>
        <w:t xml:space="preserve"> </w:t>
      </w:r>
      <w:r w:rsidRPr="0037321F">
        <w:rPr>
          <w:rFonts w:ascii="Calibri" w:hAnsi="Calibri" w:cs="Calibri"/>
          <w:color w:val="000000"/>
          <w:sz w:val="22"/>
          <w:szCs w:val="22"/>
        </w:rPr>
        <w:t xml:space="preserve">prohibits the operation or supply, or possession for the purpose of operation or supply, of public mobile telecommunications service (PMTS) jamming devices. Such devices are designed to have an adverse effect on </w:t>
      </w:r>
      <w:proofErr w:type="spellStart"/>
      <w:r w:rsidRPr="0037321F">
        <w:rPr>
          <w:rFonts w:ascii="Calibri" w:hAnsi="Calibri" w:cs="Calibri"/>
          <w:color w:val="000000"/>
          <w:sz w:val="22"/>
          <w:szCs w:val="22"/>
        </w:rPr>
        <w:t>radiocommunications</w:t>
      </w:r>
      <w:proofErr w:type="spellEnd"/>
      <w:r w:rsidRPr="0037321F">
        <w:rPr>
          <w:rFonts w:ascii="Calibri" w:hAnsi="Calibri" w:cs="Calibri"/>
          <w:color w:val="000000"/>
          <w:sz w:val="22"/>
          <w:szCs w:val="22"/>
        </w:rPr>
        <w:t xml:space="preserve"> or would be likely to substantially interfere with, disrupt or disturb, </w:t>
      </w:r>
      <w:proofErr w:type="spellStart"/>
      <w:r w:rsidRPr="0037321F">
        <w:rPr>
          <w:rFonts w:ascii="Calibri" w:hAnsi="Calibri" w:cs="Calibri"/>
          <w:color w:val="000000"/>
          <w:sz w:val="22"/>
          <w:szCs w:val="22"/>
        </w:rPr>
        <w:t>radiocommunications</w:t>
      </w:r>
      <w:proofErr w:type="spellEnd"/>
      <w:r w:rsidRPr="0037321F">
        <w:rPr>
          <w:rFonts w:ascii="Calibri" w:hAnsi="Calibri" w:cs="Calibri"/>
          <w:color w:val="000000"/>
          <w:sz w:val="22"/>
          <w:szCs w:val="22"/>
        </w:rPr>
        <w:t xml:space="preserve"> used for the supply of PMTS.</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The purpose of the Declaration is to protect PMTS from substantial interference or disruption or disturbance. PMTS is defined in section 32 of the </w:t>
      </w:r>
      <w:r w:rsidRPr="0037321F">
        <w:rPr>
          <w:rFonts w:ascii="Calibri" w:hAnsi="Calibri" w:cs="Calibri"/>
          <w:i/>
          <w:iCs/>
          <w:color w:val="000000"/>
          <w:sz w:val="22"/>
          <w:szCs w:val="22"/>
        </w:rPr>
        <w:t>Telecommunications Act 1997</w:t>
      </w:r>
      <w:r w:rsidRPr="0037321F">
        <w:rPr>
          <w:rFonts w:ascii="Calibri" w:hAnsi="Calibri" w:cs="Calibri"/>
          <w:color w:val="000000"/>
          <w:sz w:val="22"/>
          <w:szCs w:val="22"/>
        </w:rPr>
        <w:t xml:space="preserve">.  </w:t>
      </w:r>
    </w:p>
    <w:p w:rsidR="00816298" w:rsidRDefault="00816298" w:rsidP="0037321F">
      <w:pPr>
        <w:autoSpaceDE w:val="0"/>
        <w:autoSpaceDN w:val="0"/>
        <w:adjustRightInd w:val="0"/>
        <w:rPr>
          <w:rFonts w:ascii="Calibri" w:hAnsi="Calibri" w:cs="Calibri"/>
          <w:color w:val="000000"/>
          <w:sz w:val="22"/>
          <w:szCs w:val="22"/>
        </w:rPr>
      </w:pPr>
    </w:p>
    <w:p w:rsidR="0045077A"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The definition of PMTS is fundamental to the Declaration. By employing a generic service description of PMTS to define a PMTS jamming device, rather than specifying the exact frequency bands in which PMTS operate, the Declaration is designed to take into account the dynamic nature of spectrum use. This ensures that should PMTS operate in different or additional frequency bands in the future, the Declaration has sufficient flexibility to accommodate such changes.</w:t>
      </w:r>
      <w:r w:rsidR="00EC70DB">
        <w:rPr>
          <w:rFonts w:ascii="Calibri" w:hAnsi="Calibri" w:cs="Calibri"/>
          <w:color w:val="000000"/>
          <w:sz w:val="22"/>
          <w:szCs w:val="22"/>
        </w:rPr>
        <w:t xml:space="preserve"> </w:t>
      </w:r>
    </w:p>
    <w:p w:rsidR="0045077A" w:rsidRDefault="0045077A" w:rsidP="0037321F">
      <w:pPr>
        <w:autoSpaceDE w:val="0"/>
        <w:autoSpaceDN w:val="0"/>
        <w:adjustRightInd w:val="0"/>
        <w:rPr>
          <w:rFonts w:ascii="Calibri" w:hAnsi="Calibri" w:cs="Calibri"/>
          <w:color w:val="000000"/>
          <w:sz w:val="22"/>
          <w:szCs w:val="22"/>
        </w:rPr>
      </w:pPr>
    </w:p>
    <w:p w:rsidR="0037321F" w:rsidRPr="0037321F" w:rsidRDefault="00EC70DB" w:rsidP="0037321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0045077A">
        <w:rPr>
          <w:rFonts w:ascii="Calibri" w:hAnsi="Calibri" w:cs="Calibri"/>
          <w:color w:val="000000"/>
          <w:sz w:val="22"/>
          <w:szCs w:val="22"/>
        </w:rPr>
        <w:t xml:space="preserve">new definition </w:t>
      </w:r>
      <w:r>
        <w:rPr>
          <w:rFonts w:ascii="Calibri" w:hAnsi="Calibri" w:cs="Calibri"/>
          <w:color w:val="000000"/>
          <w:sz w:val="22"/>
          <w:szCs w:val="22"/>
        </w:rPr>
        <w:t>addresses the limitations of the</w:t>
      </w:r>
      <w:r w:rsidRPr="00EC70DB">
        <w:rPr>
          <w:rFonts w:ascii="Calibri" w:hAnsi="Calibri" w:cs="Calibri"/>
          <w:i/>
          <w:iCs/>
          <w:color w:val="000000"/>
          <w:sz w:val="22"/>
          <w:szCs w:val="22"/>
        </w:rPr>
        <w:t xml:space="preserve"> </w:t>
      </w:r>
      <w:r w:rsidRPr="0037321F">
        <w:rPr>
          <w:rFonts w:ascii="Calibri" w:hAnsi="Calibri" w:cs="Calibri"/>
          <w:i/>
          <w:iCs/>
          <w:color w:val="000000"/>
          <w:sz w:val="22"/>
          <w:szCs w:val="22"/>
        </w:rPr>
        <w:t>Notification that the Australian Communications</w:t>
      </w:r>
      <w:r>
        <w:rPr>
          <w:rFonts w:ascii="Calibri" w:hAnsi="Calibri" w:cs="Calibri"/>
          <w:i/>
          <w:iCs/>
          <w:color w:val="000000"/>
          <w:sz w:val="22"/>
          <w:szCs w:val="22"/>
        </w:rPr>
        <w:t xml:space="preserve"> and Media</w:t>
      </w:r>
      <w:r w:rsidRPr="0037321F">
        <w:rPr>
          <w:rFonts w:ascii="Calibri" w:hAnsi="Calibri" w:cs="Calibri"/>
          <w:i/>
          <w:iCs/>
          <w:color w:val="000000"/>
          <w:sz w:val="22"/>
          <w:szCs w:val="22"/>
        </w:rPr>
        <w:t xml:space="preserve"> Authority prohibits the operation or supply, or possession for the purpose of operation or</w:t>
      </w:r>
      <w:r w:rsidRPr="0037321F">
        <w:rPr>
          <w:rFonts w:ascii="Calibri" w:hAnsi="Calibri" w:cs="Calibri"/>
          <w:color w:val="000000"/>
          <w:sz w:val="22"/>
          <w:szCs w:val="22"/>
        </w:rPr>
        <w:t xml:space="preserve"> </w:t>
      </w:r>
      <w:r w:rsidRPr="0037321F">
        <w:rPr>
          <w:rFonts w:ascii="Calibri" w:hAnsi="Calibri" w:cs="Calibri"/>
          <w:i/>
          <w:color w:val="000000"/>
          <w:sz w:val="22"/>
          <w:szCs w:val="22"/>
        </w:rPr>
        <w:t xml:space="preserve">supply, </w:t>
      </w:r>
      <w:r w:rsidRPr="0037321F">
        <w:rPr>
          <w:rFonts w:ascii="Calibri" w:hAnsi="Calibri" w:cs="Calibri"/>
          <w:i/>
          <w:iCs/>
          <w:color w:val="000000"/>
          <w:sz w:val="22"/>
          <w:szCs w:val="22"/>
        </w:rPr>
        <w:t xml:space="preserve">of specified devices </w:t>
      </w:r>
      <w:r>
        <w:rPr>
          <w:rFonts w:ascii="Calibri" w:hAnsi="Calibri" w:cs="Calibri"/>
          <w:iCs/>
          <w:color w:val="000000"/>
          <w:sz w:val="22"/>
          <w:szCs w:val="22"/>
        </w:rPr>
        <w:t xml:space="preserve">issued in 1999 </w:t>
      </w:r>
      <w:r w:rsidRPr="0037321F">
        <w:rPr>
          <w:rFonts w:ascii="Calibri" w:hAnsi="Calibri" w:cs="Calibri"/>
          <w:color w:val="000000"/>
          <w:sz w:val="22"/>
          <w:szCs w:val="22"/>
        </w:rPr>
        <w:t>(</w:t>
      </w:r>
      <w:r w:rsidRPr="0037321F">
        <w:rPr>
          <w:rFonts w:ascii="Calibri" w:hAnsi="Calibri" w:cs="Calibri"/>
          <w:b/>
          <w:color w:val="000000"/>
          <w:sz w:val="22"/>
          <w:szCs w:val="22"/>
        </w:rPr>
        <w:t>the Mobile Phone Jammer Prohibition</w:t>
      </w:r>
      <w:r w:rsidRPr="0037321F">
        <w:rPr>
          <w:rFonts w:ascii="Calibri" w:hAnsi="Calibri" w:cs="Calibri"/>
          <w:color w:val="000000"/>
          <w:sz w:val="22"/>
          <w:szCs w:val="22"/>
        </w:rPr>
        <w:t>).</w:t>
      </w:r>
      <w:r>
        <w:rPr>
          <w:rFonts w:ascii="Calibri" w:hAnsi="Calibri" w:cs="Calibri"/>
          <w:color w:val="000000"/>
          <w:sz w:val="22"/>
          <w:szCs w:val="22"/>
        </w:rPr>
        <w:t xml:space="preserve"> </w:t>
      </w:r>
      <w:r w:rsidR="0045077A">
        <w:rPr>
          <w:rFonts w:ascii="Calibri" w:hAnsi="Calibri" w:cs="Calibri"/>
          <w:color w:val="000000"/>
          <w:sz w:val="22"/>
          <w:szCs w:val="22"/>
        </w:rPr>
        <w:t xml:space="preserve"> </w:t>
      </w:r>
      <w:r>
        <w:rPr>
          <w:rFonts w:ascii="Calibri" w:hAnsi="Calibri" w:cs="Calibri"/>
          <w:color w:val="000000"/>
          <w:sz w:val="22"/>
          <w:szCs w:val="22"/>
        </w:rPr>
        <w:t>The Mobile Phone Jammer Prohibition only applied to jamming devices operating in the 870-960 MHz and 825-845 MHz frequency ranges</w:t>
      </w:r>
      <w:r w:rsidR="0045077A">
        <w:rPr>
          <w:rFonts w:ascii="Calibri" w:hAnsi="Calibri" w:cs="Calibri"/>
          <w:color w:val="000000"/>
          <w:sz w:val="22"/>
          <w:szCs w:val="22"/>
        </w:rPr>
        <w:t>. Since 1999</w:t>
      </w:r>
      <w:r w:rsidR="003C72C9">
        <w:rPr>
          <w:rFonts w:ascii="Calibri" w:hAnsi="Calibri" w:cs="Calibri"/>
          <w:color w:val="000000"/>
          <w:sz w:val="22"/>
          <w:szCs w:val="22"/>
        </w:rPr>
        <w:t>,</w:t>
      </w:r>
      <w:r>
        <w:rPr>
          <w:rFonts w:ascii="Calibri" w:hAnsi="Calibri" w:cs="Calibri"/>
          <w:color w:val="000000"/>
          <w:sz w:val="22"/>
          <w:szCs w:val="22"/>
        </w:rPr>
        <w:t xml:space="preserve"> the range of frequency bands used for PMTS has increased. </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The Declaration includes an exemption that applies to the operation, possession or supply of a device which facilitates the provision of a carriage service on board an aircraft that is authorised by a public telecommunications service licence. The inclusion of the exemption continues existing arrangements found in the </w:t>
      </w:r>
      <w:r w:rsidR="00EC70DB">
        <w:rPr>
          <w:rFonts w:ascii="Calibri" w:hAnsi="Calibri" w:cs="Calibri"/>
          <w:color w:val="000000"/>
          <w:sz w:val="22"/>
          <w:szCs w:val="22"/>
        </w:rPr>
        <w:t>Mobile Phone Jammer Prohibition.</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The Declaration revokes the Mobile Phone Jammer Prohibition.</w:t>
      </w:r>
    </w:p>
    <w:p w:rsidR="0037321F" w:rsidRPr="0037321F" w:rsidRDefault="0037321F" w:rsidP="0037321F">
      <w:pPr>
        <w:autoSpaceDE w:val="0"/>
        <w:autoSpaceDN w:val="0"/>
        <w:adjustRightInd w:val="0"/>
        <w:rPr>
          <w:rFonts w:ascii="Calibri" w:hAnsi="Calibri" w:cs="Calibri"/>
          <w:color w:val="000000"/>
          <w:sz w:val="22"/>
          <w:szCs w:val="22"/>
        </w:rPr>
      </w:pPr>
    </w:p>
    <w:p w:rsidR="002B0D3B" w:rsidRDefault="0037321F">
      <w:pPr>
        <w:autoSpaceDE w:val="0"/>
        <w:autoSpaceDN w:val="0"/>
        <w:adjustRightInd w:val="0"/>
        <w:spacing w:after="120"/>
        <w:rPr>
          <w:rFonts w:ascii="Calibri" w:hAnsi="Calibri" w:cs="Calibri"/>
          <w:b/>
          <w:bCs/>
          <w:color w:val="000000"/>
          <w:sz w:val="22"/>
          <w:szCs w:val="22"/>
        </w:rPr>
      </w:pPr>
      <w:r w:rsidRPr="0037321F">
        <w:rPr>
          <w:rFonts w:ascii="Calibri" w:hAnsi="Calibri" w:cs="Calibri"/>
          <w:b/>
          <w:bCs/>
          <w:color w:val="000000"/>
          <w:sz w:val="22"/>
          <w:szCs w:val="22"/>
        </w:rPr>
        <w:t>Legislative Provisions</w:t>
      </w:r>
    </w:p>
    <w:p w:rsidR="0037321F" w:rsidRPr="00E023BA" w:rsidRDefault="0037321F" w:rsidP="0037321F">
      <w:pPr>
        <w:autoSpaceDE w:val="0"/>
        <w:autoSpaceDN w:val="0"/>
        <w:adjustRightInd w:val="0"/>
        <w:rPr>
          <w:rFonts w:ascii="Calibri" w:hAnsi="Calibri" w:cs="Calibri"/>
          <w:sz w:val="22"/>
          <w:szCs w:val="22"/>
        </w:rPr>
      </w:pPr>
      <w:r w:rsidRPr="00E023BA">
        <w:rPr>
          <w:rFonts w:ascii="Calibri" w:hAnsi="Calibri" w:cs="Calibri"/>
          <w:sz w:val="22"/>
          <w:szCs w:val="22"/>
        </w:rPr>
        <w:t xml:space="preserve">Subsection 190(1) of the </w:t>
      </w:r>
      <w:r w:rsidRPr="00E023BA">
        <w:rPr>
          <w:rFonts w:ascii="Calibri" w:hAnsi="Calibri" w:cs="Calibri"/>
          <w:i/>
          <w:iCs/>
          <w:sz w:val="22"/>
          <w:szCs w:val="22"/>
        </w:rPr>
        <w:t>Radiocommunications Act 1992</w:t>
      </w:r>
      <w:r w:rsidRPr="00E023BA">
        <w:rPr>
          <w:rFonts w:ascii="Calibri" w:hAnsi="Calibri" w:cs="Calibri"/>
          <w:sz w:val="22"/>
          <w:szCs w:val="22"/>
        </w:rPr>
        <w:t xml:space="preserve"> (</w:t>
      </w:r>
      <w:r w:rsidRPr="00E023BA">
        <w:rPr>
          <w:rFonts w:ascii="Calibri" w:hAnsi="Calibri" w:cs="Calibri"/>
          <w:b/>
          <w:sz w:val="22"/>
          <w:szCs w:val="22"/>
        </w:rPr>
        <w:t>the Act</w:t>
      </w:r>
      <w:r w:rsidRPr="00E023BA">
        <w:rPr>
          <w:rFonts w:ascii="Calibri" w:hAnsi="Calibri" w:cs="Calibri"/>
          <w:sz w:val="22"/>
          <w:szCs w:val="22"/>
        </w:rPr>
        <w:t xml:space="preserve">) provides that the Australian Communications and Media Authority (the ACMA) may, by notice published in one or more newspapers circulating in the capital city of each state and territory, declare that operation or supply, or possession for the purpose of operation or supply, of a specified device is prohibited for the reasons set out in the notice. </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E023BA" w:rsidRDefault="0037321F" w:rsidP="0037321F">
      <w:pPr>
        <w:tabs>
          <w:tab w:val="left" w:pos="567"/>
        </w:tabs>
        <w:rPr>
          <w:rFonts w:ascii="Calibri" w:hAnsi="Calibri" w:cs="Calibri"/>
          <w:i/>
          <w:sz w:val="22"/>
          <w:szCs w:val="22"/>
        </w:rPr>
      </w:pPr>
      <w:r w:rsidRPr="00E023BA">
        <w:rPr>
          <w:rFonts w:ascii="Calibri" w:hAnsi="Calibri" w:cs="Calibri"/>
          <w:sz w:val="22"/>
          <w:szCs w:val="22"/>
        </w:rPr>
        <w:t>A Declaration made under section 190</w:t>
      </w:r>
      <w:r>
        <w:rPr>
          <w:rFonts w:ascii="Calibri" w:hAnsi="Calibri" w:cs="Calibri"/>
          <w:sz w:val="22"/>
          <w:szCs w:val="22"/>
        </w:rPr>
        <w:t>(1)</w:t>
      </w:r>
      <w:r w:rsidRPr="00E023BA">
        <w:rPr>
          <w:rFonts w:ascii="Calibri" w:hAnsi="Calibri" w:cs="Calibri"/>
          <w:sz w:val="22"/>
          <w:szCs w:val="22"/>
        </w:rPr>
        <w:t xml:space="preserve"> of the Act is a </w:t>
      </w:r>
      <w:r>
        <w:rPr>
          <w:rFonts w:ascii="Calibri" w:hAnsi="Calibri" w:cs="Calibri"/>
          <w:sz w:val="22"/>
          <w:szCs w:val="22"/>
        </w:rPr>
        <w:t>legislative</w:t>
      </w:r>
      <w:r w:rsidRPr="00E023BA">
        <w:rPr>
          <w:rFonts w:ascii="Calibri" w:hAnsi="Calibri" w:cs="Calibri"/>
          <w:sz w:val="22"/>
          <w:szCs w:val="22"/>
        </w:rPr>
        <w:t xml:space="preserve"> instrument for the purposes of </w:t>
      </w:r>
      <w:r w:rsidRPr="00E023BA">
        <w:rPr>
          <w:rFonts w:asciiTheme="minorHAnsi" w:hAnsiTheme="minorHAnsi" w:cstheme="minorHAnsi"/>
          <w:color w:val="262626" w:themeColor="text1" w:themeTint="D9"/>
          <w:sz w:val="22"/>
          <w:szCs w:val="22"/>
        </w:rPr>
        <w:t xml:space="preserve">the </w:t>
      </w:r>
      <w:r w:rsidRPr="00E023BA">
        <w:rPr>
          <w:rFonts w:asciiTheme="minorHAnsi" w:hAnsiTheme="minorHAnsi" w:cstheme="minorHAnsi"/>
          <w:i/>
          <w:color w:val="262626" w:themeColor="text1" w:themeTint="D9"/>
          <w:sz w:val="22"/>
          <w:szCs w:val="22"/>
        </w:rPr>
        <w:t xml:space="preserve">Legislative Instruments Act 2003 </w:t>
      </w:r>
      <w:r w:rsidRPr="00E023BA">
        <w:rPr>
          <w:rFonts w:asciiTheme="minorHAnsi" w:hAnsiTheme="minorHAnsi" w:cstheme="minorHAnsi"/>
          <w:color w:val="262626" w:themeColor="text1" w:themeTint="D9"/>
          <w:sz w:val="22"/>
          <w:szCs w:val="22"/>
        </w:rPr>
        <w:t>(the LIA).</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Background</w:t>
      </w:r>
    </w:p>
    <w:p w:rsidR="0037321F" w:rsidRPr="0037321F" w:rsidRDefault="0037321F" w:rsidP="0037321F">
      <w:pPr>
        <w:autoSpaceDE w:val="0"/>
        <w:autoSpaceDN w:val="0"/>
        <w:adjustRightInd w:val="0"/>
        <w:spacing w:before="120"/>
        <w:rPr>
          <w:rFonts w:ascii="Calibri" w:hAnsi="Calibri" w:cs="Calibri"/>
          <w:color w:val="000000"/>
          <w:sz w:val="22"/>
          <w:szCs w:val="22"/>
        </w:rPr>
      </w:pPr>
      <w:r w:rsidRPr="0037321F">
        <w:rPr>
          <w:rFonts w:ascii="Calibri" w:hAnsi="Calibri" w:cs="Calibri"/>
          <w:color w:val="000000"/>
          <w:sz w:val="22"/>
          <w:szCs w:val="22"/>
        </w:rPr>
        <w:t xml:space="preserve">In 1999, the Australian Communications Authority made the Mobile Phone Jammer Prohibition under section 190 of the Act. The Mobile Phone Jammer Prohibition prohibits the possession, supply and operation of any device designed to interfere with, disrupt or disturb </w:t>
      </w:r>
      <w:proofErr w:type="spellStart"/>
      <w:r w:rsidRPr="0037321F">
        <w:rPr>
          <w:rFonts w:ascii="Calibri" w:hAnsi="Calibri" w:cs="Calibri"/>
          <w:color w:val="000000"/>
          <w:sz w:val="22"/>
          <w:szCs w:val="22"/>
        </w:rPr>
        <w:t>radiocommunications</w:t>
      </w:r>
      <w:proofErr w:type="spellEnd"/>
      <w:r w:rsidRPr="0037321F">
        <w:rPr>
          <w:rFonts w:ascii="Calibri" w:hAnsi="Calibri" w:cs="Calibri"/>
          <w:color w:val="000000"/>
          <w:sz w:val="22"/>
          <w:szCs w:val="22"/>
        </w:rPr>
        <w:t xml:space="preserve"> operating in the frequency bands 870-960 MHz or 825-845 </w:t>
      </w:r>
      <w:proofErr w:type="spellStart"/>
      <w:r w:rsidRPr="0037321F">
        <w:rPr>
          <w:rFonts w:ascii="Calibri" w:hAnsi="Calibri" w:cs="Calibri"/>
          <w:color w:val="000000"/>
          <w:sz w:val="22"/>
          <w:szCs w:val="22"/>
        </w:rPr>
        <w:t>MHz.</w:t>
      </w:r>
      <w:proofErr w:type="spellEnd"/>
    </w:p>
    <w:p w:rsid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Since 1999, technological and social developments have resulted in a proliferation of devices that consumers now use for the purpose of communication and the realization that there are circumstances where the use of a jamming device may be justified. As a consequence of these developments, the ACMA undertook a review of the regulatory framework surrounding mobile phone jammers, including the Mobile Phone Jammer Prohibition. </w:t>
      </w:r>
    </w:p>
    <w:p w:rsid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In January 2010, as part of the review the ACMA released a public discussion paper which sought comment on the regulation of mobile phone jammers in Australia. The main themes expressed in the submissions received were: </w:t>
      </w:r>
    </w:p>
    <w:p w:rsidR="0037321F" w:rsidRDefault="0037321F" w:rsidP="0037321F">
      <w:pPr>
        <w:numPr>
          <w:ilvl w:val="0"/>
          <w:numId w:val="37"/>
        </w:numPr>
        <w:autoSpaceDE w:val="0"/>
        <w:autoSpaceDN w:val="0"/>
        <w:adjustRightInd w:val="0"/>
        <w:spacing w:before="120"/>
        <w:ind w:left="714" w:hanging="357"/>
        <w:rPr>
          <w:rFonts w:ascii="Calibri" w:hAnsi="Calibri" w:cs="Calibri"/>
          <w:color w:val="000000"/>
          <w:sz w:val="22"/>
          <w:szCs w:val="22"/>
        </w:rPr>
      </w:pPr>
      <w:r w:rsidRPr="0037321F">
        <w:rPr>
          <w:rFonts w:ascii="Calibri" w:hAnsi="Calibri" w:cs="Calibri"/>
          <w:color w:val="000000"/>
          <w:sz w:val="22"/>
          <w:szCs w:val="22"/>
        </w:rPr>
        <w:t>The original reasons for making the Mobile Phone Jammer Prohibition remained relevant.</w:t>
      </w:r>
    </w:p>
    <w:p w:rsidR="0037321F" w:rsidRDefault="0037321F" w:rsidP="0037321F">
      <w:pPr>
        <w:numPr>
          <w:ilvl w:val="0"/>
          <w:numId w:val="37"/>
        </w:numPr>
        <w:autoSpaceDE w:val="0"/>
        <w:autoSpaceDN w:val="0"/>
        <w:adjustRightInd w:val="0"/>
        <w:spacing w:before="120"/>
        <w:ind w:left="714" w:hanging="357"/>
        <w:rPr>
          <w:rFonts w:ascii="Calibri" w:hAnsi="Calibri" w:cs="Calibri"/>
          <w:color w:val="000000"/>
          <w:sz w:val="22"/>
          <w:szCs w:val="22"/>
        </w:rPr>
      </w:pPr>
      <w:r w:rsidRPr="0037321F">
        <w:rPr>
          <w:rFonts w:ascii="Calibri" w:hAnsi="Calibri" w:cs="Calibri"/>
          <w:color w:val="000000"/>
          <w:sz w:val="22"/>
          <w:szCs w:val="22"/>
        </w:rPr>
        <w:t xml:space="preserve">The Mobile Phone Jammer Prohibition should be retained in some form. </w:t>
      </w:r>
    </w:p>
    <w:p w:rsidR="0037321F" w:rsidRPr="0037321F" w:rsidRDefault="0037321F" w:rsidP="0037321F">
      <w:pPr>
        <w:tabs>
          <w:tab w:val="left" w:pos="360"/>
        </w:tabs>
        <w:autoSpaceDE w:val="0"/>
        <w:autoSpaceDN w:val="0"/>
        <w:adjustRightInd w:val="0"/>
        <w:spacing w:before="120" w:after="20"/>
        <w:rPr>
          <w:rFonts w:ascii="Calibri" w:hAnsi="Calibri" w:cs="Calibri"/>
          <w:color w:val="000000"/>
          <w:sz w:val="22"/>
          <w:szCs w:val="22"/>
        </w:rPr>
      </w:pPr>
      <w:r w:rsidRPr="0037321F">
        <w:rPr>
          <w:rFonts w:ascii="Calibri" w:hAnsi="Calibri" w:cs="Calibri"/>
          <w:color w:val="000000"/>
          <w:sz w:val="22"/>
          <w:szCs w:val="22"/>
        </w:rPr>
        <w:t xml:space="preserve">Having taken public comments into account, the ACMA makes the Declaration, which includes provision for the revocation of the Mobile Phone Jammer Prohibition.   </w:t>
      </w:r>
    </w:p>
    <w:p w:rsidR="0037321F" w:rsidRPr="0037321F" w:rsidRDefault="0037321F" w:rsidP="0037321F">
      <w:pPr>
        <w:tabs>
          <w:tab w:val="left" w:pos="360"/>
        </w:tabs>
        <w:autoSpaceDE w:val="0"/>
        <w:autoSpaceDN w:val="0"/>
        <w:adjustRightInd w:val="0"/>
        <w:spacing w:before="20" w:after="20"/>
        <w:rPr>
          <w:rFonts w:ascii="Calibri" w:hAnsi="Calibri" w:cs="Calibri"/>
          <w:color w:val="000000"/>
          <w:sz w:val="22"/>
          <w:szCs w:val="22"/>
        </w:rPr>
      </w:pPr>
    </w:p>
    <w:p w:rsidR="0037321F" w:rsidRPr="0037321F" w:rsidRDefault="0037321F" w:rsidP="0037321F">
      <w:pPr>
        <w:tabs>
          <w:tab w:val="left" w:pos="360"/>
        </w:tabs>
        <w:autoSpaceDE w:val="0"/>
        <w:autoSpaceDN w:val="0"/>
        <w:adjustRightInd w:val="0"/>
        <w:spacing w:before="20" w:after="20"/>
        <w:rPr>
          <w:rFonts w:ascii="Calibri" w:hAnsi="Calibri" w:cs="Calibri"/>
          <w:b/>
          <w:bCs/>
          <w:color w:val="000000"/>
          <w:sz w:val="22"/>
          <w:szCs w:val="22"/>
        </w:rPr>
      </w:pPr>
      <w:r w:rsidRPr="0037321F">
        <w:rPr>
          <w:rFonts w:ascii="Calibri" w:hAnsi="Calibri" w:cs="Calibri"/>
          <w:b/>
          <w:bCs/>
          <w:color w:val="000000"/>
          <w:sz w:val="22"/>
          <w:szCs w:val="22"/>
        </w:rPr>
        <w:t>Consultation</w:t>
      </w:r>
    </w:p>
    <w:p w:rsidR="002B0D3B" w:rsidRDefault="0037321F">
      <w:pPr>
        <w:autoSpaceDE w:val="0"/>
        <w:autoSpaceDN w:val="0"/>
        <w:adjustRightInd w:val="0"/>
        <w:spacing w:before="120"/>
        <w:rPr>
          <w:rFonts w:ascii="Calibri" w:hAnsi="Calibri" w:cs="Calibri"/>
          <w:color w:val="000000"/>
          <w:sz w:val="22"/>
          <w:szCs w:val="22"/>
        </w:rPr>
      </w:pPr>
      <w:r w:rsidRPr="0037321F">
        <w:rPr>
          <w:rFonts w:ascii="Calibri" w:hAnsi="Calibri" w:cs="Calibri"/>
          <w:color w:val="000000"/>
          <w:sz w:val="22"/>
          <w:szCs w:val="22"/>
        </w:rPr>
        <w:t xml:space="preserve">In accordance with the requirements of section 191 of the Act, notice of the ACMA’s intention to make the Declaration </w:t>
      </w:r>
      <w:r w:rsidR="006F787F">
        <w:rPr>
          <w:rFonts w:ascii="Calibri" w:hAnsi="Calibri" w:cs="Calibri"/>
          <w:color w:val="000000"/>
          <w:sz w:val="22"/>
          <w:szCs w:val="22"/>
        </w:rPr>
        <w:t xml:space="preserve">and a copy of the draft declaration </w:t>
      </w:r>
      <w:r w:rsidRPr="0037321F">
        <w:rPr>
          <w:rFonts w:ascii="Calibri" w:hAnsi="Calibri" w:cs="Calibri"/>
          <w:color w:val="000000"/>
          <w:sz w:val="22"/>
          <w:szCs w:val="22"/>
        </w:rPr>
        <w:t xml:space="preserve">was published in the </w:t>
      </w:r>
      <w:r w:rsidRPr="0037321F">
        <w:rPr>
          <w:rFonts w:ascii="Calibri" w:hAnsi="Calibri" w:cs="Calibri"/>
          <w:i/>
          <w:iCs/>
          <w:color w:val="000000"/>
          <w:sz w:val="22"/>
          <w:szCs w:val="22"/>
        </w:rPr>
        <w:t>Gazette</w:t>
      </w:r>
      <w:r w:rsidRPr="0037321F">
        <w:rPr>
          <w:rFonts w:ascii="Calibri" w:hAnsi="Calibri" w:cs="Calibri"/>
          <w:color w:val="000000"/>
          <w:sz w:val="22"/>
          <w:szCs w:val="22"/>
        </w:rPr>
        <w:t xml:space="preserve"> on 10 November 2010. The notice sought comment on the proposal to make the Declaration and to revoke the existing Mobile Phone Jammer Prohibition. </w:t>
      </w:r>
      <w:r w:rsidR="00816298">
        <w:rPr>
          <w:rFonts w:ascii="Calibri" w:hAnsi="Calibri" w:cs="Calibri"/>
          <w:color w:val="000000"/>
          <w:sz w:val="22"/>
          <w:szCs w:val="22"/>
        </w:rPr>
        <w:t xml:space="preserve">Following the </w:t>
      </w:r>
      <w:r w:rsidR="000F6C17" w:rsidRPr="000F6C17">
        <w:rPr>
          <w:rFonts w:ascii="Calibri" w:hAnsi="Calibri" w:cs="Calibri"/>
          <w:i/>
          <w:color w:val="000000"/>
          <w:sz w:val="22"/>
          <w:szCs w:val="22"/>
        </w:rPr>
        <w:t xml:space="preserve">Gazette </w:t>
      </w:r>
      <w:r w:rsidR="00816298">
        <w:rPr>
          <w:rFonts w:ascii="Calibri" w:hAnsi="Calibri" w:cs="Calibri"/>
          <w:color w:val="000000"/>
          <w:sz w:val="22"/>
          <w:szCs w:val="22"/>
        </w:rPr>
        <w:t xml:space="preserve">notice publication, the draft declaration and accompanying consultation paper were published on the ACMA website. </w:t>
      </w:r>
      <w:r w:rsidR="00816298" w:rsidRPr="0037321F">
        <w:rPr>
          <w:rFonts w:ascii="Calibri" w:hAnsi="Calibri" w:cs="Calibri"/>
          <w:color w:val="000000"/>
          <w:sz w:val="22"/>
          <w:szCs w:val="22"/>
        </w:rPr>
        <w:t>Interested persons were invited to provide comment by 20 December 2010.</w:t>
      </w:r>
    </w:p>
    <w:p w:rsidR="005D2CBB" w:rsidRDefault="005D2CBB">
      <w:pPr>
        <w:autoSpaceDE w:val="0"/>
        <w:autoSpaceDN w:val="0"/>
        <w:adjustRightInd w:val="0"/>
        <w:spacing w:before="12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Five submissions were received in response to the invitation for public comment, all of which were supportive of the proposal. The ACMA acknowledged all submissions it received and gave due consideration to the comments provided.</w:t>
      </w:r>
    </w:p>
    <w:p w:rsid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i/>
          <w:iCs/>
          <w:color w:val="000000"/>
          <w:sz w:val="22"/>
          <w:szCs w:val="22"/>
        </w:rPr>
      </w:pPr>
      <w:r>
        <w:rPr>
          <w:rFonts w:ascii="Calibri" w:hAnsi="Calibri" w:cs="Calibri"/>
          <w:color w:val="000000"/>
          <w:sz w:val="22"/>
          <w:szCs w:val="22"/>
        </w:rPr>
        <w:t xml:space="preserve">The ACMA is satisfied that the consultation undertaken was appropriate for the purpose of section 17 of the LIA. </w:t>
      </w:r>
    </w:p>
    <w:p w:rsid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The Office of Best Practice Regulation (the OBPR), was consulted about the making of the Declaration. The OBPR did not require a Regulation Impact Statement (RIS). The RIS exemption number for the Declaration is 11650.</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tabs>
          <w:tab w:val="left" w:pos="360"/>
        </w:tabs>
        <w:autoSpaceDE w:val="0"/>
        <w:autoSpaceDN w:val="0"/>
        <w:adjustRightInd w:val="0"/>
        <w:spacing w:before="20" w:after="20"/>
        <w:rPr>
          <w:rFonts w:ascii="Calibri" w:hAnsi="Calibri" w:cs="Calibri"/>
          <w:b/>
          <w:bCs/>
          <w:color w:val="000000"/>
          <w:sz w:val="22"/>
          <w:szCs w:val="22"/>
        </w:rPr>
      </w:pPr>
      <w:r w:rsidRPr="0037321F">
        <w:rPr>
          <w:rFonts w:ascii="Calibri" w:hAnsi="Calibri" w:cs="Calibri"/>
          <w:b/>
          <w:bCs/>
          <w:color w:val="000000"/>
          <w:sz w:val="22"/>
          <w:szCs w:val="22"/>
        </w:rPr>
        <w:t xml:space="preserve">Detailed description of the Declaration </w:t>
      </w:r>
    </w:p>
    <w:p w:rsidR="0037321F" w:rsidRPr="0037321F" w:rsidRDefault="0037321F" w:rsidP="0037321F">
      <w:pPr>
        <w:autoSpaceDE w:val="0"/>
        <w:autoSpaceDN w:val="0"/>
        <w:adjustRightInd w:val="0"/>
        <w:spacing w:before="120"/>
        <w:rPr>
          <w:rFonts w:ascii="Calibri" w:hAnsi="Calibri" w:cs="Calibri"/>
          <w:color w:val="000000"/>
          <w:sz w:val="22"/>
          <w:szCs w:val="22"/>
        </w:rPr>
      </w:pPr>
      <w:r w:rsidRPr="0037321F">
        <w:rPr>
          <w:rFonts w:ascii="Calibri" w:hAnsi="Calibri" w:cs="Calibri"/>
          <w:color w:val="000000"/>
          <w:sz w:val="22"/>
          <w:szCs w:val="22"/>
        </w:rPr>
        <w:t xml:space="preserve">Details of the Declaration are set out in the </w:t>
      </w:r>
      <w:r w:rsidRPr="0037321F">
        <w:rPr>
          <w:rFonts w:ascii="Calibri" w:hAnsi="Calibri" w:cs="Calibri"/>
          <w:b/>
          <w:bCs/>
          <w:color w:val="000000"/>
          <w:sz w:val="22"/>
          <w:szCs w:val="22"/>
        </w:rPr>
        <w:t>Attachment</w:t>
      </w:r>
      <w:r w:rsidRPr="0037321F">
        <w:rPr>
          <w:rFonts w:ascii="Calibri" w:hAnsi="Calibri" w:cs="Calibri"/>
          <w:color w:val="000000"/>
          <w:sz w:val="22"/>
          <w:szCs w:val="22"/>
        </w:rPr>
        <w:t xml:space="preserve">.  </w:t>
      </w:r>
    </w:p>
    <w:p w:rsidR="0037321F" w:rsidRPr="0037321F" w:rsidRDefault="0037321F" w:rsidP="0037321F">
      <w:pPr>
        <w:autoSpaceDE w:val="0"/>
        <w:autoSpaceDN w:val="0"/>
        <w:adjustRightInd w:val="0"/>
        <w:rPr>
          <w:rFonts w:ascii="Calibri" w:hAnsi="Calibri" w:cs="Calibri"/>
          <w:color w:val="000000"/>
          <w:sz w:val="22"/>
          <w:szCs w:val="22"/>
        </w:rPr>
      </w:pPr>
    </w:p>
    <w:p w:rsidR="006F787F" w:rsidRDefault="006F787F" w:rsidP="0037321F">
      <w:pPr>
        <w:autoSpaceDE w:val="0"/>
        <w:autoSpaceDN w:val="0"/>
        <w:adjustRightInd w:val="0"/>
        <w:jc w:val="right"/>
        <w:rPr>
          <w:rFonts w:ascii="Calibri" w:hAnsi="Calibri" w:cs="Calibri"/>
          <w:b/>
          <w:bCs/>
          <w:color w:val="000000"/>
          <w:sz w:val="22"/>
          <w:szCs w:val="22"/>
        </w:rPr>
      </w:pPr>
    </w:p>
    <w:p w:rsidR="006F787F" w:rsidRDefault="006F787F"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0260E9" w:rsidRDefault="000260E9" w:rsidP="0037321F">
      <w:pPr>
        <w:autoSpaceDE w:val="0"/>
        <w:autoSpaceDN w:val="0"/>
        <w:adjustRightInd w:val="0"/>
        <w:jc w:val="right"/>
        <w:rPr>
          <w:rFonts w:ascii="Calibri" w:hAnsi="Calibri" w:cs="Calibri"/>
          <w:b/>
          <w:bCs/>
          <w:color w:val="000000"/>
          <w:sz w:val="22"/>
          <w:szCs w:val="22"/>
        </w:rPr>
      </w:pPr>
    </w:p>
    <w:p w:rsidR="006F787F" w:rsidRDefault="006F787F" w:rsidP="0037321F">
      <w:pPr>
        <w:autoSpaceDE w:val="0"/>
        <w:autoSpaceDN w:val="0"/>
        <w:adjustRightInd w:val="0"/>
        <w:jc w:val="right"/>
        <w:rPr>
          <w:rFonts w:ascii="Calibri" w:hAnsi="Calibri" w:cs="Calibri"/>
          <w:b/>
          <w:bCs/>
          <w:color w:val="000000"/>
          <w:sz w:val="22"/>
          <w:szCs w:val="22"/>
        </w:rPr>
      </w:pPr>
    </w:p>
    <w:p w:rsidR="006F787F" w:rsidRDefault="006F787F" w:rsidP="0037321F">
      <w:pPr>
        <w:autoSpaceDE w:val="0"/>
        <w:autoSpaceDN w:val="0"/>
        <w:adjustRightInd w:val="0"/>
        <w:jc w:val="right"/>
        <w:rPr>
          <w:rFonts w:ascii="Calibri" w:hAnsi="Calibri" w:cs="Calibri"/>
          <w:b/>
          <w:bCs/>
          <w:color w:val="000000"/>
          <w:sz w:val="22"/>
          <w:szCs w:val="22"/>
        </w:rPr>
      </w:pPr>
    </w:p>
    <w:p w:rsidR="0037321F" w:rsidRPr="0037321F" w:rsidRDefault="0037321F" w:rsidP="0037321F">
      <w:pPr>
        <w:autoSpaceDE w:val="0"/>
        <w:autoSpaceDN w:val="0"/>
        <w:adjustRightInd w:val="0"/>
        <w:jc w:val="right"/>
        <w:rPr>
          <w:rFonts w:ascii="Calibri" w:hAnsi="Calibri" w:cs="Calibri"/>
          <w:b/>
          <w:bCs/>
          <w:color w:val="000000"/>
          <w:sz w:val="22"/>
          <w:szCs w:val="22"/>
        </w:rPr>
      </w:pPr>
      <w:r w:rsidRPr="0037321F">
        <w:rPr>
          <w:rFonts w:ascii="Calibri" w:hAnsi="Calibri" w:cs="Calibri"/>
          <w:b/>
          <w:bCs/>
          <w:color w:val="000000"/>
          <w:sz w:val="22"/>
          <w:szCs w:val="22"/>
        </w:rPr>
        <w:t>Attachment</w:t>
      </w:r>
    </w:p>
    <w:p w:rsidR="0037321F" w:rsidRPr="0037321F" w:rsidRDefault="0037321F" w:rsidP="0037321F">
      <w:pPr>
        <w:autoSpaceDE w:val="0"/>
        <w:autoSpaceDN w:val="0"/>
        <w:adjustRightInd w:val="0"/>
        <w:jc w:val="right"/>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 xml:space="preserve">Notes on </w:t>
      </w:r>
      <w:r w:rsidR="006F787F">
        <w:rPr>
          <w:rFonts w:ascii="Calibri" w:hAnsi="Calibri" w:cs="Calibri"/>
          <w:b/>
          <w:bCs/>
          <w:color w:val="000000"/>
          <w:sz w:val="22"/>
          <w:szCs w:val="22"/>
        </w:rPr>
        <w:t>Sections</w:t>
      </w:r>
    </w:p>
    <w:p w:rsidR="0037321F" w:rsidRPr="0037321F" w:rsidRDefault="0037321F" w:rsidP="0037321F">
      <w:pPr>
        <w:autoSpaceDE w:val="0"/>
        <w:autoSpaceDN w:val="0"/>
        <w:adjustRightInd w:val="0"/>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 xml:space="preserve">Section 1 </w:t>
      </w:r>
      <w:r w:rsidRPr="0037321F">
        <w:rPr>
          <w:rFonts w:ascii="Calibri" w:hAnsi="Calibri" w:cs="Calibri"/>
          <w:b/>
          <w:bCs/>
          <w:color w:val="000000"/>
          <w:sz w:val="22"/>
          <w:szCs w:val="22"/>
        </w:rPr>
        <w:tab/>
        <w:t xml:space="preserve"> Name of Declaration</w:t>
      </w:r>
    </w:p>
    <w:p w:rsidR="0037321F" w:rsidRPr="0037321F" w:rsidRDefault="0037321F" w:rsidP="0037321F">
      <w:pPr>
        <w:autoSpaceDE w:val="0"/>
        <w:autoSpaceDN w:val="0"/>
        <w:adjustRightInd w:val="0"/>
        <w:rPr>
          <w:rFonts w:ascii="Calibri" w:hAnsi="Calibri" w:cs="Calibri"/>
          <w:b/>
          <w:bCs/>
          <w:color w:val="000000"/>
          <w:sz w:val="22"/>
          <w:szCs w:val="22"/>
        </w:rPr>
      </w:pPr>
    </w:p>
    <w:p w:rsidR="006F787F" w:rsidRPr="00E023BA" w:rsidRDefault="006F787F" w:rsidP="006F787F">
      <w:pPr>
        <w:tabs>
          <w:tab w:val="left" w:pos="1701"/>
        </w:tabs>
        <w:autoSpaceDE w:val="0"/>
        <w:autoSpaceDN w:val="0"/>
        <w:adjustRightInd w:val="0"/>
        <w:rPr>
          <w:rFonts w:ascii="Calibri" w:hAnsi="Calibri" w:cs="Calibri"/>
          <w:i/>
          <w:sz w:val="22"/>
          <w:szCs w:val="22"/>
        </w:rPr>
      </w:pPr>
      <w:r w:rsidRPr="00E023BA">
        <w:rPr>
          <w:rFonts w:ascii="Calibri" w:hAnsi="Calibri" w:cs="Calibri"/>
          <w:sz w:val="22"/>
          <w:szCs w:val="22"/>
        </w:rPr>
        <w:t xml:space="preserve">Section 1 provides </w:t>
      </w:r>
      <w:r>
        <w:rPr>
          <w:rFonts w:ascii="Calibri" w:hAnsi="Calibri" w:cs="Calibri"/>
          <w:sz w:val="22"/>
          <w:szCs w:val="22"/>
        </w:rPr>
        <w:t>that the name of</w:t>
      </w:r>
      <w:r w:rsidRPr="00E023BA">
        <w:rPr>
          <w:rFonts w:ascii="Calibri" w:hAnsi="Calibri" w:cs="Calibri"/>
          <w:sz w:val="22"/>
          <w:szCs w:val="22"/>
        </w:rPr>
        <w:t xml:space="preserve"> the </w:t>
      </w:r>
      <w:r>
        <w:rPr>
          <w:rFonts w:ascii="Calibri" w:hAnsi="Calibri" w:cs="Calibri"/>
          <w:sz w:val="22"/>
          <w:szCs w:val="22"/>
        </w:rPr>
        <w:t xml:space="preserve">Declaration is the </w:t>
      </w:r>
      <w:r w:rsidRPr="00E023BA">
        <w:rPr>
          <w:rFonts w:ascii="Calibri" w:hAnsi="Calibri" w:cs="Calibri"/>
          <w:bCs/>
          <w:i/>
          <w:sz w:val="22"/>
          <w:szCs w:val="22"/>
        </w:rPr>
        <w:t>Radiocommunications (Prohibition of PMTS Jamming Devices) Declaration 2011</w:t>
      </w:r>
      <w:r w:rsidRPr="00E023BA">
        <w:rPr>
          <w:rFonts w:ascii="Calibri" w:hAnsi="Calibri" w:cs="Calibri"/>
          <w:sz w:val="22"/>
          <w:szCs w:val="22"/>
        </w:rPr>
        <w:t>.</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 xml:space="preserve">Section 2 </w:t>
      </w:r>
      <w:r w:rsidRPr="0037321F">
        <w:rPr>
          <w:rFonts w:ascii="Calibri" w:hAnsi="Calibri" w:cs="Calibri"/>
          <w:b/>
          <w:bCs/>
          <w:color w:val="000000"/>
          <w:sz w:val="22"/>
          <w:szCs w:val="22"/>
        </w:rPr>
        <w:tab/>
        <w:t>Commencement</w:t>
      </w:r>
    </w:p>
    <w:p w:rsidR="0037321F" w:rsidRPr="0037321F" w:rsidRDefault="0037321F" w:rsidP="0037321F">
      <w:pPr>
        <w:autoSpaceDE w:val="0"/>
        <w:autoSpaceDN w:val="0"/>
        <w:adjustRightInd w:val="0"/>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This section provides </w:t>
      </w:r>
      <w:r w:rsidR="006F787F">
        <w:rPr>
          <w:rFonts w:ascii="Calibri" w:hAnsi="Calibri" w:cs="Calibri"/>
          <w:color w:val="000000"/>
          <w:sz w:val="22"/>
          <w:szCs w:val="22"/>
        </w:rPr>
        <w:t xml:space="preserve">that </w:t>
      </w:r>
      <w:r w:rsidRPr="0037321F">
        <w:rPr>
          <w:rFonts w:ascii="Calibri" w:hAnsi="Calibri" w:cs="Calibri"/>
          <w:color w:val="000000"/>
          <w:sz w:val="22"/>
          <w:szCs w:val="22"/>
        </w:rPr>
        <w:t>the Declaration commence</w:t>
      </w:r>
      <w:r w:rsidR="006F787F">
        <w:rPr>
          <w:rFonts w:ascii="Calibri" w:hAnsi="Calibri" w:cs="Calibri"/>
          <w:color w:val="000000"/>
          <w:sz w:val="22"/>
          <w:szCs w:val="22"/>
        </w:rPr>
        <w:t>s</w:t>
      </w:r>
      <w:r w:rsidRPr="0037321F">
        <w:rPr>
          <w:rFonts w:ascii="Calibri" w:hAnsi="Calibri" w:cs="Calibri"/>
          <w:color w:val="000000"/>
          <w:sz w:val="22"/>
          <w:szCs w:val="22"/>
        </w:rPr>
        <w:t xml:space="preserve"> on the day after it is registered on the Federal Register of Legislative Instruments or the day by which the Declaration is published in one or more newspapers circulating in a capital city of each State and Territory in accordance with subsection 190(1) of the Act.</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 xml:space="preserve">Section 3 </w:t>
      </w:r>
      <w:r w:rsidRPr="0037321F">
        <w:rPr>
          <w:rFonts w:ascii="Calibri" w:hAnsi="Calibri" w:cs="Calibri"/>
          <w:b/>
          <w:bCs/>
          <w:color w:val="000000"/>
          <w:sz w:val="22"/>
          <w:szCs w:val="22"/>
        </w:rPr>
        <w:tab/>
        <w:t xml:space="preserve"> Definitions</w:t>
      </w:r>
    </w:p>
    <w:p w:rsidR="0037321F" w:rsidRPr="0037321F" w:rsidRDefault="0037321F" w:rsidP="0037321F">
      <w:pPr>
        <w:autoSpaceDE w:val="0"/>
        <w:autoSpaceDN w:val="0"/>
        <w:adjustRightInd w:val="0"/>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Section 3 defines terms used in the Declaration. These include ‘public mobile telecommunications service’ which is defined in section 32 of the </w:t>
      </w:r>
      <w:r w:rsidRPr="0037321F">
        <w:rPr>
          <w:rFonts w:ascii="Calibri" w:hAnsi="Calibri" w:cs="Calibri"/>
          <w:i/>
          <w:iCs/>
          <w:color w:val="000000"/>
          <w:sz w:val="22"/>
          <w:szCs w:val="22"/>
        </w:rPr>
        <w:t>Telecommunications Act 1997</w:t>
      </w:r>
      <w:r w:rsidRPr="0037321F">
        <w:rPr>
          <w:rFonts w:ascii="Calibri" w:hAnsi="Calibri" w:cs="Calibri"/>
          <w:color w:val="000000"/>
          <w:sz w:val="22"/>
          <w:szCs w:val="22"/>
        </w:rPr>
        <w:t>.</w:t>
      </w:r>
      <w:r w:rsidR="003C742C" w:rsidRPr="003C742C">
        <w:rPr>
          <w:rFonts w:ascii="Calibri" w:hAnsi="Calibri" w:cs="Calibri"/>
          <w:color w:val="000000"/>
          <w:sz w:val="22"/>
          <w:szCs w:val="22"/>
        </w:rPr>
        <w:t xml:space="preserve"> </w:t>
      </w:r>
      <w:r w:rsidR="003C742C">
        <w:rPr>
          <w:rFonts w:ascii="Calibri" w:hAnsi="Calibri" w:cs="Calibri"/>
          <w:color w:val="000000"/>
          <w:sz w:val="22"/>
          <w:szCs w:val="22"/>
        </w:rPr>
        <w:t>The inclusion of ‘public mobile telecommunications service’ in the definition of PMTS jamming device address</w:t>
      </w:r>
      <w:r w:rsidR="00E57EEE">
        <w:rPr>
          <w:rFonts w:ascii="Calibri" w:hAnsi="Calibri" w:cs="Calibri"/>
          <w:color w:val="000000"/>
          <w:sz w:val="22"/>
          <w:szCs w:val="22"/>
        </w:rPr>
        <w:t>es</w:t>
      </w:r>
      <w:r w:rsidR="003C742C">
        <w:rPr>
          <w:rFonts w:ascii="Calibri" w:hAnsi="Calibri" w:cs="Calibri"/>
          <w:color w:val="000000"/>
          <w:sz w:val="22"/>
          <w:szCs w:val="22"/>
        </w:rPr>
        <w:t xml:space="preserve"> the limitations of the Mobile Phone Jammer Prohibition which specified frequency bands as opposed to adopting a service type definition. The Declaration will therefore encompass future allocations of PMTS without amendment required.</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 xml:space="preserve">Section 4 </w:t>
      </w:r>
      <w:r w:rsidRPr="0037321F">
        <w:rPr>
          <w:rFonts w:ascii="Calibri" w:hAnsi="Calibri" w:cs="Calibri"/>
          <w:b/>
          <w:bCs/>
          <w:color w:val="000000"/>
          <w:sz w:val="22"/>
          <w:szCs w:val="22"/>
        </w:rPr>
        <w:tab/>
        <w:t>Meaning of PMTS jamming device</w:t>
      </w:r>
    </w:p>
    <w:p w:rsidR="0037321F" w:rsidRPr="0037321F" w:rsidRDefault="0037321F" w:rsidP="0037321F">
      <w:pPr>
        <w:autoSpaceDE w:val="0"/>
        <w:autoSpaceDN w:val="0"/>
        <w:adjustRightInd w:val="0"/>
        <w:rPr>
          <w:rFonts w:ascii="Calibri" w:hAnsi="Calibri" w:cs="Calibri"/>
          <w:b/>
          <w:bCs/>
          <w:color w:val="000000"/>
          <w:sz w:val="22"/>
          <w:szCs w:val="22"/>
        </w:rPr>
      </w:pPr>
    </w:p>
    <w:p w:rsidR="0078418C" w:rsidRPr="00B722D3" w:rsidRDefault="000F6C17" w:rsidP="0078418C">
      <w:pPr>
        <w:autoSpaceDE w:val="0"/>
        <w:autoSpaceDN w:val="0"/>
        <w:adjustRightInd w:val="0"/>
        <w:rPr>
          <w:rFonts w:ascii="Calibri" w:hAnsi="Calibri" w:cs="Calibri"/>
          <w:color w:val="000000"/>
          <w:sz w:val="22"/>
          <w:szCs w:val="22"/>
        </w:rPr>
      </w:pPr>
      <w:r w:rsidRPr="000F6C17">
        <w:rPr>
          <w:rFonts w:ascii="Calibri" w:hAnsi="Calibri" w:cs="Calibri"/>
          <w:color w:val="000000"/>
          <w:sz w:val="22"/>
          <w:szCs w:val="22"/>
        </w:rPr>
        <w:t xml:space="preserve">This section provides the characteristics of a PMTS jamming device as being a device that is designed to have an adverse effect on </w:t>
      </w:r>
      <w:proofErr w:type="spellStart"/>
      <w:r w:rsidRPr="000F6C17">
        <w:rPr>
          <w:rFonts w:ascii="Calibri" w:hAnsi="Calibri" w:cs="Calibri"/>
          <w:color w:val="000000"/>
          <w:sz w:val="22"/>
          <w:szCs w:val="22"/>
        </w:rPr>
        <w:t>radiocommunications</w:t>
      </w:r>
      <w:proofErr w:type="spellEnd"/>
      <w:r w:rsidRPr="000F6C17">
        <w:rPr>
          <w:rFonts w:ascii="Calibri" w:hAnsi="Calibri" w:cs="Calibri"/>
          <w:color w:val="000000"/>
          <w:sz w:val="22"/>
          <w:szCs w:val="22"/>
        </w:rPr>
        <w:t xml:space="preserve"> or would be likely substantially to interfere with, disrupt or disturb </w:t>
      </w:r>
      <w:proofErr w:type="spellStart"/>
      <w:r w:rsidRPr="000F6C17">
        <w:rPr>
          <w:rFonts w:ascii="Calibri" w:hAnsi="Calibri" w:cs="Calibri"/>
          <w:color w:val="000000"/>
          <w:sz w:val="22"/>
          <w:szCs w:val="22"/>
        </w:rPr>
        <w:t>radiocommunications</w:t>
      </w:r>
      <w:proofErr w:type="spellEnd"/>
      <w:r w:rsidRPr="000F6C17">
        <w:rPr>
          <w:rFonts w:ascii="Calibri" w:hAnsi="Calibri" w:cs="Calibri"/>
          <w:color w:val="000000"/>
          <w:sz w:val="22"/>
          <w:szCs w:val="22"/>
        </w:rPr>
        <w:t>. The characteristics provide that the device must also operate within one or more frequency bands used for PMTS. This include</w:t>
      </w:r>
      <w:r w:rsidR="000260E9">
        <w:rPr>
          <w:rFonts w:ascii="Calibri" w:hAnsi="Calibri" w:cs="Calibri"/>
          <w:color w:val="000000"/>
          <w:sz w:val="22"/>
          <w:szCs w:val="22"/>
        </w:rPr>
        <w:t>s a device primarily operating o</w:t>
      </w:r>
      <w:r w:rsidRPr="000F6C17">
        <w:rPr>
          <w:rFonts w:ascii="Calibri" w:hAnsi="Calibri" w:cs="Calibri"/>
          <w:color w:val="000000"/>
          <w:sz w:val="22"/>
          <w:szCs w:val="22"/>
        </w:rPr>
        <w:t xml:space="preserve">n a frequency band not used for PMTS, but which still operates within and affects PMTS. </w:t>
      </w:r>
    </w:p>
    <w:p w:rsidR="0078418C" w:rsidRDefault="0078418C" w:rsidP="0037321F">
      <w:pPr>
        <w:autoSpaceDE w:val="0"/>
        <w:autoSpaceDN w:val="0"/>
        <w:adjustRightInd w:val="0"/>
        <w:rPr>
          <w:rFonts w:ascii="Calibri" w:hAnsi="Calibri" w:cs="Calibri"/>
          <w:color w:val="000000"/>
          <w:sz w:val="22"/>
          <w:szCs w:val="22"/>
        </w:rPr>
      </w:pPr>
    </w:p>
    <w:p w:rsidR="0078418C" w:rsidRPr="0037321F" w:rsidRDefault="0078418C"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Section 5</w:t>
      </w:r>
      <w:r w:rsidRPr="0037321F">
        <w:rPr>
          <w:rFonts w:ascii="Calibri" w:hAnsi="Calibri" w:cs="Calibri"/>
          <w:b/>
          <w:bCs/>
          <w:color w:val="000000"/>
          <w:sz w:val="22"/>
          <w:szCs w:val="22"/>
        </w:rPr>
        <w:tab/>
        <w:t>Prohibition of PMTS jamming devices</w:t>
      </w:r>
    </w:p>
    <w:p w:rsidR="0037321F" w:rsidRPr="0037321F" w:rsidRDefault="0037321F" w:rsidP="0037321F">
      <w:pPr>
        <w:autoSpaceDE w:val="0"/>
        <w:autoSpaceDN w:val="0"/>
        <w:adjustRightInd w:val="0"/>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Section 5 specifies that the operation or supply, or possession for the purpose of operation of a supply, of a PMTS jamming device is prohibited, subject to sections 6 and 7.</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 xml:space="preserve">Section 6 </w:t>
      </w:r>
      <w:r w:rsidRPr="0037321F">
        <w:rPr>
          <w:rFonts w:ascii="Calibri" w:hAnsi="Calibri" w:cs="Calibri"/>
          <w:b/>
          <w:bCs/>
          <w:color w:val="000000"/>
          <w:sz w:val="22"/>
          <w:szCs w:val="22"/>
        </w:rPr>
        <w:tab/>
        <w:t>Operation of certain PMTS jamming devices on board an aircraft</w:t>
      </w:r>
    </w:p>
    <w:p w:rsidR="0037321F" w:rsidRPr="0037321F" w:rsidRDefault="0037321F" w:rsidP="0037321F">
      <w:pPr>
        <w:autoSpaceDE w:val="0"/>
        <w:autoSpaceDN w:val="0"/>
        <w:adjustRightInd w:val="0"/>
        <w:rPr>
          <w:rFonts w:ascii="Calibri" w:hAnsi="Calibri" w:cs="Calibri"/>
          <w:b/>
          <w:bCs/>
          <w:color w:val="000000"/>
          <w:sz w:val="22"/>
          <w:szCs w:val="22"/>
        </w:rPr>
      </w:pPr>
    </w:p>
    <w:p w:rsidR="00164334" w:rsidRDefault="00164334" w:rsidP="0037321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section enables the operation and possession of a PMTS jamming device if that device is part of a system </w:t>
      </w:r>
      <w:r w:rsidR="00AC2DEC">
        <w:rPr>
          <w:rFonts w:ascii="Calibri" w:hAnsi="Calibri" w:cs="Calibri"/>
          <w:color w:val="000000"/>
          <w:sz w:val="22"/>
          <w:szCs w:val="22"/>
        </w:rPr>
        <w:t xml:space="preserve">that provides </w:t>
      </w:r>
      <w:r>
        <w:rPr>
          <w:rFonts w:ascii="Calibri" w:hAnsi="Calibri" w:cs="Calibri"/>
          <w:color w:val="000000"/>
          <w:sz w:val="22"/>
          <w:szCs w:val="22"/>
        </w:rPr>
        <w:t xml:space="preserve">carriage services on board an aircraft. The operation of the </w:t>
      </w:r>
      <w:r w:rsidR="00DC16B2">
        <w:rPr>
          <w:rFonts w:ascii="Calibri" w:hAnsi="Calibri" w:cs="Calibri"/>
          <w:color w:val="000000"/>
          <w:sz w:val="22"/>
          <w:szCs w:val="22"/>
        </w:rPr>
        <w:t>device</w:t>
      </w:r>
      <w:r>
        <w:rPr>
          <w:rFonts w:ascii="Calibri" w:hAnsi="Calibri" w:cs="Calibri"/>
          <w:color w:val="000000"/>
          <w:sz w:val="22"/>
          <w:szCs w:val="22"/>
        </w:rPr>
        <w:t xml:space="preserve"> must be authorised by a PMTS</w:t>
      </w:r>
      <w:r w:rsidR="00AC2DEC">
        <w:rPr>
          <w:rFonts w:ascii="Calibri" w:hAnsi="Calibri" w:cs="Calibri"/>
          <w:color w:val="000000"/>
          <w:sz w:val="22"/>
          <w:szCs w:val="22"/>
        </w:rPr>
        <w:t xml:space="preserve"> Class C apparatus</w:t>
      </w:r>
      <w:r>
        <w:rPr>
          <w:rFonts w:ascii="Calibri" w:hAnsi="Calibri" w:cs="Calibri"/>
          <w:color w:val="000000"/>
          <w:sz w:val="22"/>
          <w:szCs w:val="22"/>
        </w:rPr>
        <w:t xml:space="preserve"> licence </w:t>
      </w:r>
      <w:r w:rsidR="00AC2DEC">
        <w:rPr>
          <w:rFonts w:ascii="Calibri" w:hAnsi="Calibri" w:cs="Calibri"/>
          <w:color w:val="000000"/>
          <w:sz w:val="22"/>
          <w:szCs w:val="22"/>
        </w:rPr>
        <w:t xml:space="preserve">which is </w:t>
      </w:r>
      <w:r>
        <w:rPr>
          <w:rFonts w:ascii="Calibri" w:hAnsi="Calibri" w:cs="Calibri"/>
          <w:color w:val="000000"/>
          <w:sz w:val="22"/>
          <w:szCs w:val="22"/>
        </w:rPr>
        <w:t xml:space="preserve">issued under the </w:t>
      </w:r>
      <w:r w:rsidR="000F6C17" w:rsidRPr="000F6C17">
        <w:rPr>
          <w:rFonts w:ascii="Calibri" w:hAnsi="Calibri" w:cs="Calibri"/>
          <w:i/>
          <w:color w:val="000000"/>
          <w:sz w:val="22"/>
          <w:szCs w:val="22"/>
        </w:rPr>
        <w:t>Radiocommunications Act 1992</w:t>
      </w:r>
      <w:r>
        <w:rPr>
          <w:rFonts w:ascii="Calibri" w:hAnsi="Calibri" w:cs="Calibri"/>
          <w:color w:val="000000"/>
          <w:sz w:val="22"/>
          <w:szCs w:val="22"/>
        </w:rPr>
        <w:t>. The PMTS</w:t>
      </w:r>
      <w:r w:rsidR="00AC2DEC">
        <w:rPr>
          <w:rFonts w:ascii="Calibri" w:hAnsi="Calibri" w:cs="Calibri"/>
          <w:color w:val="000000"/>
          <w:sz w:val="22"/>
          <w:szCs w:val="22"/>
        </w:rPr>
        <w:t xml:space="preserve"> Class</w:t>
      </w:r>
      <w:r>
        <w:rPr>
          <w:rFonts w:ascii="Calibri" w:hAnsi="Calibri" w:cs="Calibri"/>
          <w:color w:val="000000"/>
          <w:sz w:val="22"/>
          <w:szCs w:val="22"/>
        </w:rPr>
        <w:t xml:space="preserve"> C </w:t>
      </w:r>
      <w:r w:rsidR="00AC2DEC">
        <w:rPr>
          <w:rFonts w:ascii="Calibri" w:hAnsi="Calibri" w:cs="Calibri"/>
          <w:color w:val="000000"/>
          <w:sz w:val="22"/>
          <w:szCs w:val="22"/>
        </w:rPr>
        <w:t xml:space="preserve">apparatus </w:t>
      </w:r>
      <w:r>
        <w:rPr>
          <w:rFonts w:ascii="Calibri" w:hAnsi="Calibri" w:cs="Calibri"/>
          <w:color w:val="000000"/>
          <w:sz w:val="22"/>
          <w:szCs w:val="22"/>
        </w:rPr>
        <w:t xml:space="preserve">licence authorises </w:t>
      </w:r>
      <w:r w:rsidR="00AC2DEC">
        <w:rPr>
          <w:rFonts w:ascii="Calibri" w:hAnsi="Calibri" w:cs="Calibri"/>
          <w:color w:val="000000"/>
          <w:sz w:val="22"/>
          <w:szCs w:val="22"/>
        </w:rPr>
        <w:t>the in-flight operation of any Civil Aviation Safety Authority approved on board system and limited terrestrial operation of the on board system to enable testing and maintenance within non-spectrum licensed space.</w:t>
      </w:r>
    </w:p>
    <w:p w:rsidR="0037321F" w:rsidRPr="0037321F" w:rsidRDefault="0037321F" w:rsidP="0037321F">
      <w:pPr>
        <w:autoSpaceDE w:val="0"/>
        <w:autoSpaceDN w:val="0"/>
        <w:adjustRightInd w:val="0"/>
        <w:rPr>
          <w:rFonts w:ascii="Calibri" w:hAnsi="Calibri" w:cs="Calibri"/>
          <w:i/>
          <w:iCs/>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Section 7</w:t>
      </w:r>
      <w:r w:rsidRPr="0037321F">
        <w:rPr>
          <w:rFonts w:ascii="Calibri" w:hAnsi="Calibri" w:cs="Calibri"/>
          <w:b/>
          <w:bCs/>
          <w:color w:val="000000"/>
          <w:sz w:val="22"/>
          <w:szCs w:val="22"/>
        </w:rPr>
        <w:tab/>
      </w:r>
      <w:proofErr w:type="gramStart"/>
      <w:r w:rsidRPr="0037321F">
        <w:rPr>
          <w:rFonts w:ascii="Calibri" w:hAnsi="Calibri" w:cs="Calibri"/>
          <w:b/>
          <w:bCs/>
          <w:color w:val="000000"/>
          <w:sz w:val="22"/>
          <w:szCs w:val="22"/>
        </w:rPr>
        <w:t>The</w:t>
      </w:r>
      <w:proofErr w:type="gramEnd"/>
      <w:r w:rsidRPr="0037321F">
        <w:rPr>
          <w:rFonts w:ascii="Calibri" w:hAnsi="Calibri" w:cs="Calibri"/>
          <w:b/>
          <w:bCs/>
          <w:color w:val="000000"/>
          <w:sz w:val="22"/>
          <w:szCs w:val="22"/>
        </w:rPr>
        <w:t xml:space="preserve"> supply of certain PMTS jamming devices for operation on board an aircraft</w:t>
      </w:r>
    </w:p>
    <w:p w:rsidR="0037321F" w:rsidRPr="0037321F" w:rsidRDefault="0037321F" w:rsidP="0037321F">
      <w:pPr>
        <w:autoSpaceDE w:val="0"/>
        <w:autoSpaceDN w:val="0"/>
        <w:adjustRightInd w:val="0"/>
        <w:rPr>
          <w:rFonts w:ascii="Calibri" w:hAnsi="Calibri" w:cs="Calibri"/>
          <w:b/>
          <w:bCs/>
          <w:color w:val="000000"/>
          <w:sz w:val="22"/>
          <w:szCs w:val="22"/>
        </w:rPr>
      </w:pPr>
    </w:p>
    <w:p w:rsidR="00DC16B2" w:rsidRDefault="00AC2DEC" w:rsidP="0037321F">
      <w:pPr>
        <w:autoSpaceDE w:val="0"/>
        <w:autoSpaceDN w:val="0"/>
        <w:adjustRightInd w:val="0"/>
        <w:rPr>
          <w:rFonts w:ascii="Calibri" w:hAnsi="Calibri" w:cs="Calibri"/>
          <w:color w:val="000000"/>
          <w:sz w:val="22"/>
          <w:szCs w:val="22"/>
        </w:rPr>
      </w:pPr>
      <w:r>
        <w:rPr>
          <w:rFonts w:ascii="Calibri" w:hAnsi="Calibri" w:cs="Calibri"/>
          <w:color w:val="000000"/>
          <w:sz w:val="22"/>
          <w:szCs w:val="22"/>
        </w:rPr>
        <w:t>This section enables the supply</w:t>
      </w:r>
      <w:r w:rsidR="00DC16B2">
        <w:rPr>
          <w:rFonts w:ascii="Calibri" w:hAnsi="Calibri" w:cs="Calibri"/>
          <w:color w:val="000000"/>
          <w:sz w:val="22"/>
          <w:szCs w:val="22"/>
        </w:rPr>
        <w:t xml:space="preserve"> of a PMTS jamming device,</w:t>
      </w:r>
      <w:r>
        <w:rPr>
          <w:rFonts w:ascii="Calibri" w:hAnsi="Calibri" w:cs="Calibri"/>
          <w:color w:val="000000"/>
          <w:sz w:val="22"/>
          <w:szCs w:val="22"/>
        </w:rPr>
        <w:t xml:space="preserve"> or </w:t>
      </w:r>
      <w:r w:rsidR="00DC16B2">
        <w:rPr>
          <w:rFonts w:ascii="Calibri" w:hAnsi="Calibri" w:cs="Calibri"/>
          <w:color w:val="000000"/>
          <w:sz w:val="22"/>
          <w:szCs w:val="22"/>
        </w:rPr>
        <w:t xml:space="preserve">the </w:t>
      </w:r>
      <w:r>
        <w:rPr>
          <w:rFonts w:ascii="Calibri" w:hAnsi="Calibri" w:cs="Calibri"/>
          <w:color w:val="000000"/>
          <w:sz w:val="22"/>
          <w:szCs w:val="22"/>
        </w:rPr>
        <w:t>possession of a PMTS jamming device</w:t>
      </w:r>
      <w:r w:rsidR="00DC16B2">
        <w:rPr>
          <w:rFonts w:ascii="Calibri" w:hAnsi="Calibri" w:cs="Calibri"/>
          <w:color w:val="000000"/>
          <w:sz w:val="22"/>
          <w:szCs w:val="22"/>
        </w:rPr>
        <w:t xml:space="preserve"> for the purpose of its supply, under </w:t>
      </w:r>
      <w:r w:rsidR="0051710E">
        <w:rPr>
          <w:rFonts w:ascii="Calibri" w:hAnsi="Calibri" w:cs="Calibri"/>
          <w:color w:val="000000"/>
          <w:sz w:val="22"/>
          <w:szCs w:val="22"/>
        </w:rPr>
        <w:t xml:space="preserve">conditions </w:t>
      </w:r>
      <w:r w:rsidR="00DC16B2">
        <w:rPr>
          <w:rFonts w:ascii="Calibri" w:hAnsi="Calibri" w:cs="Calibri"/>
          <w:color w:val="000000"/>
          <w:sz w:val="22"/>
          <w:szCs w:val="22"/>
        </w:rPr>
        <w:t xml:space="preserve">specified </w:t>
      </w:r>
      <w:r w:rsidR="00770727">
        <w:rPr>
          <w:rFonts w:ascii="Calibri" w:hAnsi="Calibri" w:cs="Calibri"/>
          <w:color w:val="000000"/>
          <w:sz w:val="22"/>
          <w:szCs w:val="22"/>
        </w:rPr>
        <w:t>in this section</w:t>
      </w:r>
      <w:r w:rsidR="00DC16B2">
        <w:rPr>
          <w:rFonts w:ascii="Calibri" w:hAnsi="Calibri" w:cs="Calibri"/>
          <w:color w:val="000000"/>
          <w:sz w:val="22"/>
          <w:szCs w:val="22"/>
        </w:rPr>
        <w:t>. This provision assists the holder of a PMTS Class C apparatus licence to obtain a PMTS jamming device for the purpose of its operation on board an aircraft.</w:t>
      </w:r>
    </w:p>
    <w:p w:rsidR="006F787F" w:rsidRPr="0037321F" w:rsidRDefault="006F787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Section 8</w:t>
      </w:r>
      <w:r w:rsidRPr="0037321F">
        <w:rPr>
          <w:rFonts w:ascii="Calibri" w:hAnsi="Calibri" w:cs="Calibri"/>
          <w:b/>
          <w:bCs/>
          <w:color w:val="000000"/>
          <w:sz w:val="22"/>
          <w:szCs w:val="22"/>
        </w:rPr>
        <w:tab/>
        <w:t>Revocation</w:t>
      </w:r>
    </w:p>
    <w:p w:rsidR="0037321F" w:rsidRPr="0037321F" w:rsidRDefault="0037321F" w:rsidP="0037321F">
      <w:pPr>
        <w:autoSpaceDE w:val="0"/>
        <w:autoSpaceDN w:val="0"/>
        <w:adjustRightInd w:val="0"/>
        <w:rPr>
          <w:rFonts w:ascii="Calibri" w:hAnsi="Calibri" w:cs="Calibri"/>
          <w:b/>
          <w:bCs/>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r w:rsidRPr="0037321F">
        <w:rPr>
          <w:rFonts w:ascii="Calibri" w:hAnsi="Calibri" w:cs="Calibri"/>
          <w:color w:val="000000"/>
          <w:sz w:val="22"/>
          <w:szCs w:val="22"/>
        </w:rPr>
        <w:t xml:space="preserve">This section provides that the declaration known as the </w:t>
      </w:r>
      <w:r w:rsidR="006F787F" w:rsidRPr="0037321F">
        <w:rPr>
          <w:rFonts w:ascii="Calibri" w:hAnsi="Calibri" w:cs="Calibri"/>
          <w:i/>
          <w:iCs/>
          <w:color w:val="000000"/>
          <w:sz w:val="22"/>
          <w:szCs w:val="22"/>
        </w:rPr>
        <w:t>Notification that the Australian Communications</w:t>
      </w:r>
      <w:r w:rsidR="006F787F">
        <w:rPr>
          <w:rFonts w:ascii="Calibri" w:hAnsi="Calibri" w:cs="Calibri"/>
          <w:i/>
          <w:iCs/>
          <w:color w:val="000000"/>
          <w:sz w:val="22"/>
          <w:szCs w:val="22"/>
        </w:rPr>
        <w:t xml:space="preserve"> and Media</w:t>
      </w:r>
      <w:r w:rsidR="006F787F" w:rsidRPr="0037321F">
        <w:rPr>
          <w:rFonts w:ascii="Calibri" w:hAnsi="Calibri" w:cs="Calibri"/>
          <w:i/>
          <w:iCs/>
          <w:color w:val="000000"/>
          <w:sz w:val="22"/>
          <w:szCs w:val="22"/>
        </w:rPr>
        <w:t xml:space="preserve"> Authority prohibits the operation or supply, or possession for the purpose of operation or</w:t>
      </w:r>
      <w:r w:rsidR="006F787F" w:rsidRPr="0037321F">
        <w:rPr>
          <w:rFonts w:ascii="Calibri" w:hAnsi="Calibri" w:cs="Calibri"/>
          <w:color w:val="000000"/>
          <w:sz w:val="22"/>
          <w:szCs w:val="22"/>
        </w:rPr>
        <w:t xml:space="preserve"> </w:t>
      </w:r>
      <w:r w:rsidR="006F787F" w:rsidRPr="0037321F">
        <w:rPr>
          <w:rFonts w:ascii="Calibri" w:hAnsi="Calibri" w:cs="Calibri"/>
          <w:i/>
          <w:color w:val="000000"/>
          <w:sz w:val="22"/>
          <w:szCs w:val="22"/>
        </w:rPr>
        <w:t xml:space="preserve">supply, </w:t>
      </w:r>
      <w:r w:rsidR="006F787F" w:rsidRPr="0037321F">
        <w:rPr>
          <w:rFonts w:ascii="Calibri" w:hAnsi="Calibri" w:cs="Calibri"/>
          <w:i/>
          <w:iCs/>
          <w:color w:val="000000"/>
          <w:sz w:val="22"/>
          <w:szCs w:val="22"/>
        </w:rPr>
        <w:t>of specified devices</w:t>
      </w:r>
      <w:r w:rsidRPr="0037321F">
        <w:rPr>
          <w:rFonts w:ascii="Calibri" w:hAnsi="Calibri" w:cs="Calibri"/>
          <w:color w:val="000000"/>
          <w:sz w:val="22"/>
          <w:szCs w:val="22"/>
        </w:rPr>
        <w:t xml:space="preserve"> is revoked. </w:t>
      </w: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color w:val="000000"/>
          <w:sz w:val="22"/>
          <w:szCs w:val="22"/>
        </w:rPr>
      </w:pPr>
    </w:p>
    <w:p w:rsidR="0037321F" w:rsidRPr="0037321F" w:rsidRDefault="0037321F" w:rsidP="0037321F">
      <w:pPr>
        <w:autoSpaceDE w:val="0"/>
        <w:autoSpaceDN w:val="0"/>
        <w:adjustRightInd w:val="0"/>
        <w:rPr>
          <w:rFonts w:ascii="Calibri" w:hAnsi="Calibri" w:cs="Calibri"/>
          <w:b/>
          <w:bCs/>
          <w:color w:val="000000"/>
          <w:sz w:val="22"/>
          <w:szCs w:val="22"/>
        </w:rPr>
      </w:pPr>
      <w:r w:rsidRPr="0037321F">
        <w:rPr>
          <w:rFonts w:ascii="Calibri" w:hAnsi="Calibri" w:cs="Calibri"/>
          <w:b/>
          <w:bCs/>
          <w:color w:val="000000"/>
          <w:sz w:val="22"/>
          <w:szCs w:val="22"/>
        </w:rPr>
        <w:t>Schedule 1</w:t>
      </w:r>
      <w:r w:rsidRPr="0037321F">
        <w:rPr>
          <w:rFonts w:ascii="Calibri" w:hAnsi="Calibri" w:cs="Calibri"/>
          <w:b/>
          <w:bCs/>
          <w:color w:val="000000"/>
          <w:sz w:val="22"/>
          <w:szCs w:val="22"/>
        </w:rPr>
        <w:tab/>
      </w:r>
      <w:proofErr w:type="gramStart"/>
      <w:r w:rsidRPr="0037321F">
        <w:rPr>
          <w:rFonts w:ascii="Calibri" w:hAnsi="Calibri" w:cs="Calibri"/>
          <w:b/>
          <w:bCs/>
          <w:color w:val="000000"/>
          <w:sz w:val="22"/>
          <w:szCs w:val="22"/>
        </w:rPr>
        <w:t>Reasons</w:t>
      </w:r>
      <w:proofErr w:type="gramEnd"/>
      <w:r w:rsidRPr="0037321F">
        <w:rPr>
          <w:rFonts w:ascii="Calibri" w:hAnsi="Calibri" w:cs="Calibri"/>
          <w:b/>
          <w:bCs/>
          <w:color w:val="000000"/>
          <w:sz w:val="22"/>
          <w:szCs w:val="22"/>
        </w:rPr>
        <w:t xml:space="preserve"> for Prohibition</w:t>
      </w:r>
    </w:p>
    <w:p w:rsidR="0037321F" w:rsidRPr="0037321F" w:rsidRDefault="0037321F" w:rsidP="0037321F">
      <w:pPr>
        <w:autoSpaceDE w:val="0"/>
        <w:autoSpaceDN w:val="0"/>
        <w:adjustRightInd w:val="0"/>
        <w:rPr>
          <w:rFonts w:ascii="Calibri" w:hAnsi="Calibri" w:cs="Calibri"/>
          <w:b/>
          <w:bCs/>
          <w:color w:val="000000"/>
          <w:sz w:val="22"/>
          <w:szCs w:val="22"/>
        </w:rPr>
      </w:pPr>
    </w:p>
    <w:p w:rsidR="00F068B7" w:rsidRPr="0037321F" w:rsidRDefault="0037321F" w:rsidP="0037321F">
      <w:pPr>
        <w:rPr>
          <w:szCs w:val="22"/>
        </w:rPr>
      </w:pPr>
      <w:r w:rsidRPr="0037321F">
        <w:rPr>
          <w:rFonts w:ascii="Calibri" w:hAnsi="Calibri" w:cs="Calibri"/>
          <w:color w:val="000000"/>
          <w:sz w:val="22"/>
          <w:szCs w:val="22"/>
        </w:rPr>
        <w:t>The schedule sets out the reasons for prohibiting the operation, possession or supply of PMTS jamming devices. These reasons include that PMTS jamming devices can be used to block, or otherwise interfere with radio emissions between a mobile handset, commonly known as a mobile phone, and a base station.</w:t>
      </w:r>
      <w:r w:rsidR="003410D6">
        <w:rPr>
          <w:rFonts w:ascii="Calibri" w:hAnsi="Calibri" w:cs="Calibri"/>
          <w:color w:val="000000"/>
          <w:sz w:val="22"/>
          <w:szCs w:val="22"/>
        </w:rPr>
        <w:t xml:space="preserve"> The prevention of access to PMTS may adversely affect business and individuals by preventing access to the emergency call services, or through loss of business by causing inconvenience to mobile phone users.  Further, high powered PMTS jamming devices may emit radiation levels that pose a risk to public safety.</w:t>
      </w:r>
    </w:p>
    <w:sectPr w:rsidR="00F068B7" w:rsidRPr="0037321F" w:rsidSect="004B1C63">
      <w:headerReference w:type="default" r:id="rId8"/>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685" w:rsidRDefault="00524685">
      <w:r>
        <w:separator/>
      </w:r>
    </w:p>
  </w:endnote>
  <w:endnote w:type="continuationSeparator" w:id="0">
    <w:p w:rsidR="00524685" w:rsidRDefault="005246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685" w:rsidRDefault="00524685">
      <w:r>
        <w:separator/>
      </w:r>
    </w:p>
  </w:footnote>
  <w:footnote w:type="continuationSeparator" w:id="0">
    <w:p w:rsidR="00524685" w:rsidRDefault="00524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BB" w:rsidRPr="00B93B3D" w:rsidRDefault="005D2CBB" w:rsidP="00B93B3D">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2FC"/>
    <w:multiLevelType w:val="hybridMultilevel"/>
    <w:tmpl w:val="103E7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E36D0C"/>
    <w:multiLevelType w:val="singleLevel"/>
    <w:tmpl w:val="FFFFFFFF"/>
    <w:lvl w:ilvl="0">
      <w:start w:val="1"/>
      <w:numFmt w:val="bullet"/>
      <w:lvlText w:val=""/>
      <w:legacy w:legacy="1" w:legacySpace="0" w:legacyIndent="567"/>
      <w:lvlJc w:val="left"/>
      <w:pPr>
        <w:ind w:left="567" w:hanging="567"/>
      </w:pPr>
      <w:rPr>
        <w:rFonts w:ascii="Symbol" w:hAnsi="Symbol" w:hint="default"/>
        <w:sz w:val="20"/>
      </w:rPr>
    </w:lvl>
  </w:abstractNum>
  <w:abstractNum w:abstractNumId="2">
    <w:nsid w:val="0BB3783B"/>
    <w:multiLevelType w:val="singleLevel"/>
    <w:tmpl w:val="0C09000F"/>
    <w:lvl w:ilvl="0">
      <w:start w:val="1"/>
      <w:numFmt w:val="decimal"/>
      <w:lvlText w:val="%1."/>
      <w:lvlJc w:val="left"/>
      <w:pPr>
        <w:tabs>
          <w:tab w:val="num" w:pos="360"/>
        </w:tabs>
        <w:ind w:left="360" w:hanging="360"/>
      </w:pPr>
    </w:lvl>
  </w:abstractNum>
  <w:abstractNum w:abstractNumId="3">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05639E"/>
    <w:multiLevelType w:val="hybridMultilevel"/>
    <w:tmpl w:val="7698108A"/>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nsid w:val="19EC1CB9"/>
    <w:multiLevelType w:val="singleLevel"/>
    <w:tmpl w:val="0C09000F"/>
    <w:lvl w:ilvl="0">
      <w:start w:val="1"/>
      <w:numFmt w:val="decimal"/>
      <w:lvlText w:val="%1."/>
      <w:lvlJc w:val="left"/>
      <w:pPr>
        <w:tabs>
          <w:tab w:val="num" w:pos="360"/>
        </w:tabs>
        <w:ind w:left="360" w:hanging="360"/>
      </w:pPr>
    </w:lvl>
  </w:abstractNum>
  <w:abstractNum w:abstractNumId="6">
    <w:nsid w:val="1A916B21"/>
    <w:multiLevelType w:val="hybridMultilevel"/>
    <w:tmpl w:val="646CF2FA"/>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7">
    <w:nsid w:val="1B4563EB"/>
    <w:multiLevelType w:val="hybridMultilevel"/>
    <w:tmpl w:val="EEC6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2B3CA8"/>
    <w:multiLevelType w:val="hybridMultilevel"/>
    <w:tmpl w:val="90220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0F4A50"/>
    <w:multiLevelType w:val="hybridMultilevel"/>
    <w:tmpl w:val="B300BD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B3429D"/>
    <w:multiLevelType w:val="hybridMultilevel"/>
    <w:tmpl w:val="82325DCC"/>
    <w:lvl w:ilvl="0" w:tplc="0C090017">
      <w:start w:val="1"/>
      <w:numFmt w:val="lowerLetter"/>
      <w:lvlText w:val="%1)"/>
      <w:lvlJc w:val="left"/>
      <w:pPr>
        <w:tabs>
          <w:tab w:val="num" w:pos="720"/>
        </w:tabs>
        <w:ind w:left="720" w:hanging="360"/>
      </w:pPr>
      <w:rPr>
        <w:rFonts w:hint="default"/>
      </w:rPr>
    </w:lvl>
    <w:lvl w:ilvl="1" w:tplc="EF903190">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28B68D9"/>
    <w:multiLevelType w:val="hybridMultilevel"/>
    <w:tmpl w:val="5392900E"/>
    <w:lvl w:ilvl="0" w:tplc="0C090017">
      <w:start w:val="1"/>
      <w:numFmt w:val="lowerLetter"/>
      <w:lvlText w:val="%1)"/>
      <w:lvlJc w:val="left"/>
      <w:pPr>
        <w:tabs>
          <w:tab w:val="num" w:pos="720"/>
        </w:tabs>
        <w:ind w:left="720" w:hanging="360"/>
      </w:pPr>
      <w:rPr>
        <w:rFonts w:hint="default"/>
      </w:rPr>
    </w:lvl>
    <w:lvl w:ilvl="1" w:tplc="0C090013">
      <w:start w:val="1"/>
      <w:numFmt w:val="upperRoman"/>
      <w:lvlText w:val="%2."/>
      <w:lvlJc w:val="right"/>
      <w:pPr>
        <w:tabs>
          <w:tab w:val="num" w:pos="1260"/>
        </w:tabs>
        <w:ind w:left="1260" w:hanging="18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81D1869"/>
    <w:multiLevelType w:val="hybridMultilevel"/>
    <w:tmpl w:val="F956EC66"/>
    <w:lvl w:ilvl="0" w:tplc="D9EEFC1A">
      <w:start w:val="1"/>
      <w:numFmt w:val="decimal"/>
      <w:pStyle w:val="ABANumberedList"/>
      <w:lvlText w:val="%1."/>
      <w:lvlJc w:val="left"/>
      <w:pPr>
        <w:tabs>
          <w:tab w:val="num" w:pos="360"/>
        </w:tabs>
        <w:ind w:left="360" w:hanging="360"/>
      </w:pPr>
      <w:rPr>
        <w:rFonts w:hint="default"/>
      </w:rPr>
    </w:lvl>
    <w:lvl w:ilvl="1" w:tplc="0C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3A00E1"/>
    <w:multiLevelType w:val="hybridMultilevel"/>
    <w:tmpl w:val="EAE4C0D8"/>
    <w:lvl w:ilvl="0" w:tplc="8FBE13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C1F690B"/>
    <w:multiLevelType w:val="multilevel"/>
    <w:tmpl w:val="EE46B798"/>
    <w:lvl w:ilvl="0">
      <w:start w:val="1"/>
      <w:numFmt w:val="lowerLetter"/>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570DD0"/>
    <w:multiLevelType w:val="hybridMultilevel"/>
    <w:tmpl w:val="9B582276"/>
    <w:lvl w:ilvl="0" w:tplc="180AAA30">
      <w:start w:val="1"/>
      <w:numFmt w:val="lowerLetter"/>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16">
    <w:nsid w:val="2FC5604A"/>
    <w:multiLevelType w:val="hybridMultilevel"/>
    <w:tmpl w:val="7EB4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6B916E2"/>
    <w:multiLevelType w:val="hybridMultilevel"/>
    <w:tmpl w:val="B4E0A60E"/>
    <w:lvl w:ilvl="0" w:tplc="867837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BFF5D09"/>
    <w:multiLevelType w:val="hybridMultilevel"/>
    <w:tmpl w:val="FE20CA0C"/>
    <w:lvl w:ilvl="0" w:tplc="0382F7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D21645D"/>
    <w:multiLevelType w:val="singleLevel"/>
    <w:tmpl w:val="FFFFFFFF"/>
    <w:lvl w:ilvl="0">
      <w:start w:val="1"/>
      <w:numFmt w:val="bullet"/>
      <w:lvlText w:val=""/>
      <w:legacy w:legacy="1" w:legacySpace="0" w:legacyIndent="567"/>
      <w:lvlJc w:val="left"/>
      <w:pPr>
        <w:ind w:left="567" w:hanging="567"/>
      </w:pPr>
      <w:rPr>
        <w:rFonts w:ascii="Symbol" w:hAnsi="Symbol" w:hint="default"/>
        <w:sz w:val="20"/>
      </w:rPr>
    </w:lvl>
  </w:abstractNum>
  <w:abstractNum w:abstractNumId="20">
    <w:nsid w:val="3F415571"/>
    <w:multiLevelType w:val="hybridMultilevel"/>
    <w:tmpl w:val="8256A37E"/>
    <w:lvl w:ilvl="0" w:tplc="D9EA73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nsid w:val="463529F3"/>
    <w:multiLevelType w:val="hybridMultilevel"/>
    <w:tmpl w:val="B0265640"/>
    <w:lvl w:ilvl="0" w:tplc="0C090003">
      <w:start w:val="4"/>
      <w:numFmt w:val="decimal"/>
      <w:lvlText w:val="%1."/>
      <w:lvlJc w:val="left"/>
      <w:pPr>
        <w:tabs>
          <w:tab w:val="num" w:pos="1080"/>
        </w:tabs>
        <w:ind w:left="1080" w:hanging="720"/>
      </w:pPr>
      <w:rPr>
        <w:rFonts w:hint="default"/>
      </w:rPr>
    </w:lvl>
    <w:lvl w:ilvl="1" w:tplc="A3E03B50">
      <w:start w:val="1"/>
      <w:numFmt w:val="bullet"/>
      <w:lvlText w:val=""/>
      <w:lvlJc w:val="left"/>
      <w:pPr>
        <w:tabs>
          <w:tab w:val="num" w:pos="1306"/>
        </w:tabs>
        <w:ind w:left="1476" w:hanging="396"/>
      </w:pPr>
      <w:rPr>
        <w:rFonts w:ascii="Symbol" w:hAnsi="Symbol" w:hint="default"/>
      </w:rPr>
    </w:lvl>
    <w:lvl w:ilvl="2" w:tplc="D9EEFC1A">
      <w:start w:val="1"/>
      <w:numFmt w:val="bullet"/>
      <w:lvlText w:val="o"/>
      <w:lvlJc w:val="left"/>
      <w:pPr>
        <w:tabs>
          <w:tab w:val="num" w:pos="2520"/>
        </w:tabs>
        <w:ind w:left="2520" w:hanging="360"/>
      </w:pPr>
      <w:rPr>
        <w:rFonts w:ascii="Courier New" w:hAnsi="Courier New" w:cs="Courier New"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2">
    <w:nsid w:val="4B565EF9"/>
    <w:multiLevelType w:val="hybridMultilevel"/>
    <w:tmpl w:val="A692AD68"/>
    <w:lvl w:ilvl="0" w:tplc="A3E03B50">
      <w:start w:val="1"/>
      <w:numFmt w:val="bullet"/>
      <w:lvlText w:val=""/>
      <w:lvlJc w:val="left"/>
      <w:pPr>
        <w:tabs>
          <w:tab w:val="num" w:pos="1306"/>
        </w:tabs>
        <w:ind w:left="1476" w:hanging="396"/>
      </w:pPr>
      <w:rPr>
        <w:rFonts w:ascii="Symbol" w:hAnsi="Symbol" w:hint="default"/>
      </w:rPr>
    </w:lvl>
    <w:lvl w:ilvl="1" w:tplc="0C090003" w:tentative="1">
      <w:start w:val="1"/>
      <w:numFmt w:val="bullet"/>
      <w:lvlText w:val="o"/>
      <w:lvlJc w:val="left"/>
      <w:pPr>
        <w:tabs>
          <w:tab w:val="num" w:pos="2236"/>
        </w:tabs>
        <w:ind w:left="2236" w:hanging="360"/>
      </w:pPr>
      <w:rPr>
        <w:rFonts w:ascii="Courier New" w:hAnsi="Courier New" w:cs="Courier New" w:hint="default"/>
      </w:rPr>
    </w:lvl>
    <w:lvl w:ilvl="2" w:tplc="0C090005" w:tentative="1">
      <w:start w:val="1"/>
      <w:numFmt w:val="bullet"/>
      <w:lvlText w:val=""/>
      <w:lvlJc w:val="left"/>
      <w:pPr>
        <w:tabs>
          <w:tab w:val="num" w:pos="2956"/>
        </w:tabs>
        <w:ind w:left="2956" w:hanging="360"/>
      </w:pPr>
      <w:rPr>
        <w:rFonts w:ascii="Wingdings" w:hAnsi="Wingdings" w:hint="default"/>
      </w:rPr>
    </w:lvl>
    <w:lvl w:ilvl="3" w:tplc="0C090001" w:tentative="1">
      <w:start w:val="1"/>
      <w:numFmt w:val="bullet"/>
      <w:lvlText w:val=""/>
      <w:lvlJc w:val="left"/>
      <w:pPr>
        <w:tabs>
          <w:tab w:val="num" w:pos="3676"/>
        </w:tabs>
        <w:ind w:left="3676" w:hanging="360"/>
      </w:pPr>
      <w:rPr>
        <w:rFonts w:ascii="Symbol" w:hAnsi="Symbol" w:hint="default"/>
      </w:rPr>
    </w:lvl>
    <w:lvl w:ilvl="4" w:tplc="0C090003" w:tentative="1">
      <w:start w:val="1"/>
      <w:numFmt w:val="bullet"/>
      <w:lvlText w:val="o"/>
      <w:lvlJc w:val="left"/>
      <w:pPr>
        <w:tabs>
          <w:tab w:val="num" w:pos="4396"/>
        </w:tabs>
        <w:ind w:left="4396" w:hanging="360"/>
      </w:pPr>
      <w:rPr>
        <w:rFonts w:ascii="Courier New" w:hAnsi="Courier New" w:cs="Courier New" w:hint="default"/>
      </w:rPr>
    </w:lvl>
    <w:lvl w:ilvl="5" w:tplc="0C090005" w:tentative="1">
      <w:start w:val="1"/>
      <w:numFmt w:val="bullet"/>
      <w:lvlText w:val=""/>
      <w:lvlJc w:val="left"/>
      <w:pPr>
        <w:tabs>
          <w:tab w:val="num" w:pos="5116"/>
        </w:tabs>
        <w:ind w:left="5116" w:hanging="360"/>
      </w:pPr>
      <w:rPr>
        <w:rFonts w:ascii="Wingdings" w:hAnsi="Wingdings" w:hint="default"/>
      </w:rPr>
    </w:lvl>
    <w:lvl w:ilvl="6" w:tplc="0C090001" w:tentative="1">
      <w:start w:val="1"/>
      <w:numFmt w:val="bullet"/>
      <w:lvlText w:val=""/>
      <w:lvlJc w:val="left"/>
      <w:pPr>
        <w:tabs>
          <w:tab w:val="num" w:pos="5836"/>
        </w:tabs>
        <w:ind w:left="5836" w:hanging="360"/>
      </w:pPr>
      <w:rPr>
        <w:rFonts w:ascii="Symbol" w:hAnsi="Symbol" w:hint="default"/>
      </w:rPr>
    </w:lvl>
    <w:lvl w:ilvl="7" w:tplc="0C090003" w:tentative="1">
      <w:start w:val="1"/>
      <w:numFmt w:val="bullet"/>
      <w:lvlText w:val="o"/>
      <w:lvlJc w:val="left"/>
      <w:pPr>
        <w:tabs>
          <w:tab w:val="num" w:pos="6556"/>
        </w:tabs>
        <w:ind w:left="6556" w:hanging="360"/>
      </w:pPr>
      <w:rPr>
        <w:rFonts w:ascii="Courier New" w:hAnsi="Courier New" w:cs="Courier New" w:hint="default"/>
      </w:rPr>
    </w:lvl>
    <w:lvl w:ilvl="8" w:tplc="0C090005" w:tentative="1">
      <w:start w:val="1"/>
      <w:numFmt w:val="bullet"/>
      <w:lvlText w:val=""/>
      <w:lvlJc w:val="left"/>
      <w:pPr>
        <w:tabs>
          <w:tab w:val="num" w:pos="7276"/>
        </w:tabs>
        <w:ind w:left="7276" w:hanging="360"/>
      </w:pPr>
      <w:rPr>
        <w:rFonts w:ascii="Wingdings" w:hAnsi="Wingdings" w:hint="default"/>
      </w:rPr>
    </w:lvl>
  </w:abstractNum>
  <w:abstractNum w:abstractNumId="23">
    <w:nsid w:val="4E500F8D"/>
    <w:multiLevelType w:val="hybridMultilevel"/>
    <w:tmpl w:val="9B08035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E5C602C"/>
    <w:multiLevelType w:val="hybridMultilevel"/>
    <w:tmpl w:val="91FCF1C8"/>
    <w:lvl w:ilvl="0" w:tplc="0C09000F">
      <w:start w:val="1"/>
      <w:numFmt w:val="decimal"/>
      <w:lvlText w:val="%1."/>
      <w:lvlJc w:val="left"/>
      <w:pPr>
        <w:ind w:left="747" w:hanging="360"/>
      </w:pPr>
    </w:lvl>
    <w:lvl w:ilvl="1" w:tplc="0C090019" w:tentative="1">
      <w:start w:val="1"/>
      <w:numFmt w:val="lowerLetter"/>
      <w:lvlText w:val="%2."/>
      <w:lvlJc w:val="left"/>
      <w:pPr>
        <w:ind w:left="1467" w:hanging="360"/>
      </w:pPr>
    </w:lvl>
    <w:lvl w:ilvl="2" w:tplc="0C09001B" w:tentative="1">
      <w:start w:val="1"/>
      <w:numFmt w:val="lowerRoman"/>
      <w:lvlText w:val="%3."/>
      <w:lvlJc w:val="right"/>
      <w:pPr>
        <w:ind w:left="2187" w:hanging="180"/>
      </w:pPr>
    </w:lvl>
    <w:lvl w:ilvl="3" w:tplc="0C09000F" w:tentative="1">
      <w:start w:val="1"/>
      <w:numFmt w:val="decimal"/>
      <w:lvlText w:val="%4."/>
      <w:lvlJc w:val="left"/>
      <w:pPr>
        <w:ind w:left="2907" w:hanging="360"/>
      </w:pPr>
    </w:lvl>
    <w:lvl w:ilvl="4" w:tplc="0C090019" w:tentative="1">
      <w:start w:val="1"/>
      <w:numFmt w:val="lowerLetter"/>
      <w:lvlText w:val="%5."/>
      <w:lvlJc w:val="left"/>
      <w:pPr>
        <w:ind w:left="3627" w:hanging="360"/>
      </w:pPr>
    </w:lvl>
    <w:lvl w:ilvl="5" w:tplc="0C09001B" w:tentative="1">
      <w:start w:val="1"/>
      <w:numFmt w:val="lowerRoman"/>
      <w:lvlText w:val="%6."/>
      <w:lvlJc w:val="right"/>
      <w:pPr>
        <w:ind w:left="4347" w:hanging="180"/>
      </w:pPr>
    </w:lvl>
    <w:lvl w:ilvl="6" w:tplc="0C09000F" w:tentative="1">
      <w:start w:val="1"/>
      <w:numFmt w:val="decimal"/>
      <w:lvlText w:val="%7."/>
      <w:lvlJc w:val="left"/>
      <w:pPr>
        <w:ind w:left="5067" w:hanging="360"/>
      </w:pPr>
    </w:lvl>
    <w:lvl w:ilvl="7" w:tplc="0C090019" w:tentative="1">
      <w:start w:val="1"/>
      <w:numFmt w:val="lowerLetter"/>
      <w:lvlText w:val="%8."/>
      <w:lvlJc w:val="left"/>
      <w:pPr>
        <w:ind w:left="5787" w:hanging="360"/>
      </w:pPr>
    </w:lvl>
    <w:lvl w:ilvl="8" w:tplc="0C09001B" w:tentative="1">
      <w:start w:val="1"/>
      <w:numFmt w:val="lowerRoman"/>
      <w:lvlText w:val="%9."/>
      <w:lvlJc w:val="right"/>
      <w:pPr>
        <w:ind w:left="6507" w:hanging="180"/>
      </w:pPr>
    </w:lvl>
  </w:abstractNum>
  <w:abstractNum w:abstractNumId="25">
    <w:nsid w:val="565E242D"/>
    <w:multiLevelType w:val="hybridMultilevel"/>
    <w:tmpl w:val="F4A056C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DC760F2"/>
    <w:multiLevelType w:val="hybridMultilevel"/>
    <w:tmpl w:val="E2E4E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153BA6"/>
    <w:multiLevelType w:val="hybridMultilevel"/>
    <w:tmpl w:val="B0567C2A"/>
    <w:lvl w:ilvl="0" w:tplc="633A42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7FA423E"/>
    <w:multiLevelType w:val="multilevel"/>
    <w:tmpl w:val="265CFB5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A087D28"/>
    <w:multiLevelType w:val="hybridMultilevel"/>
    <w:tmpl w:val="F0CA3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AC315D2"/>
    <w:multiLevelType w:val="hybridMultilevel"/>
    <w:tmpl w:val="E1EA6EA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6D785185"/>
    <w:multiLevelType w:val="hybridMultilevel"/>
    <w:tmpl w:val="DD48BC6C"/>
    <w:lvl w:ilvl="0" w:tplc="0C090001">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647"/>
        </w:tabs>
        <w:ind w:left="1647" w:hanging="360"/>
      </w:pPr>
      <w:rPr>
        <w:rFonts w:ascii="Courier New" w:hAnsi="Courier New" w:cs="Courier New" w:hint="default"/>
      </w:rPr>
    </w:lvl>
    <w:lvl w:ilvl="2" w:tplc="0C090001">
      <w:start w:val="1"/>
      <w:numFmt w:val="bullet"/>
      <w:lvlText w:val=""/>
      <w:lvlJc w:val="left"/>
      <w:pPr>
        <w:tabs>
          <w:tab w:val="num" w:pos="2367"/>
        </w:tabs>
        <w:ind w:left="2367" w:hanging="360"/>
      </w:pPr>
      <w:rPr>
        <w:rFonts w:ascii="Symbol" w:hAnsi="Symbol" w:hint="default"/>
      </w:rPr>
    </w:lvl>
    <w:lvl w:ilvl="3" w:tplc="0C09000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32">
    <w:nsid w:val="6F962C72"/>
    <w:multiLevelType w:val="hybridMultilevel"/>
    <w:tmpl w:val="8A2A05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C573CD"/>
    <w:multiLevelType w:val="hybridMultilevel"/>
    <w:tmpl w:val="D0BEA1FC"/>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4070CDF"/>
    <w:multiLevelType w:val="singleLevel"/>
    <w:tmpl w:val="FFFFFFFF"/>
    <w:lvl w:ilvl="0">
      <w:start w:val="1"/>
      <w:numFmt w:val="bullet"/>
      <w:lvlText w:val=""/>
      <w:legacy w:legacy="1" w:legacySpace="0" w:legacyIndent="567"/>
      <w:lvlJc w:val="left"/>
      <w:pPr>
        <w:ind w:left="567" w:hanging="567"/>
      </w:pPr>
      <w:rPr>
        <w:rFonts w:ascii="Symbol" w:hAnsi="Symbol" w:hint="default"/>
        <w:sz w:val="20"/>
      </w:rPr>
    </w:lvl>
  </w:abstractNum>
  <w:abstractNum w:abstractNumId="35">
    <w:nsid w:val="7792681E"/>
    <w:multiLevelType w:val="hybridMultilevel"/>
    <w:tmpl w:val="A01CF71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start w:val="1"/>
      <w:numFmt w:val="bullet"/>
      <w:lvlText w:val=""/>
      <w:lvlJc w:val="left"/>
      <w:pPr>
        <w:tabs>
          <w:tab w:val="num" w:pos="2880"/>
        </w:tabs>
        <w:ind w:left="2880" w:hanging="360"/>
      </w:pPr>
      <w:rPr>
        <w:rFonts w:ascii="Symbol" w:hAnsi="Symbol" w:hint="default"/>
      </w:rPr>
    </w:lvl>
    <w:lvl w:ilvl="4" w:tplc="D6843094">
      <w:numFmt w:val="bullet"/>
      <w:lvlText w:val="-"/>
      <w:lvlJc w:val="left"/>
      <w:pPr>
        <w:tabs>
          <w:tab w:val="num" w:pos="3600"/>
        </w:tabs>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7BF313B"/>
    <w:multiLevelType w:val="multilevel"/>
    <w:tmpl w:val="E28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D16642"/>
    <w:multiLevelType w:val="singleLevel"/>
    <w:tmpl w:val="FFFFFFFF"/>
    <w:lvl w:ilvl="0">
      <w:start w:val="1"/>
      <w:numFmt w:val="bullet"/>
      <w:lvlText w:val=""/>
      <w:legacy w:legacy="1" w:legacySpace="0" w:legacyIndent="567"/>
      <w:lvlJc w:val="left"/>
      <w:pPr>
        <w:ind w:left="567" w:hanging="567"/>
      </w:pPr>
      <w:rPr>
        <w:rFonts w:ascii="Symbol" w:hAnsi="Symbol" w:hint="default"/>
        <w:sz w:val="20"/>
      </w:rPr>
    </w:lvl>
  </w:abstractNum>
  <w:abstractNum w:abstractNumId="38">
    <w:nsid w:val="7F0E0FF4"/>
    <w:multiLevelType w:val="hybridMultilevel"/>
    <w:tmpl w:val="5A283286"/>
    <w:lvl w:ilvl="0" w:tplc="EB3AC5A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4"/>
  </w:num>
  <w:num w:numId="3">
    <w:abstractNumId w:val="37"/>
  </w:num>
  <w:num w:numId="4">
    <w:abstractNumId w:val="19"/>
  </w:num>
  <w:num w:numId="5">
    <w:abstractNumId w:val="1"/>
  </w:num>
  <w:num w:numId="6">
    <w:abstractNumId w:val="5"/>
  </w:num>
  <w:num w:numId="7">
    <w:abstractNumId w:val="12"/>
  </w:num>
  <w:num w:numId="8">
    <w:abstractNumId w:val="21"/>
  </w:num>
  <w:num w:numId="9">
    <w:abstractNumId w:val="22"/>
  </w:num>
  <w:num w:numId="10">
    <w:abstractNumId w:val="29"/>
  </w:num>
  <w:num w:numId="11">
    <w:abstractNumId w:val="11"/>
  </w:num>
  <w:num w:numId="12">
    <w:abstractNumId w:val="28"/>
  </w:num>
  <w:num w:numId="13">
    <w:abstractNumId w:val="14"/>
  </w:num>
  <w:num w:numId="14">
    <w:abstractNumId w:val="10"/>
  </w:num>
  <w:num w:numId="15">
    <w:abstractNumId w:val="30"/>
  </w:num>
  <w:num w:numId="16">
    <w:abstractNumId w:val="25"/>
  </w:num>
  <w:num w:numId="17">
    <w:abstractNumId w:val="33"/>
  </w:num>
  <w:num w:numId="18">
    <w:abstractNumId w:val="31"/>
  </w:num>
  <w:num w:numId="19">
    <w:abstractNumId w:val="35"/>
  </w:num>
  <w:num w:numId="20">
    <w:abstractNumId w:val="36"/>
  </w:num>
  <w:num w:numId="21">
    <w:abstractNumId w:val="38"/>
  </w:num>
  <w:num w:numId="22">
    <w:abstractNumId w:val="3"/>
  </w:num>
  <w:num w:numId="23">
    <w:abstractNumId w:val="9"/>
  </w:num>
  <w:num w:numId="24">
    <w:abstractNumId w:val="4"/>
  </w:num>
  <w:num w:numId="25">
    <w:abstractNumId w:val="6"/>
  </w:num>
  <w:num w:numId="26">
    <w:abstractNumId w:val="26"/>
  </w:num>
  <w:num w:numId="27">
    <w:abstractNumId w:val="23"/>
  </w:num>
  <w:num w:numId="28">
    <w:abstractNumId w:val="17"/>
  </w:num>
  <w:num w:numId="29">
    <w:abstractNumId w:val="16"/>
  </w:num>
  <w:num w:numId="30">
    <w:abstractNumId w:val="8"/>
  </w:num>
  <w:num w:numId="31">
    <w:abstractNumId w:val="0"/>
  </w:num>
  <w:num w:numId="32">
    <w:abstractNumId w:val="27"/>
  </w:num>
  <w:num w:numId="33">
    <w:abstractNumId w:val="24"/>
  </w:num>
  <w:num w:numId="34">
    <w:abstractNumId w:val="32"/>
  </w:num>
  <w:num w:numId="35">
    <w:abstractNumId w:val="15"/>
  </w:num>
  <w:num w:numId="36">
    <w:abstractNumId w:val="20"/>
  </w:num>
  <w:num w:numId="37">
    <w:abstractNumId w:val="7"/>
  </w:num>
  <w:num w:numId="38">
    <w:abstractNumId w:val="18"/>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1274"/>
    <w:rsid w:val="00002823"/>
    <w:rsid w:val="00010EC3"/>
    <w:rsid w:val="00013957"/>
    <w:rsid w:val="00014CE7"/>
    <w:rsid w:val="00016916"/>
    <w:rsid w:val="000260E9"/>
    <w:rsid w:val="00034B4F"/>
    <w:rsid w:val="00037464"/>
    <w:rsid w:val="00041B29"/>
    <w:rsid w:val="00046653"/>
    <w:rsid w:val="00047CFF"/>
    <w:rsid w:val="00050394"/>
    <w:rsid w:val="000549F6"/>
    <w:rsid w:val="000576C7"/>
    <w:rsid w:val="00057E2E"/>
    <w:rsid w:val="00060610"/>
    <w:rsid w:val="000625AC"/>
    <w:rsid w:val="000774BA"/>
    <w:rsid w:val="00083D37"/>
    <w:rsid w:val="00084982"/>
    <w:rsid w:val="000857E5"/>
    <w:rsid w:val="00087FD6"/>
    <w:rsid w:val="00096105"/>
    <w:rsid w:val="000A0ED5"/>
    <w:rsid w:val="000A5452"/>
    <w:rsid w:val="000A6664"/>
    <w:rsid w:val="000C33A7"/>
    <w:rsid w:val="000E3DF5"/>
    <w:rsid w:val="000E485F"/>
    <w:rsid w:val="000E4AB0"/>
    <w:rsid w:val="000F0392"/>
    <w:rsid w:val="000F1D00"/>
    <w:rsid w:val="000F2D6E"/>
    <w:rsid w:val="000F6C17"/>
    <w:rsid w:val="001017B1"/>
    <w:rsid w:val="001076BE"/>
    <w:rsid w:val="001157E1"/>
    <w:rsid w:val="001251CD"/>
    <w:rsid w:val="001254D6"/>
    <w:rsid w:val="0014266D"/>
    <w:rsid w:val="00156B4B"/>
    <w:rsid w:val="00157348"/>
    <w:rsid w:val="00160A10"/>
    <w:rsid w:val="00164061"/>
    <w:rsid w:val="00164334"/>
    <w:rsid w:val="00164DF5"/>
    <w:rsid w:val="00166F92"/>
    <w:rsid w:val="00170074"/>
    <w:rsid w:val="00175FEC"/>
    <w:rsid w:val="001C0089"/>
    <w:rsid w:val="001C1274"/>
    <w:rsid w:val="001D0B0D"/>
    <w:rsid w:val="001E12C6"/>
    <w:rsid w:val="001F1E35"/>
    <w:rsid w:val="002073FB"/>
    <w:rsid w:val="00212E8D"/>
    <w:rsid w:val="00220020"/>
    <w:rsid w:val="00226EEA"/>
    <w:rsid w:val="00231002"/>
    <w:rsid w:val="00233B69"/>
    <w:rsid w:val="00233CCF"/>
    <w:rsid w:val="0023513F"/>
    <w:rsid w:val="00237F62"/>
    <w:rsid w:val="002405E5"/>
    <w:rsid w:val="002420B2"/>
    <w:rsid w:val="00242ADD"/>
    <w:rsid w:val="002545FD"/>
    <w:rsid w:val="00254B87"/>
    <w:rsid w:val="00255479"/>
    <w:rsid w:val="00256E64"/>
    <w:rsid w:val="002638B8"/>
    <w:rsid w:val="00267A01"/>
    <w:rsid w:val="00274B49"/>
    <w:rsid w:val="00297BCD"/>
    <w:rsid w:val="002A76F6"/>
    <w:rsid w:val="002B0373"/>
    <w:rsid w:val="002B0D3B"/>
    <w:rsid w:val="002B4758"/>
    <w:rsid w:val="002B690D"/>
    <w:rsid w:val="002D0432"/>
    <w:rsid w:val="002D1C3C"/>
    <w:rsid w:val="002D7DA8"/>
    <w:rsid w:val="002E58FE"/>
    <w:rsid w:val="003001F5"/>
    <w:rsid w:val="0030023D"/>
    <w:rsid w:val="003134B5"/>
    <w:rsid w:val="00314042"/>
    <w:rsid w:val="00316907"/>
    <w:rsid w:val="00320117"/>
    <w:rsid w:val="00322C0D"/>
    <w:rsid w:val="003410D6"/>
    <w:rsid w:val="00343122"/>
    <w:rsid w:val="00353E2C"/>
    <w:rsid w:val="003719C7"/>
    <w:rsid w:val="00371DA6"/>
    <w:rsid w:val="00372F11"/>
    <w:rsid w:val="0037321F"/>
    <w:rsid w:val="003929F6"/>
    <w:rsid w:val="00393CF3"/>
    <w:rsid w:val="00395FAE"/>
    <w:rsid w:val="003A13FD"/>
    <w:rsid w:val="003A2376"/>
    <w:rsid w:val="003B46A5"/>
    <w:rsid w:val="003B72DE"/>
    <w:rsid w:val="003B79F2"/>
    <w:rsid w:val="003C0278"/>
    <w:rsid w:val="003C146B"/>
    <w:rsid w:val="003C72C9"/>
    <w:rsid w:val="003C742C"/>
    <w:rsid w:val="003D40C2"/>
    <w:rsid w:val="003D5644"/>
    <w:rsid w:val="003E5390"/>
    <w:rsid w:val="003E76B3"/>
    <w:rsid w:val="003F3853"/>
    <w:rsid w:val="004140E4"/>
    <w:rsid w:val="00416208"/>
    <w:rsid w:val="00422F34"/>
    <w:rsid w:val="00422FA6"/>
    <w:rsid w:val="00424860"/>
    <w:rsid w:val="00425B8C"/>
    <w:rsid w:val="004266DB"/>
    <w:rsid w:val="00427382"/>
    <w:rsid w:val="00427891"/>
    <w:rsid w:val="00427F27"/>
    <w:rsid w:val="004329DD"/>
    <w:rsid w:val="00435562"/>
    <w:rsid w:val="004400DD"/>
    <w:rsid w:val="00440EE7"/>
    <w:rsid w:val="00441803"/>
    <w:rsid w:val="004419E0"/>
    <w:rsid w:val="004422DA"/>
    <w:rsid w:val="0044401C"/>
    <w:rsid w:val="0045077A"/>
    <w:rsid w:val="0045109E"/>
    <w:rsid w:val="0046093F"/>
    <w:rsid w:val="004627BD"/>
    <w:rsid w:val="004678EC"/>
    <w:rsid w:val="0047169A"/>
    <w:rsid w:val="004747EE"/>
    <w:rsid w:val="00477D88"/>
    <w:rsid w:val="00480885"/>
    <w:rsid w:val="00482E41"/>
    <w:rsid w:val="004838F2"/>
    <w:rsid w:val="004B1C63"/>
    <w:rsid w:val="004B72F1"/>
    <w:rsid w:val="004C03DC"/>
    <w:rsid w:val="004C2566"/>
    <w:rsid w:val="004C67F7"/>
    <w:rsid w:val="004D56E0"/>
    <w:rsid w:val="004E326A"/>
    <w:rsid w:val="004E4096"/>
    <w:rsid w:val="00501256"/>
    <w:rsid w:val="00503A38"/>
    <w:rsid w:val="0051710E"/>
    <w:rsid w:val="0051729F"/>
    <w:rsid w:val="00524685"/>
    <w:rsid w:val="00531738"/>
    <w:rsid w:val="0053510C"/>
    <w:rsid w:val="005461BD"/>
    <w:rsid w:val="00546818"/>
    <w:rsid w:val="00554343"/>
    <w:rsid w:val="005559C6"/>
    <w:rsid w:val="00561209"/>
    <w:rsid w:val="00565932"/>
    <w:rsid w:val="00566087"/>
    <w:rsid w:val="0056745E"/>
    <w:rsid w:val="00576E3D"/>
    <w:rsid w:val="00593E1B"/>
    <w:rsid w:val="00597127"/>
    <w:rsid w:val="005A4561"/>
    <w:rsid w:val="005B358C"/>
    <w:rsid w:val="005B517E"/>
    <w:rsid w:val="005C042B"/>
    <w:rsid w:val="005C46F3"/>
    <w:rsid w:val="005C4C1E"/>
    <w:rsid w:val="005D2CBB"/>
    <w:rsid w:val="005D3482"/>
    <w:rsid w:val="005E00C2"/>
    <w:rsid w:val="005E3249"/>
    <w:rsid w:val="005E759B"/>
    <w:rsid w:val="005F54F7"/>
    <w:rsid w:val="0060118A"/>
    <w:rsid w:val="0060451B"/>
    <w:rsid w:val="00613B4D"/>
    <w:rsid w:val="006155E1"/>
    <w:rsid w:val="0062603B"/>
    <w:rsid w:val="00632BC2"/>
    <w:rsid w:val="006336FC"/>
    <w:rsid w:val="00640629"/>
    <w:rsid w:val="00640A82"/>
    <w:rsid w:val="006623DF"/>
    <w:rsid w:val="006629A2"/>
    <w:rsid w:val="0066685D"/>
    <w:rsid w:val="00675FCC"/>
    <w:rsid w:val="0067683E"/>
    <w:rsid w:val="006815FF"/>
    <w:rsid w:val="0068576E"/>
    <w:rsid w:val="006859BF"/>
    <w:rsid w:val="00690099"/>
    <w:rsid w:val="006A33D9"/>
    <w:rsid w:val="006B4BCB"/>
    <w:rsid w:val="006C0CDC"/>
    <w:rsid w:val="006C133E"/>
    <w:rsid w:val="006E1C6C"/>
    <w:rsid w:val="006E5953"/>
    <w:rsid w:val="006F599D"/>
    <w:rsid w:val="006F787F"/>
    <w:rsid w:val="00704299"/>
    <w:rsid w:val="007124E0"/>
    <w:rsid w:val="00722584"/>
    <w:rsid w:val="00735127"/>
    <w:rsid w:val="0073597B"/>
    <w:rsid w:val="00737BFE"/>
    <w:rsid w:val="00770727"/>
    <w:rsid w:val="0077080F"/>
    <w:rsid w:val="00770814"/>
    <w:rsid w:val="00771EC7"/>
    <w:rsid w:val="007761BC"/>
    <w:rsid w:val="0078418C"/>
    <w:rsid w:val="0079270E"/>
    <w:rsid w:val="007A315D"/>
    <w:rsid w:val="007B3D95"/>
    <w:rsid w:val="007B4680"/>
    <w:rsid w:val="007B58B8"/>
    <w:rsid w:val="007C1432"/>
    <w:rsid w:val="007C521D"/>
    <w:rsid w:val="007D2954"/>
    <w:rsid w:val="007E010F"/>
    <w:rsid w:val="007E220B"/>
    <w:rsid w:val="007E52EF"/>
    <w:rsid w:val="007E76B8"/>
    <w:rsid w:val="00816298"/>
    <w:rsid w:val="00825ABB"/>
    <w:rsid w:val="0083217E"/>
    <w:rsid w:val="008403FC"/>
    <w:rsid w:val="00841C5E"/>
    <w:rsid w:val="008422A1"/>
    <w:rsid w:val="008477C3"/>
    <w:rsid w:val="00856458"/>
    <w:rsid w:val="00856BBF"/>
    <w:rsid w:val="00866F4A"/>
    <w:rsid w:val="00870786"/>
    <w:rsid w:val="008720C7"/>
    <w:rsid w:val="00874140"/>
    <w:rsid w:val="00874145"/>
    <w:rsid w:val="0088739F"/>
    <w:rsid w:val="008920CF"/>
    <w:rsid w:val="00895813"/>
    <w:rsid w:val="008A0322"/>
    <w:rsid w:val="008A7619"/>
    <w:rsid w:val="008B266D"/>
    <w:rsid w:val="008C407D"/>
    <w:rsid w:val="008C7D85"/>
    <w:rsid w:val="008D0A77"/>
    <w:rsid w:val="008D17D0"/>
    <w:rsid w:val="008D393A"/>
    <w:rsid w:val="008D4B80"/>
    <w:rsid w:val="008D6034"/>
    <w:rsid w:val="008D6095"/>
    <w:rsid w:val="008E0D80"/>
    <w:rsid w:val="008E3A17"/>
    <w:rsid w:val="008E445A"/>
    <w:rsid w:val="008E6C8F"/>
    <w:rsid w:val="008F4470"/>
    <w:rsid w:val="008F5CAA"/>
    <w:rsid w:val="0090012E"/>
    <w:rsid w:val="00901221"/>
    <w:rsid w:val="009035B9"/>
    <w:rsid w:val="009067F4"/>
    <w:rsid w:val="00907B09"/>
    <w:rsid w:val="00914B67"/>
    <w:rsid w:val="0091694A"/>
    <w:rsid w:val="00922511"/>
    <w:rsid w:val="00925A40"/>
    <w:rsid w:val="00930A63"/>
    <w:rsid w:val="00944EAF"/>
    <w:rsid w:val="009457ED"/>
    <w:rsid w:val="00947B7F"/>
    <w:rsid w:val="00947D68"/>
    <w:rsid w:val="009520B9"/>
    <w:rsid w:val="009538F4"/>
    <w:rsid w:val="009601E3"/>
    <w:rsid w:val="00962A9A"/>
    <w:rsid w:val="0096459A"/>
    <w:rsid w:val="00971861"/>
    <w:rsid w:val="00971E42"/>
    <w:rsid w:val="009741E6"/>
    <w:rsid w:val="00977CED"/>
    <w:rsid w:val="00992F62"/>
    <w:rsid w:val="009A765D"/>
    <w:rsid w:val="009C0D67"/>
    <w:rsid w:val="009D32A5"/>
    <w:rsid w:val="009D6962"/>
    <w:rsid w:val="009E0F18"/>
    <w:rsid w:val="009E29B4"/>
    <w:rsid w:val="009F2949"/>
    <w:rsid w:val="009F5DFF"/>
    <w:rsid w:val="00A04265"/>
    <w:rsid w:val="00A04702"/>
    <w:rsid w:val="00A307C1"/>
    <w:rsid w:val="00A33101"/>
    <w:rsid w:val="00A44135"/>
    <w:rsid w:val="00A45BDF"/>
    <w:rsid w:val="00A476F0"/>
    <w:rsid w:val="00A645E7"/>
    <w:rsid w:val="00A7261E"/>
    <w:rsid w:val="00A77E38"/>
    <w:rsid w:val="00A831F6"/>
    <w:rsid w:val="00A85A43"/>
    <w:rsid w:val="00A86A36"/>
    <w:rsid w:val="00A86B10"/>
    <w:rsid w:val="00A93A1C"/>
    <w:rsid w:val="00A97441"/>
    <w:rsid w:val="00AA1978"/>
    <w:rsid w:val="00AA1C87"/>
    <w:rsid w:val="00AA1C8C"/>
    <w:rsid w:val="00AB4420"/>
    <w:rsid w:val="00AB4ED1"/>
    <w:rsid w:val="00AC1885"/>
    <w:rsid w:val="00AC1CC7"/>
    <w:rsid w:val="00AC2DEC"/>
    <w:rsid w:val="00AC373D"/>
    <w:rsid w:val="00AC4E1F"/>
    <w:rsid w:val="00AC6D87"/>
    <w:rsid w:val="00AD6E1C"/>
    <w:rsid w:val="00AE67EE"/>
    <w:rsid w:val="00B164F4"/>
    <w:rsid w:val="00B22B62"/>
    <w:rsid w:val="00B22E99"/>
    <w:rsid w:val="00B32325"/>
    <w:rsid w:val="00B4563E"/>
    <w:rsid w:val="00B51AB8"/>
    <w:rsid w:val="00B52930"/>
    <w:rsid w:val="00B5687A"/>
    <w:rsid w:val="00B66A08"/>
    <w:rsid w:val="00B679FC"/>
    <w:rsid w:val="00B722D3"/>
    <w:rsid w:val="00B72BEE"/>
    <w:rsid w:val="00B72E98"/>
    <w:rsid w:val="00B855CB"/>
    <w:rsid w:val="00B9093A"/>
    <w:rsid w:val="00B9177C"/>
    <w:rsid w:val="00B93B3D"/>
    <w:rsid w:val="00B9407A"/>
    <w:rsid w:val="00BA07F8"/>
    <w:rsid w:val="00BA24B9"/>
    <w:rsid w:val="00BB5C13"/>
    <w:rsid w:val="00BC0E49"/>
    <w:rsid w:val="00BC1A49"/>
    <w:rsid w:val="00BC653C"/>
    <w:rsid w:val="00BD474C"/>
    <w:rsid w:val="00BD5EF8"/>
    <w:rsid w:val="00BE2BDD"/>
    <w:rsid w:val="00C04011"/>
    <w:rsid w:val="00C0514C"/>
    <w:rsid w:val="00C15A10"/>
    <w:rsid w:val="00C3191B"/>
    <w:rsid w:val="00C37AC6"/>
    <w:rsid w:val="00C50297"/>
    <w:rsid w:val="00C531DB"/>
    <w:rsid w:val="00C564AE"/>
    <w:rsid w:val="00C6581E"/>
    <w:rsid w:val="00C70934"/>
    <w:rsid w:val="00C743EF"/>
    <w:rsid w:val="00C93590"/>
    <w:rsid w:val="00C968D3"/>
    <w:rsid w:val="00CB2834"/>
    <w:rsid w:val="00CB4642"/>
    <w:rsid w:val="00CB7CCB"/>
    <w:rsid w:val="00CC0F8C"/>
    <w:rsid w:val="00CC3C1B"/>
    <w:rsid w:val="00CC5FBD"/>
    <w:rsid w:val="00CD1902"/>
    <w:rsid w:val="00CE0CDE"/>
    <w:rsid w:val="00CE5E43"/>
    <w:rsid w:val="00CF2161"/>
    <w:rsid w:val="00CF65F6"/>
    <w:rsid w:val="00D030AE"/>
    <w:rsid w:val="00D13C7E"/>
    <w:rsid w:val="00D15A94"/>
    <w:rsid w:val="00D218F3"/>
    <w:rsid w:val="00D24448"/>
    <w:rsid w:val="00D247DD"/>
    <w:rsid w:val="00D26925"/>
    <w:rsid w:val="00D31C57"/>
    <w:rsid w:val="00D32B5F"/>
    <w:rsid w:val="00D6282A"/>
    <w:rsid w:val="00D70878"/>
    <w:rsid w:val="00D87E3B"/>
    <w:rsid w:val="00D944D5"/>
    <w:rsid w:val="00D95070"/>
    <w:rsid w:val="00DA14E2"/>
    <w:rsid w:val="00DA5A85"/>
    <w:rsid w:val="00DB0EBA"/>
    <w:rsid w:val="00DB27DB"/>
    <w:rsid w:val="00DC114A"/>
    <w:rsid w:val="00DC16B2"/>
    <w:rsid w:val="00DC7E91"/>
    <w:rsid w:val="00DD0C94"/>
    <w:rsid w:val="00DD22DC"/>
    <w:rsid w:val="00DD654B"/>
    <w:rsid w:val="00E06EFC"/>
    <w:rsid w:val="00E2653C"/>
    <w:rsid w:val="00E305BC"/>
    <w:rsid w:val="00E3095F"/>
    <w:rsid w:val="00E30D53"/>
    <w:rsid w:val="00E31589"/>
    <w:rsid w:val="00E34846"/>
    <w:rsid w:val="00E52DF0"/>
    <w:rsid w:val="00E556DE"/>
    <w:rsid w:val="00E55D2F"/>
    <w:rsid w:val="00E57C98"/>
    <w:rsid w:val="00E57EEE"/>
    <w:rsid w:val="00E60C76"/>
    <w:rsid w:val="00E61AF7"/>
    <w:rsid w:val="00E642EC"/>
    <w:rsid w:val="00E65D99"/>
    <w:rsid w:val="00E6727A"/>
    <w:rsid w:val="00E70048"/>
    <w:rsid w:val="00E8210B"/>
    <w:rsid w:val="00E90A8C"/>
    <w:rsid w:val="00E90D38"/>
    <w:rsid w:val="00E91CD5"/>
    <w:rsid w:val="00EA6202"/>
    <w:rsid w:val="00EB050E"/>
    <w:rsid w:val="00EB516F"/>
    <w:rsid w:val="00EB68C4"/>
    <w:rsid w:val="00EB6EFC"/>
    <w:rsid w:val="00EC376A"/>
    <w:rsid w:val="00EC3EF4"/>
    <w:rsid w:val="00EC70DB"/>
    <w:rsid w:val="00EC735B"/>
    <w:rsid w:val="00ED21D3"/>
    <w:rsid w:val="00ED682B"/>
    <w:rsid w:val="00EE57DE"/>
    <w:rsid w:val="00EF6C94"/>
    <w:rsid w:val="00EF7BD7"/>
    <w:rsid w:val="00F0141C"/>
    <w:rsid w:val="00F032EB"/>
    <w:rsid w:val="00F068B7"/>
    <w:rsid w:val="00F12D33"/>
    <w:rsid w:val="00F22126"/>
    <w:rsid w:val="00F2322B"/>
    <w:rsid w:val="00F27C14"/>
    <w:rsid w:val="00F32DCE"/>
    <w:rsid w:val="00F35560"/>
    <w:rsid w:val="00F42158"/>
    <w:rsid w:val="00F606F2"/>
    <w:rsid w:val="00F62F7A"/>
    <w:rsid w:val="00F7033A"/>
    <w:rsid w:val="00F750F3"/>
    <w:rsid w:val="00F757C7"/>
    <w:rsid w:val="00F766E0"/>
    <w:rsid w:val="00F815D8"/>
    <w:rsid w:val="00F8637C"/>
    <w:rsid w:val="00F878C2"/>
    <w:rsid w:val="00F910A6"/>
    <w:rsid w:val="00F925F0"/>
    <w:rsid w:val="00F95280"/>
    <w:rsid w:val="00F9560B"/>
    <w:rsid w:val="00FA1439"/>
    <w:rsid w:val="00FA5F92"/>
    <w:rsid w:val="00FC1153"/>
    <w:rsid w:val="00FC1DF2"/>
    <w:rsid w:val="00FE5F9A"/>
    <w:rsid w:val="00FE66A7"/>
    <w:rsid w:val="00FF164C"/>
    <w:rsid w:val="00FF2F8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1C63"/>
    <w:pPr>
      <w:spacing w:after="120"/>
    </w:pPr>
    <w:rPr>
      <w:sz w:val="24"/>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rsid w:val="004B1C63"/>
  </w:style>
  <w:style w:type="character" w:styleId="FootnoteReference">
    <w:name w:val="footnote reference"/>
    <w:aliases w:val="Appel note de bas de p,Appel note de bas de p + 11 pt,Italic,Footnote"/>
    <w:basedOn w:val="DefaultParagraphFont"/>
    <w:rsid w:val="004B1C63"/>
    <w:rPr>
      <w:vertAlign w:val="superscript"/>
    </w:rPr>
  </w:style>
  <w:style w:type="character" w:styleId="EndnoteReference">
    <w:name w:val="endnote reference"/>
    <w:basedOn w:val="DefaultParagraphFont"/>
    <w:semiHidden/>
    <w:rsid w:val="004B1C63"/>
    <w:rPr>
      <w:vertAlign w:val="superscript"/>
    </w:rPr>
  </w:style>
  <w:style w:type="character" w:styleId="CommentReference">
    <w:name w:val="annotation reference"/>
    <w:basedOn w:val="DefaultParagraphFont"/>
    <w:uiPriority w:val="99"/>
    <w:semiHidden/>
    <w:rsid w:val="00F7033A"/>
    <w:rPr>
      <w:sz w:val="16"/>
      <w:szCs w:val="16"/>
    </w:rPr>
  </w:style>
  <w:style w:type="paragraph" w:styleId="CommentText">
    <w:name w:val="annotation text"/>
    <w:basedOn w:val="Normal"/>
    <w:link w:val="CommentTextChar"/>
    <w:uiPriority w:val="99"/>
    <w:semiHidden/>
    <w:rsid w:val="00F7033A"/>
  </w:style>
  <w:style w:type="paragraph" w:styleId="CommentSubject">
    <w:name w:val="annotation subject"/>
    <w:basedOn w:val="CommentText"/>
    <w:next w:val="CommentText"/>
    <w:semiHidden/>
    <w:rsid w:val="00F7033A"/>
    <w:rPr>
      <w:b/>
      <w:bCs/>
    </w:rPr>
  </w:style>
  <w:style w:type="paragraph" w:styleId="BalloonText">
    <w:name w:val="Balloon Text"/>
    <w:basedOn w:val="Normal"/>
    <w:semiHidden/>
    <w:rsid w:val="00F7033A"/>
    <w:rPr>
      <w:rFonts w:ascii="Tahoma" w:hAnsi="Tahoma" w:cs="Tahoma"/>
      <w:sz w:val="16"/>
      <w:szCs w:val="16"/>
    </w:rPr>
  </w:style>
  <w:style w:type="paragraph" w:customStyle="1" w:styleId="ABANumberedList">
    <w:name w:val="ABA Numbered List"/>
    <w:rsid w:val="00825ABB"/>
    <w:pPr>
      <w:numPr>
        <w:numId w:val="7"/>
      </w:numPr>
      <w:spacing w:before="20" w:after="20"/>
    </w:pPr>
    <w:rPr>
      <w:sz w:val="24"/>
      <w:lang w:eastAsia="en-US"/>
    </w:rPr>
  </w:style>
  <w:style w:type="paragraph" w:customStyle="1" w:styleId="ACMAAgendaPaperPara">
    <w:name w:val="ACMA Agenda Paper Para"/>
    <w:basedOn w:val="ABANumberedList"/>
    <w:rsid w:val="00825ABB"/>
    <w:pPr>
      <w:spacing w:after="120"/>
      <w:ind w:left="357" w:hanging="357"/>
    </w:pPr>
    <w:rPr>
      <w:szCs w:val="24"/>
    </w:rPr>
  </w:style>
  <w:style w:type="paragraph" w:customStyle="1" w:styleId="ACMANumberedList">
    <w:name w:val="ACMA Numbered List"/>
    <w:rsid w:val="00D247DD"/>
    <w:pPr>
      <w:tabs>
        <w:tab w:val="num" w:pos="360"/>
      </w:tabs>
      <w:spacing w:before="20" w:after="20"/>
    </w:pPr>
    <w:rPr>
      <w:sz w:val="24"/>
      <w:lang w:eastAsia="en-US"/>
    </w:rPr>
  </w:style>
  <w:style w:type="paragraph" w:customStyle="1" w:styleId="ABABodyText">
    <w:name w:val="ABA Body Text"/>
    <w:rsid w:val="0062603B"/>
    <w:pPr>
      <w:suppressAutoHyphens/>
      <w:spacing w:before="80" w:after="120" w:line="280" w:lineRule="atLeast"/>
    </w:pPr>
    <w:rPr>
      <w:snapToGrid w:val="0"/>
      <w:sz w:val="24"/>
      <w:lang w:eastAsia="en-US"/>
    </w:rPr>
  </w:style>
  <w:style w:type="paragraph" w:styleId="Header">
    <w:name w:val="header"/>
    <w:basedOn w:val="Normal"/>
    <w:rsid w:val="00B93B3D"/>
    <w:pPr>
      <w:tabs>
        <w:tab w:val="center" w:pos="4153"/>
        <w:tab w:val="right" w:pos="8306"/>
      </w:tabs>
    </w:pPr>
  </w:style>
  <w:style w:type="paragraph" w:styleId="Footer">
    <w:name w:val="footer"/>
    <w:basedOn w:val="Normal"/>
    <w:rsid w:val="00B93B3D"/>
    <w:pPr>
      <w:tabs>
        <w:tab w:val="center" w:pos="4153"/>
        <w:tab w:val="right" w:pos="8306"/>
      </w:tabs>
    </w:pPr>
  </w:style>
  <w:style w:type="paragraph" w:styleId="NormalWeb">
    <w:name w:val="Normal (Web)"/>
    <w:basedOn w:val="Normal"/>
    <w:rsid w:val="00C968D3"/>
    <w:pPr>
      <w:spacing w:before="100" w:beforeAutospacing="1" w:after="100" w:afterAutospacing="1"/>
    </w:pPr>
    <w:rPr>
      <w:rFonts w:ascii="Arial" w:hAnsi="Arial" w:cs="Arial"/>
      <w:sz w:val="24"/>
      <w:szCs w:val="24"/>
    </w:rPr>
  </w:style>
  <w:style w:type="paragraph" w:customStyle="1" w:styleId="ACMABodyText">
    <w:name w:val="ACMA Body Text"/>
    <w:rsid w:val="00322C0D"/>
    <w:pPr>
      <w:suppressAutoHyphens/>
      <w:spacing w:before="80" w:after="120" w:line="280" w:lineRule="atLeast"/>
    </w:pPr>
    <w:rPr>
      <w:snapToGrid w:val="0"/>
      <w:sz w:val="24"/>
      <w:lang w:eastAsia="en-US"/>
    </w:rPr>
  </w:style>
  <w:style w:type="paragraph" w:customStyle="1" w:styleId="LegislationLvl1">
    <w:name w:val="Legislation Lvl 1"/>
    <w:rsid w:val="00B52930"/>
    <w:pPr>
      <w:numPr>
        <w:numId w:val="22"/>
      </w:numPr>
    </w:pPr>
    <w:rPr>
      <w:bCs/>
      <w:sz w:val="22"/>
      <w:lang w:eastAsia="en-US"/>
    </w:rPr>
  </w:style>
  <w:style w:type="paragraph" w:customStyle="1" w:styleId="LegislationLvl2">
    <w:name w:val="Legislation Lvl 2"/>
    <w:rsid w:val="00B52930"/>
    <w:pPr>
      <w:numPr>
        <w:ilvl w:val="1"/>
        <w:numId w:val="22"/>
      </w:numPr>
    </w:pPr>
    <w:rPr>
      <w:sz w:val="22"/>
      <w:lang w:eastAsia="en-US"/>
    </w:rPr>
  </w:style>
  <w:style w:type="paragraph" w:customStyle="1" w:styleId="LegislationLvl3">
    <w:name w:val="Legislation Lvl 3"/>
    <w:rsid w:val="00B52930"/>
    <w:pPr>
      <w:numPr>
        <w:ilvl w:val="2"/>
        <w:numId w:val="22"/>
      </w:numPr>
    </w:pPr>
    <w:rPr>
      <w:sz w:val="22"/>
      <w:lang w:eastAsia="en-US"/>
    </w:rPr>
  </w:style>
  <w:style w:type="paragraph" w:customStyle="1" w:styleId="LegislationLvl4">
    <w:name w:val="Legislation Lvl 4"/>
    <w:rsid w:val="00B52930"/>
    <w:pPr>
      <w:numPr>
        <w:ilvl w:val="3"/>
        <w:numId w:val="22"/>
      </w:numPr>
    </w:pPr>
    <w:rPr>
      <w:sz w:val="22"/>
      <w:lang w:eastAsia="en-US"/>
    </w:rPr>
  </w:style>
  <w:style w:type="paragraph" w:styleId="ListParagraph">
    <w:name w:val="List Paragraph"/>
    <w:basedOn w:val="Normal"/>
    <w:uiPriority w:val="34"/>
    <w:qFormat/>
    <w:rsid w:val="002E58FE"/>
    <w:pPr>
      <w:spacing w:after="200" w:line="276" w:lineRule="auto"/>
      <w:ind w:left="720"/>
      <w:contextualSpacing/>
    </w:pPr>
    <w:rPr>
      <w:rFonts w:ascii="Calibri" w:eastAsia="Calibri" w:hAnsi="Calibri"/>
      <w:sz w:val="22"/>
      <w:szCs w:val="22"/>
      <w:lang w:eastAsia="en-US"/>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rsid w:val="003C0278"/>
  </w:style>
  <w:style w:type="character" w:styleId="Hyperlink">
    <w:name w:val="Hyperlink"/>
    <w:basedOn w:val="DefaultParagraphFont"/>
    <w:uiPriority w:val="99"/>
    <w:unhideWhenUsed/>
    <w:rsid w:val="003C0278"/>
    <w:rPr>
      <w:color w:val="0000FF"/>
      <w:u w:val="single"/>
    </w:rPr>
  </w:style>
  <w:style w:type="character" w:customStyle="1" w:styleId="CommentTextChar">
    <w:name w:val="Comment Text Char"/>
    <w:basedOn w:val="DefaultParagraphFont"/>
    <w:link w:val="CommentText"/>
    <w:uiPriority w:val="99"/>
    <w:semiHidden/>
    <w:rsid w:val="000857E5"/>
  </w:style>
  <w:style w:type="paragraph" w:styleId="Revision">
    <w:name w:val="Revision"/>
    <w:hidden/>
    <w:uiPriority w:val="99"/>
    <w:semiHidden/>
    <w:rsid w:val="00047CFF"/>
  </w:style>
</w:styles>
</file>

<file path=word/webSettings.xml><?xml version="1.0" encoding="utf-8"?>
<w:webSettings xmlns:r="http://schemas.openxmlformats.org/officeDocument/2006/relationships" xmlns:w="http://schemas.openxmlformats.org/wordprocessingml/2006/main">
  <w:divs>
    <w:div w:id="10664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E820F-BF64-4B3F-B926-DF92CDB6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 Communications Authority</Company>
  <LinksUpToDate>false</LinksUpToDate>
  <CharactersWithSpaces>9171</CharactersWithSpaces>
  <SharedDoc>false</SharedDoc>
  <HLinks>
    <vt:vector size="12" baseType="variant">
      <vt:variant>
        <vt:i4>7995456</vt:i4>
      </vt:variant>
      <vt:variant>
        <vt:i4>3</vt:i4>
      </vt:variant>
      <vt:variant>
        <vt:i4>0</vt:i4>
      </vt:variant>
      <vt:variant>
        <vt:i4>5</vt:i4>
      </vt:variant>
      <vt:variant>
        <vt:lpwstr>http://www.acma.gov.au/WEB/STANDARD/pc=PC_311541</vt:lpwstr>
      </vt:variant>
      <vt:variant>
        <vt:lpwstr/>
      </vt:variant>
      <vt:variant>
        <vt:i4>4980839</vt:i4>
      </vt:variant>
      <vt:variant>
        <vt:i4>0</vt:i4>
      </vt:variant>
      <vt:variant>
        <vt:i4>0</vt:i4>
      </vt:variant>
      <vt:variant>
        <vt:i4>5</vt:i4>
      </vt:variant>
      <vt:variant>
        <vt:lpwstr>http://www.acma.gov.au/webwr/_assets/main/lib100068/convergence_comms_rep-1_household_consumers.pdf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achadwic</dc:creator>
  <cp:lastModifiedBy>Helen Turnbull</cp:lastModifiedBy>
  <cp:revision>2</cp:revision>
  <cp:lastPrinted>2011-02-03T05:22:00Z</cp:lastPrinted>
  <dcterms:created xsi:type="dcterms:W3CDTF">2011-02-22T23:33:00Z</dcterms:created>
  <dcterms:modified xsi:type="dcterms:W3CDTF">2011-02-22T23:33:00Z</dcterms:modified>
</cp:coreProperties>
</file>