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8AD" w:rsidRDefault="00B528AD" w:rsidP="00B528AD">
      <w:pPr>
        <w:pStyle w:val="HP"/>
        <w:keepNext w:val="0"/>
        <w:spacing w:before="0"/>
      </w:pPr>
      <w:r>
        <w:t>Commonwealth of Australia</w:t>
      </w:r>
    </w:p>
    <w:p w:rsidR="00B528AD" w:rsidRDefault="00B528AD" w:rsidP="00B528AD">
      <w:pPr>
        <w:jc w:val="center"/>
        <w:rPr>
          <w:b/>
          <w:bCs/>
        </w:rPr>
      </w:pPr>
    </w:p>
    <w:p w:rsidR="00B528AD" w:rsidRPr="00C11550" w:rsidRDefault="00B528AD" w:rsidP="00C11550">
      <w:pPr>
        <w:pStyle w:val="Heading6"/>
        <w:jc w:val="center"/>
        <w:rPr>
          <w:b w:val="0"/>
          <w:i/>
        </w:rPr>
      </w:pPr>
      <w:r w:rsidRPr="00C11550">
        <w:rPr>
          <w:b w:val="0"/>
          <w:i/>
        </w:rPr>
        <w:t>Telecommunications (Consumer Protection and Service Standards) Act 1999</w:t>
      </w:r>
    </w:p>
    <w:p w:rsidR="00B528AD" w:rsidRDefault="00B528AD" w:rsidP="00B528AD">
      <w:pPr>
        <w:pStyle w:val="Title"/>
        <w:spacing w:before="0"/>
      </w:pPr>
      <w:bookmarkStart w:id="0" w:name="year"/>
    </w:p>
    <w:p w:rsidR="00C11550" w:rsidRDefault="00B528AD" w:rsidP="00C11550">
      <w:pPr>
        <w:pStyle w:val="Title"/>
        <w:spacing w:before="0"/>
      </w:pPr>
      <w:r>
        <w:t xml:space="preserve">Australian Communications </w:t>
      </w:r>
      <w:r w:rsidR="00CA46AB">
        <w:t xml:space="preserve">and Media </w:t>
      </w:r>
      <w:r>
        <w:t xml:space="preserve">Authority (Advice about Universal Service Subsidies) </w:t>
      </w:r>
    </w:p>
    <w:p w:rsidR="00B528AD" w:rsidRDefault="00B528AD" w:rsidP="00C11550">
      <w:pPr>
        <w:pStyle w:val="Title"/>
        <w:spacing w:before="0"/>
      </w:pPr>
      <w:r>
        <w:t xml:space="preserve">Direction </w:t>
      </w:r>
      <w:bookmarkEnd w:id="0"/>
      <w:r>
        <w:t xml:space="preserve">(No. </w:t>
      </w:r>
      <w:r w:rsidR="005A68BE">
        <w:t>1</w:t>
      </w:r>
      <w:r>
        <w:t xml:space="preserve">) </w:t>
      </w:r>
      <w:r w:rsidR="002319CF">
        <w:t>20</w:t>
      </w:r>
      <w:r w:rsidR="00B26F66">
        <w:t>1</w:t>
      </w:r>
      <w:r w:rsidR="005A68BE">
        <w:t>1</w:t>
      </w:r>
    </w:p>
    <w:p w:rsidR="00B528AD" w:rsidRDefault="00B528AD" w:rsidP="00B528AD"/>
    <w:p w:rsidR="00B528AD" w:rsidRDefault="00B528AD" w:rsidP="00B528AD">
      <w:pPr>
        <w:spacing w:before="400" w:line="300" w:lineRule="atLeast"/>
      </w:pPr>
      <w:r>
        <w:t>I,</w:t>
      </w:r>
      <w:r>
        <w:rPr>
          <w:caps/>
        </w:rPr>
        <w:t xml:space="preserve"> STEPHEN</w:t>
      </w:r>
      <w:r w:rsidR="00C11550">
        <w:rPr>
          <w:caps/>
        </w:rPr>
        <w:t xml:space="preserve"> michael</w:t>
      </w:r>
      <w:r>
        <w:rPr>
          <w:caps/>
        </w:rPr>
        <w:t xml:space="preserve"> CONROY</w:t>
      </w:r>
      <w:r>
        <w:t xml:space="preserve">, Minister for Broadband, Communications and the Digital Economy, make the following Direction under subsection </w:t>
      </w:r>
      <w:proofErr w:type="gramStart"/>
      <w:r>
        <w:t>16A(</w:t>
      </w:r>
      <w:proofErr w:type="gramEnd"/>
      <w:r>
        <w:t xml:space="preserve">1) of the </w:t>
      </w:r>
      <w:r>
        <w:rPr>
          <w:i/>
          <w:iCs/>
        </w:rPr>
        <w:t>Telecommunications (Consumer Protection and Service Standards) Act 1999</w:t>
      </w:r>
      <w:r>
        <w:t>.</w:t>
      </w:r>
    </w:p>
    <w:p w:rsidR="00B528AD" w:rsidRDefault="00B528AD" w:rsidP="00B528AD">
      <w:pPr>
        <w:tabs>
          <w:tab w:val="center" w:pos="3119"/>
        </w:tabs>
        <w:spacing w:before="300" w:after="600" w:line="300" w:lineRule="atLeast"/>
      </w:pPr>
      <w:r>
        <w:t>Dated</w:t>
      </w:r>
      <w:r w:rsidR="003B7BD2">
        <w:t xml:space="preserve"> </w:t>
      </w:r>
      <w:r w:rsidR="001829D1">
        <w:t xml:space="preserve">  24 February 2011</w:t>
      </w:r>
    </w:p>
    <w:p w:rsidR="00B528AD" w:rsidRDefault="00B528AD" w:rsidP="00B528AD">
      <w:pPr>
        <w:pStyle w:val="HP"/>
        <w:keepNext w:val="0"/>
        <w:spacing w:before="0"/>
      </w:pPr>
    </w:p>
    <w:p w:rsidR="00B528AD" w:rsidRDefault="00B528AD" w:rsidP="00B528AD">
      <w:pPr>
        <w:pStyle w:val="HP"/>
        <w:keepNext w:val="0"/>
        <w:spacing w:before="0"/>
      </w:pPr>
    </w:p>
    <w:p w:rsidR="00B528AD" w:rsidRDefault="00677C35" w:rsidP="00B528AD">
      <w:pPr>
        <w:pStyle w:val="HP"/>
        <w:keepNext w:val="0"/>
        <w:spacing w:before="0"/>
        <w:rPr>
          <w:b w:val="0"/>
          <w:bCs w:val="0"/>
        </w:rPr>
      </w:pPr>
      <w:r>
        <w:rPr>
          <w:b w:val="0"/>
          <w:bCs w:val="0"/>
        </w:rPr>
        <w:t>STEPHEN CONROY</w:t>
      </w:r>
    </w:p>
    <w:p w:rsidR="00B528AD" w:rsidRDefault="00677C35" w:rsidP="00B528AD">
      <w:pPr>
        <w:jc w:val="center"/>
      </w:pPr>
      <w:r>
        <w:t xml:space="preserve">Minister for Broadband, Communications and the Digital Economy </w:t>
      </w:r>
      <w:r w:rsidR="00B528AD">
        <w:t>_________________________________________________________________</w:t>
      </w:r>
    </w:p>
    <w:p w:rsidR="00B528AD" w:rsidRDefault="00B528AD" w:rsidP="002423B3">
      <w:pPr>
        <w:pStyle w:val="HR"/>
        <w:numPr>
          <w:ilvl w:val="0"/>
          <w:numId w:val="1"/>
        </w:numPr>
        <w:tabs>
          <w:tab w:val="clear" w:pos="540"/>
        </w:tabs>
        <w:spacing w:before="400" w:line="300" w:lineRule="atLeast"/>
        <w:jc w:val="left"/>
        <w:rPr>
          <w:rFonts w:ascii="Arial" w:hAnsi="Arial" w:cs="Arial"/>
        </w:rPr>
      </w:pPr>
      <w:r>
        <w:rPr>
          <w:rFonts w:ascii="Arial" w:hAnsi="Arial" w:cs="Arial"/>
        </w:rPr>
        <w:t>Name of Direction</w:t>
      </w:r>
    </w:p>
    <w:p w:rsidR="00B528AD" w:rsidRDefault="00B528AD" w:rsidP="002423B3">
      <w:pPr>
        <w:spacing w:before="120" w:line="300" w:lineRule="atLeast"/>
        <w:ind w:left="567"/>
        <w:rPr>
          <w:b/>
          <w:bCs/>
        </w:rPr>
      </w:pPr>
      <w:r>
        <w:t xml:space="preserve">This Direction is the </w:t>
      </w:r>
      <w:r>
        <w:rPr>
          <w:i/>
          <w:iCs/>
        </w:rPr>
        <w:t>Australian Communications</w:t>
      </w:r>
      <w:r w:rsidR="00CA46AB">
        <w:rPr>
          <w:i/>
          <w:iCs/>
        </w:rPr>
        <w:t xml:space="preserve"> and Media </w:t>
      </w:r>
      <w:r>
        <w:rPr>
          <w:i/>
          <w:iCs/>
        </w:rPr>
        <w:t xml:space="preserve">Authority (Advice </w:t>
      </w:r>
      <w:proofErr w:type="gramStart"/>
      <w:r>
        <w:rPr>
          <w:i/>
          <w:iCs/>
        </w:rPr>
        <w:t>about</w:t>
      </w:r>
      <w:proofErr w:type="gramEnd"/>
      <w:r w:rsidR="003D2060">
        <w:rPr>
          <w:i/>
          <w:iCs/>
        </w:rPr>
        <w:t xml:space="preserve"> </w:t>
      </w:r>
      <w:r>
        <w:rPr>
          <w:i/>
          <w:iCs/>
        </w:rPr>
        <w:t xml:space="preserve">Universal Service Subsidies) Direction </w:t>
      </w:r>
      <w:r w:rsidRPr="001D50C3">
        <w:rPr>
          <w:i/>
          <w:iCs/>
        </w:rPr>
        <w:t xml:space="preserve">(No. </w:t>
      </w:r>
      <w:r w:rsidR="005A68BE">
        <w:rPr>
          <w:i/>
          <w:iCs/>
        </w:rPr>
        <w:t>1</w:t>
      </w:r>
      <w:r w:rsidRPr="001D50C3">
        <w:rPr>
          <w:i/>
          <w:iCs/>
        </w:rPr>
        <w:t>)</w:t>
      </w:r>
      <w:r>
        <w:rPr>
          <w:i/>
          <w:iCs/>
        </w:rPr>
        <w:t xml:space="preserve"> </w:t>
      </w:r>
      <w:r w:rsidR="002319CF">
        <w:rPr>
          <w:i/>
          <w:iCs/>
        </w:rPr>
        <w:t>20</w:t>
      </w:r>
      <w:r w:rsidR="00B26F66">
        <w:rPr>
          <w:i/>
          <w:iCs/>
        </w:rPr>
        <w:t>1</w:t>
      </w:r>
      <w:r w:rsidR="005A68BE">
        <w:rPr>
          <w:i/>
          <w:iCs/>
        </w:rPr>
        <w:t>1</w:t>
      </w:r>
      <w:r>
        <w:t>.</w:t>
      </w:r>
    </w:p>
    <w:p w:rsidR="002B7B72" w:rsidRDefault="00B528AD" w:rsidP="002423B3">
      <w:pPr>
        <w:pStyle w:val="HR"/>
        <w:tabs>
          <w:tab w:val="clear" w:pos="540"/>
          <w:tab w:val="left" w:pos="426"/>
        </w:tabs>
        <w:spacing w:before="400"/>
        <w:ind w:left="425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  <w:r w:rsidR="002B7B72">
        <w:rPr>
          <w:rFonts w:ascii="Arial" w:hAnsi="Arial" w:cs="Arial"/>
        </w:rPr>
        <w:t>Commencement</w:t>
      </w:r>
    </w:p>
    <w:p w:rsidR="002B7B72" w:rsidRDefault="002B7B72" w:rsidP="002B7B72">
      <w:pPr>
        <w:spacing w:before="120" w:line="300" w:lineRule="atLeast"/>
        <w:ind w:left="567"/>
      </w:pPr>
      <w:r>
        <w:t>This Direction commences on the day after it is registered on the Federal Register of Legislative Instruments.</w:t>
      </w:r>
    </w:p>
    <w:p w:rsidR="00A17AC7" w:rsidRDefault="00A17AC7" w:rsidP="00A17AC7">
      <w:pPr>
        <w:pStyle w:val="HR"/>
        <w:tabs>
          <w:tab w:val="clear" w:pos="540"/>
          <w:tab w:val="left" w:pos="426"/>
        </w:tabs>
        <w:spacing w:before="400"/>
        <w:jc w:val="left"/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 w:rsidRPr="006F0DBC">
        <w:rPr>
          <w:rFonts w:ascii="Arial" w:hAnsi="Arial" w:cs="Arial"/>
          <w:sz w:val="24"/>
          <w:szCs w:val="24"/>
        </w:rPr>
        <w:t>Cessation</w:t>
      </w:r>
    </w:p>
    <w:p w:rsidR="00A17AC7" w:rsidRPr="006F0DBC" w:rsidRDefault="00A17AC7" w:rsidP="00A17AC7">
      <w:pPr>
        <w:pStyle w:val="R1"/>
        <w:tabs>
          <w:tab w:val="clear" w:pos="1080"/>
          <w:tab w:val="clear" w:pos="1260"/>
          <w:tab w:val="left" w:pos="567"/>
          <w:tab w:val="left" w:pos="709"/>
          <w:tab w:val="right" w:pos="1276"/>
        </w:tabs>
        <w:ind w:left="567"/>
        <w:jc w:val="left"/>
        <w:rPr>
          <w:sz w:val="24"/>
          <w:szCs w:val="24"/>
        </w:rPr>
      </w:pPr>
      <w:r w:rsidRPr="006F0DBC">
        <w:rPr>
          <w:sz w:val="24"/>
          <w:szCs w:val="24"/>
        </w:rPr>
        <w:t xml:space="preserve">This Direction ceases on </w:t>
      </w:r>
      <w:r w:rsidR="005A68BE">
        <w:rPr>
          <w:sz w:val="24"/>
          <w:szCs w:val="24"/>
        </w:rPr>
        <w:t>31 July 2011</w:t>
      </w:r>
      <w:r w:rsidR="008F0BF8">
        <w:rPr>
          <w:sz w:val="24"/>
          <w:szCs w:val="24"/>
        </w:rPr>
        <w:t>.</w:t>
      </w:r>
    </w:p>
    <w:p w:rsidR="00B528AD" w:rsidRDefault="00A17AC7" w:rsidP="002423B3">
      <w:pPr>
        <w:pStyle w:val="HR"/>
        <w:tabs>
          <w:tab w:val="clear" w:pos="540"/>
          <w:tab w:val="left" w:pos="426"/>
        </w:tabs>
        <w:spacing w:before="400"/>
        <w:ind w:left="425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B7B72">
        <w:rPr>
          <w:rFonts w:ascii="Arial" w:hAnsi="Arial" w:cs="Arial"/>
        </w:rPr>
        <w:tab/>
      </w:r>
      <w:r w:rsidR="00B528AD">
        <w:rPr>
          <w:rFonts w:ascii="Arial" w:hAnsi="Arial" w:cs="Arial"/>
        </w:rPr>
        <w:t>Definitions</w:t>
      </w:r>
    </w:p>
    <w:p w:rsidR="00B528AD" w:rsidRDefault="00B528AD" w:rsidP="00FB2125">
      <w:pPr>
        <w:tabs>
          <w:tab w:val="left" w:pos="567"/>
        </w:tabs>
        <w:spacing w:before="120" w:after="120"/>
        <w:ind w:firstLine="540"/>
      </w:pPr>
      <w:r>
        <w:tab/>
        <w:t>In this Direction:</w:t>
      </w:r>
    </w:p>
    <w:p w:rsidR="00B528AD" w:rsidRPr="003E22C1" w:rsidRDefault="00B528AD" w:rsidP="002423B3">
      <w:pPr>
        <w:pStyle w:val="definition"/>
        <w:tabs>
          <w:tab w:val="clear" w:pos="1260"/>
          <w:tab w:val="left" w:pos="851"/>
        </w:tabs>
        <w:spacing w:before="120" w:after="120"/>
        <w:jc w:val="left"/>
        <w:rPr>
          <w:sz w:val="24"/>
          <w:szCs w:val="24"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Pr="003E22C1">
        <w:rPr>
          <w:b/>
          <w:bCs/>
          <w:i/>
          <w:iCs/>
          <w:sz w:val="24"/>
          <w:szCs w:val="24"/>
        </w:rPr>
        <w:t>AC</w:t>
      </w:r>
      <w:r w:rsidR="00677C35" w:rsidRPr="003E22C1">
        <w:rPr>
          <w:b/>
          <w:bCs/>
          <w:i/>
          <w:iCs/>
          <w:sz w:val="24"/>
          <w:szCs w:val="24"/>
        </w:rPr>
        <w:t>M</w:t>
      </w:r>
      <w:r w:rsidRPr="003E22C1">
        <w:rPr>
          <w:b/>
          <w:bCs/>
          <w:i/>
          <w:iCs/>
          <w:sz w:val="24"/>
          <w:szCs w:val="24"/>
        </w:rPr>
        <w:t xml:space="preserve">A </w:t>
      </w:r>
      <w:r w:rsidRPr="003E22C1">
        <w:rPr>
          <w:sz w:val="24"/>
          <w:szCs w:val="24"/>
        </w:rPr>
        <w:t>means the Australian Communications</w:t>
      </w:r>
      <w:r w:rsidR="00677C35" w:rsidRPr="003E22C1">
        <w:rPr>
          <w:sz w:val="24"/>
          <w:szCs w:val="24"/>
        </w:rPr>
        <w:t xml:space="preserve"> and Media</w:t>
      </w:r>
      <w:r w:rsidRPr="003E22C1">
        <w:rPr>
          <w:sz w:val="24"/>
          <w:szCs w:val="24"/>
        </w:rPr>
        <w:t xml:space="preserve"> Authority.</w:t>
      </w:r>
    </w:p>
    <w:p w:rsidR="00B528AD" w:rsidRPr="003E22C1" w:rsidRDefault="00B528AD" w:rsidP="002423B3">
      <w:pPr>
        <w:pStyle w:val="definition"/>
        <w:tabs>
          <w:tab w:val="clear" w:pos="1260"/>
          <w:tab w:val="left" w:pos="851"/>
        </w:tabs>
        <w:spacing w:before="120" w:after="120"/>
        <w:ind w:left="851"/>
        <w:jc w:val="left"/>
        <w:rPr>
          <w:sz w:val="24"/>
          <w:szCs w:val="24"/>
        </w:rPr>
      </w:pPr>
      <w:r w:rsidRPr="003E22C1">
        <w:rPr>
          <w:b/>
          <w:bCs/>
          <w:i/>
          <w:iCs/>
          <w:sz w:val="24"/>
          <w:szCs w:val="24"/>
        </w:rPr>
        <w:t xml:space="preserve">Act </w:t>
      </w:r>
      <w:r w:rsidRPr="003E22C1">
        <w:rPr>
          <w:sz w:val="24"/>
          <w:szCs w:val="24"/>
        </w:rPr>
        <w:t xml:space="preserve">means the </w:t>
      </w:r>
      <w:r w:rsidRPr="003E22C1">
        <w:rPr>
          <w:i/>
          <w:iCs/>
          <w:sz w:val="24"/>
          <w:szCs w:val="24"/>
        </w:rPr>
        <w:t>Telecommunications (Consumer Protection and Service Standards) Act 1999</w:t>
      </w:r>
      <w:r w:rsidRPr="003E22C1">
        <w:rPr>
          <w:sz w:val="24"/>
          <w:szCs w:val="24"/>
        </w:rPr>
        <w:t>.</w:t>
      </w:r>
    </w:p>
    <w:p w:rsidR="00B528AD" w:rsidRPr="003E22C1" w:rsidRDefault="00B528AD" w:rsidP="002423B3">
      <w:pPr>
        <w:pStyle w:val="definition"/>
        <w:tabs>
          <w:tab w:val="left" w:pos="851"/>
        </w:tabs>
        <w:spacing w:before="120" w:after="120"/>
        <w:ind w:left="851" w:hanging="851"/>
        <w:jc w:val="left"/>
        <w:rPr>
          <w:sz w:val="24"/>
          <w:szCs w:val="24"/>
        </w:rPr>
      </w:pPr>
      <w:r w:rsidRPr="003E22C1">
        <w:rPr>
          <w:b/>
          <w:bCs/>
          <w:i/>
          <w:iCs/>
          <w:sz w:val="24"/>
          <w:szCs w:val="24"/>
        </w:rPr>
        <w:tab/>
      </w:r>
      <w:proofErr w:type="gramStart"/>
      <w:r w:rsidRPr="003E22C1">
        <w:rPr>
          <w:b/>
          <w:bCs/>
          <w:i/>
          <w:iCs/>
          <w:sz w:val="24"/>
          <w:szCs w:val="24"/>
        </w:rPr>
        <w:t>arrangements</w:t>
      </w:r>
      <w:proofErr w:type="gramEnd"/>
      <w:r w:rsidRPr="003E22C1">
        <w:rPr>
          <w:b/>
          <w:bCs/>
          <w:i/>
          <w:iCs/>
          <w:sz w:val="24"/>
          <w:szCs w:val="24"/>
        </w:rPr>
        <w:t xml:space="preserve"> for the fulfilment of the </w:t>
      </w:r>
      <w:r w:rsidR="00BC2D6C" w:rsidRPr="003E22C1">
        <w:rPr>
          <w:b/>
          <w:bCs/>
          <w:i/>
          <w:iCs/>
          <w:sz w:val="24"/>
          <w:szCs w:val="24"/>
        </w:rPr>
        <w:t>USO</w:t>
      </w:r>
      <w:r w:rsidRPr="003E22C1">
        <w:rPr>
          <w:b/>
          <w:bCs/>
          <w:sz w:val="24"/>
          <w:szCs w:val="24"/>
        </w:rPr>
        <w:t xml:space="preserve"> </w:t>
      </w:r>
      <w:r w:rsidRPr="003E22C1">
        <w:rPr>
          <w:sz w:val="24"/>
          <w:szCs w:val="24"/>
        </w:rPr>
        <w:t>means the arrangements set out in section 11 of the Act.</w:t>
      </w:r>
    </w:p>
    <w:p w:rsidR="00B528AD" w:rsidRPr="003E22C1" w:rsidRDefault="00B528AD" w:rsidP="002423B3">
      <w:pPr>
        <w:pStyle w:val="definition"/>
        <w:tabs>
          <w:tab w:val="clear" w:pos="1260"/>
          <w:tab w:val="left" w:pos="851"/>
        </w:tabs>
        <w:spacing w:before="120" w:after="120"/>
        <w:ind w:left="851"/>
        <w:jc w:val="left"/>
        <w:rPr>
          <w:sz w:val="24"/>
          <w:szCs w:val="24"/>
        </w:rPr>
      </w:pPr>
      <w:r w:rsidRPr="003E22C1">
        <w:rPr>
          <w:b/>
          <w:bCs/>
          <w:i/>
          <w:iCs/>
          <w:sz w:val="24"/>
          <w:szCs w:val="24"/>
        </w:rPr>
        <w:lastRenderedPageBreak/>
        <w:tab/>
      </w:r>
      <w:proofErr w:type="gramStart"/>
      <w:r w:rsidRPr="003E22C1">
        <w:rPr>
          <w:b/>
          <w:bCs/>
          <w:i/>
          <w:iCs/>
          <w:sz w:val="24"/>
          <w:szCs w:val="24"/>
        </w:rPr>
        <w:t>contestable</w:t>
      </w:r>
      <w:proofErr w:type="gramEnd"/>
      <w:r w:rsidRPr="003E22C1">
        <w:rPr>
          <w:b/>
          <w:bCs/>
          <w:i/>
          <w:iCs/>
          <w:sz w:val="24"/>
          <w:szCs w:val="24"/>
        </w:rPr>
        <w:t xml:space="preserve"> area </w:t>
      </w:r>
      <w:r w:rsidR="002B7B72" w:rsidRPr="003E22C1">
        <w:rPr>
          <w:bCs/>
          <w:iCs/>
          <w:sz w:val="24"/>
          <w:szCs w:val="24"/>
        </w:rPr>
        <w:t>means</w:t>
      </w:r>
      <w:r w:rsidR="002B7B72" w:rsidRPr="003E22C1">
        <w:rPr>
          <w:b/>
          <w:bCs/>
          <w:iCs/>
          <w:sz w:val="24"/>
          <w:szCs w:val="24"/>
        </w:rPr>
        <w:t xml:space="preserve"> </w:t>
      </w:r>
      <w:r w:rsidR="007B03F1" w:rsidRPr="003E22C1">
        <w:rPr>
          <w:sz w:val="24"/>
          <w:szCs w:val="24"/>
        </w:rPr>
        <w:t>a universal service</w:t>
      </w:r>
      <w:r w:rsidR="002B7B72" w:rsidRPr="003E22C1">
        <w:rPr>
          <w:sz w:val="24"/>
          <w:szCs w:val="24"/>
        </w:rPr>
        <w:t xml:space="preserve"> area determined under the </w:t>
      </w:r>
      <w:r w:rsidR="002B7B72" w:rsidRPr="003E22C1">
        <w:rPr>
          <w:i/>
          <w:sz w:val="24"/>
          <w:szCs w:val="24"/>
        </w:rPr>
        <w:t xml:space="preserve">Universal Service Areas Determination (No. 1) 2001 </w:t>
      </w:r>
      <w:r w:rsidR="002B7B72" w:rsidRPr="003E22C1">
        <w:rPr>
          <w:sz w:val="24"/>
          <w:szCs w:val="24"/>
        </w:rPr>
        <w:t xml:space="preserve">for which the </w:t>
      </w:r>
      <w:r w:rsidRPr="003E22C1">
        <w:rPr>
          <w:sz w:val="24"/>
          <w:szCs w:val="24"/>
        </w:rPr>
        <w:t xml:space="preserve">service obligation referred to </w:t>
      </w:r>
      <w:r w:rsidR="002B7B72" w:rsidRPr="003E22C1">
        <w:rPr>
          <w:sz w:val="24"/>
          <w:szCs w:val="24"/>
        </w:rPr>
        <w:t>at</w:t>
      </w:r>
      <w:r w:rsidRPr="003E22C1">
        <w:rPr>
          <w:sz w:val="24"/>
          <w:szCs w:val="24"/>
        </w:rPr>
        <w:t xml:space="preserve"> paragraph 9(1)(a) of the Act has been determined to be contestable under </w:t>
      </w:r>
      <w:r w:rsidR="002B7B72" w:rsidRPr="003E22C1">
        <w:rPr>
          <w:sz w:val="24"/>
          <w:szCs w:val="24"/>
        </w:rPr>
        <w:t xml:space="preserve">the </w:t>
      </w:r>
      <w:r w:rsidR="002B7B72" w:rsidRPr="003E22C1">
        <w:rPr>
          <w:i/>
          <w:sz w:val="24"/>
          <w:szCs w:val="24"/>
        </w:rPr>
        <w:t>Contestable Service Obligation Determination (No.</w:t>
      </w:r>
      <w:r w:rsidR="00FB2125">
        <w:rPr>
          <w:i/>
          <w:sz w:val="24"/>
          <w:szCs w:val="24"/>
        </w:rPr>
        <w:t> </w:t>
      </w:r>
      <w:r w:rsidR="002B7B72" w:rsidRPr="003E22C1">
        <w:rPr>
          <w:i/>
          <w:sz w:val="24"/>
          <w:szCs w:val="24"/>
        </w:rPr>
        <w:t>1) 2001</w:t>
      </w:r>
      <w:r w:rsidRPr="003E22C1">
        <w:rPr>
          <w:sz w:val="24"/>
          <w:szCs w:val="24"/>
        </w:rPr>
        <w:t>.</w:t>
      </w:r>
    </w:p>
    <w:p w:rsidR="009A15FF" w:rsidRDefault="009A15FF" w:rsidP="002423B3">
      <w:pPr>
        <w:pStyle w:val="definition"/>
        <w:tabs>
          <w:tab w:val="clear" w:pos="1080"/>
          <w:tab w:val="left" w:pos="851"/>
        </w:tabs>
        <w:spacing w:before="120" w:after="120"/>
        <w:ind w:left="851" w:hanging="851"/>
        <w:jc w:val="left"/>
        <w:rPr>
          <w:sz w:val="24"/>
          <w:szCs w:val="24"/>
        </w:rPr>
      </w:pPr>
      <w:r w:rsidRPr="003E22C1">
        <w:rPr>
          <w:b/>
          <w:bCs/>
          <w:i/>
          <w:iCs/>
          <w:sz w:val="24"/>
          <w:szCs w:val="24"/>
        </w:rPr>
        <w:tab/>
      </w:r>
      <w:proofErr w:type="gramStart"/>
      <w:r w:rsidRPr="003E22C1">
        <w:rPr>
          <w:b/>
          <w:bCs/>
          <w:i/>
          <w:iCs/>
          <w:sz w:val="24"/>
          <w:szCs w:val="24"/>
        </w:rPr>
        <w:t>default</w:t>
      </w:r>
      <w:proofErr w:type="gramEnd"/>
      <w:r w:rsidRPr="003E22C1">
        <w:rPr>
          <w:b/>
          <w:bCs/>
          <w:i/>
          <w:iCs/>
          <w:sz w:val="24"/>
          <w:szCs w:val="24"/>
        </w:rPr>
        <w:t xml:space="preserve"> area </w:t>
      </w:r>
      <w:r w:rsidRPr="003E22C1">
        <w:rPr>
          <w:sz w:val="24"/>
          <w:szCs w:val="24"/>
        </w:rPr>
        <w:t>means the area for which the Minister is taken to have made a determination as a result of subsection 9G(3) of the Act.</w:t>
      </w:r>
    </w:p>
    <w:p w:rsidR="00B528AD" w:rsidRPr="003E22C1" w:rsidRDefault="003B4CC7" w:rsidP="002423B3">
      <w:pPr>
        <w:pStyle w:val="definition"/>
        <w:tabs>
          <w:tab w:val="left" w:pos="851"/>
        </w:tabs>
        <w:spacing w:before="120" w:after="120"/>
        <w:ind w:left="851" w:right="-290" w:hanging="851"/>
        <w:jc w:val="left"/>
        <w:rPr>
          <w:i/>
          <w:iCs/>
          <w:sz w:val="24"/>
          <w:szCs w:val="24"/>
        </w:rPr>
      </w:pPr>
      <w:r w:rsidRPr="003E22C1">
        <w:rPr>
          <w:b/>
          <w:bCs/>
          <w:i/>
          <w:iCs/>
          <w:sz w:val="24"/>
          <w:szCs w:val="24"/>
        </w:rPr>
        <w:tab/>
      </w:r>
      <w:r w:rsidR="00B528AD" w:rsidRPr="003E22C1">
        <w:rPr>
          <w:b/>
          <w:bCs/>
          <w:i/>
          <w:iCs/>
          <w:sz w:val="24"/>
          <w:szCs w:val="24"/>
        </w:rPr>
        <w:t>Extended Zones area</w:t>
      </w:r>
      <w:r w:rsidR="00B528AD" w:rsidRPr="003E22C1">
        <w:rPr>
          <w:i/>
          <w:iCs/>
          <w:sz w:val="24"/>
          <w:szCs w:val="24"/>
        </w:rPr>
        <w:t xml:space="preserve"> </w:t>
      </w:r>
      <w:r w:rsidR="00B528AD" w:rsidRPr="003E22C1">
        <w:rPr>
          <w:sz w:val="24"/>
          <w:szCs w:val="24"/>
        </w:rPr>
        <w:t xml:space="preserve">means the universal service area notified as the universal service area of the Extended Zones in the </w:t>
      </w:r>
      <w:r w:rsidR="00B528AD" w:rsidRPr="00B8734B">
        <w:rPr>
          <w:i/>
          <w:sz w:val="24"/>
          <w:szCs w:val="24"/>
        </w:rPr>
        <w:t>Notice of the Primary Universal Service Provider for the Extended Zones of Australia</w:t>
      </w:r>
      <w:r w:rsidR="00B8734B">
        <w:rPr>
          <w:sz w:val="24"/>
          <w:szCs w:val="24"/>
        </w:rPr>
        <w:t>.</w:t>
      </w:r>
    </w:p>
    <w:p w:rsidR="00B528AD" w:rsidRPr="003E22C1" w:rsidRDefault="00B528AD" w:rsidP="002423B3">
      <w:pPr>
        <w:pStyle w:val="definition"/>
        <w:tabs>
          <w:tab w:val="left" w:pos="851"/>
        </w:tabs>
        <w:spacing w:before="120" w:after="120"/>
        <w:ind w:left="851" w:hanging="851"/>
        <w:jc w:val="left"/>
        <w:rPr>
          <w:sz w:val="24"/>
          <w:szCs w:val="24"/>
        </w:rPr>
      </w:pPr>
      <w:r w:rsidRPr="003E22C1">
        <w:rPr>
          <w:b/>
          <w:bCs/>
          <w:i/>
          <w:iCs/>
          <w:sz w:val="24"/>
          <w:szCs w:val="24"/>
        </w:rPr>
        <w:tab/>
        <w:t>Minister</w:t>
      </w:r>
      <w:r w:rsidRPr="003E22C1">
        <w:rPr>
          <w:sz w:val="24"/>
          <w:szCs w:val="24"/>
        </w:rPr>
        <w:t xml:space="preserve"> means the</w:t>
      </w:r>
      <w:r w:rsidR="00677C35" w:rsidRPr="003E22C1">
        <w:rPr>
          <w:sz w:val="24"/>
          <w:szCs w:val="24"/>
        </w:rPr>
        <w:t xml:space="preserve"> Minister </w:t>
      </w:r>
      <w:r w:rsidR="00AD014F" w:rsidRPr="003E22C1">
        <w:rPr>
          <w:sz w:val="24"/>
          <w:szCs w:val="24"/>
        </w:rPr>
        <w:t>who administers the Act</w:t>
      </w:r>
      <w:r w:rsidR="00677C35" w:rsidRPr="003E22C1">
        <w:rPr>
          <w:sz w:val="24"/>
          <w:szCs w:val="24"/>
        </w:rPr>
        <w:t>.</w:t>
      </w:r>
    </w:p>
    <w:p w:rsidR="00D506E3" w:rsidRPr="003E22C1" w:rsidRDefault="00B528AD" w:rsidP="001972FE">
      <w:pPr>
        <w:pStyle w:val="definition"/>
        <w:tabs>
          <w:tab w:val="left" w:pos="851"/>
        </w:tabs>
        <w:spacing w:before="120" w:after="120"/>
        <w:ind w:left="851" w:hanging="851"/>
        <w:jc w:val="left"/>
        <w:rPr>
          <w:bCs/>
          <w:iCs/>
          <w:sz w:val="24"/>
          <w:szCs w:val="24"/>
        </w:rPr>
      </w:pPr>
      <w:r w:rsidRPr="003E22C1">
        <w:rPr>
          <w:b/>
          <w:bCs/>
          <w:i/>
          <w:iCs/>
          <w:sz w:val="24"/>
          <w:szCs w:val="24"/>
        </w:rPr>
        <w:tab/>
      </w:r>
      <w:proofErr w:type="gramStart"/>
      <w:r w:rsidR="004F0DA0" w:rsidRPr="004F0DA0">
        <w:rPr>
          <w:b/>
          <w:bCs/>
          <w:i/>
          <w:iCs/>
          <w:sz w:val="24"/>
          <w:szCs w:val="24"/>
        </w:rPr>
        <w:t>previous</w:t>
      </w:r>
      <w:proofErr w:type="gramEnd"/>
      <w:r w:rsidR="004F0DA0" w:rsidRPr="004F0DA0">
        <w:rPr>
          <w:b/>
          <w:bCs/>
          <w:i/>
          <w:iCs/>
          <w:sz w:val="24"/>
          <w:szCs w:val="24"/>
        </w:rPr>
        <w:t xml:space="preserve"> claim period</w:t>
      </w:r>
      <w:r w:rsidR="00D506E3" w:rsidRPr="003E22C1">
        <w:rPr>
          <w:bCs/>
          <w:iCs/>
          <w:sz w:val="24"/>
          <w:szCs w:val="24"/>
        </w:rPr>
        <w:t xml:space="preserve"> means the 200</w:t>
      </w:r>
      <w:r w:rsidR="00BD65A9">
        <w:rPr>
          <w:bCs/>
          <w:iCs/>
          <w:sz w:val="24"/>
          <w:szCs w:val="24"/>
        </w:rPr>
        <w:t>9</w:t>
      </w:r>
      <w:r w:rsidR="00D506E3" w:rsidRPr="003E22C1">
        <w:rPr>
          <w:bCs/>
          <w:iCs/>
          <w:sz w:val="24"/>
          <w:szCs w:val="24"/>
        </w:rPr>
        <w:t>-20</w:t>
      </w:r>
      <w:r w:rsidR="00BD65A9">
        <w:rPr>
          <w:bCs/>
          <w:iCs/>
          <w:sz w:val="24"/>
          <w:szCs w:val="24"/>
        </w:rPr>
        <w:t>10</w:t>
      </w:r>
      <w:r w:rsidR="00D506E3" w:rsidRPr="003E22C1">
        <w:rPr>
          <w:bCs/>
          <w:iCs/>
          <w:sz w:val="24"/>
          <w:szCs w:val="24"/>
        </w:rPr>
        <w:t xml:space="preserve"> financial year.</w:t>
      </w:r>
    </w:p>
    <w:p w:rsidR="00124896" w:rsidRPr="003E22C1" w:rsidRDefault="00D506E3" w:rsidP="00124896">
      <w:pPr>
        <w:pStyle w:val="definition"/>
        <w:tabs>
          <w:tab w:val="left" w:pos="851"/>
        </w:tabs>
        <w:spacing w:before="120" w:after="120"/>
        <w:ind w:left="851" w:hanging="851"/>
        <w:jc w:val="left"/>
        <w:rPr>
          <w:bCs/>
          <w:iCs/>
          <w:sz w:val="24"/>
          <w:szCs w:val="24"/>
        </w:rPr>
      </w:pPr>
      <w:r w:rsidRPr="003E22C1">
        <w:rPr>
          <w:b/>
          <w:bCs/>
          <w:i/>
          <w:iCs/>
          <w:sz w:val="24"/>
          <w:szCs w:val="24"/>
        </w:rPr>
        <w:tab/>
      </w:r>
      <w:r w:rsidR="00124896" w:rsidRPr="003E22C1">
        <w:rPr>
          <w:b/>
          <w:bCs/>
          <w:i/>
          <w:iCs/>
          <w:sz w:val="24"/>
          <w:szCs w:val="24"/>
        </w:rPr>
        <w:tab/>
      </w:r>
      <w:proofErr w:type="gramStart"/>
      <w:r w:rsidR="004F0DA0" w:rsidRPr="004F0DA0">
        <w:rPr>
          <w:b/>
          <w:bCs/>
          <w:i/>
          <w:iCs/>
          <w:sz w:val="24"/>
          <w:szCs w:val="24"/>
        </w:rPr>
        <w:t>previous</w:t>
      </w:r>
      <w:proofErr w:type="gramEnd"/>
      <w:r w:rsidR="004F0DA0" w:rsidRPr="004F0DA0">
        <w:rPr>
          <w:b/>
          <w:bCs/>
          <w:i/>
          <w:iCs/>
          <w:sz w:val="24"/>
          <w:szCs w:val="24"/>
        </w:rPr>
        <w:t xml:space="preserve"> Contestable Areas Determination</w:t>
      </w:r>
      <w:r w:rsidR="00124896" w:rsidRPr="003E22C1">
        <w:rPr>
          <w:b/>
          <w:bCs/>
          <w:i/>
          <w:iCs/>
          <w:sz w:val="24"/>
          <w:szCs w:val="24"/>
        </w:rPr>
        <w:t xml:space="preserve"> </w:t>
      </w:r>
      <w:r w:rsidR="00124896" w:rsidRPr="003E22C1">
        <w:rPr>
          <w:bCs/>
          <w:iCs/>
          <w:sz w:val="24"/>
          <w:szCs w:val="24"/>
        </w:rPr>
        <w:t xml:space="preserve">means the </w:t>
      </w:r>
      <w:r w:rsidR="00124896" w:rsidRPr="003E22C1">
        <w:rPr>
          <w:bCs/>
          <w:i/>
          <w:sz w:val="24"/>
          <w:szCs w:val="24"/>
        </w:rPr>
        <w:t>Universal Service Subsidies (200</w:t>
      </w:r>
      <w:r w:rsidR="00BD65A9">
        <w:rPr>
          <w:bCs/>
          <w:i/>
          <w:sz w:val="24"/>
          <w:szCs w:val="24"/>
        </w:rPr>
        <w:t>9</w:t>
      </w:r>
      <w:r w:rsidR="00124896" w:rsidRPr="003E22C1">
        <w:rPr>
          <w:bCs/>
          <w:i/>
          <w:sz w:val="24"/>
          <w:szCs w:val="24"/>
        </w:rPr>
        <w:t>-</w:t>
      </w:r>
      <w:r w:rsidR="00BD65A9">
        <w:rPr>
          <w:bCs/>
          <w:i/>
          <w:sz w:val="24"/>
          <w:szCs w:val="24"/>
        </w:rPr>
        <w:t>10</w:t>
      </w:r>
      <w:r w:rsidR="002319CF" w:rsidRPr="003E22C1">
        <w:rPr>
          <w:bCs/>
          <w:i/>
          <w:sz w:val="24"/>
          <w:szCs w:val="24"/>
        </w:rPr>
        <w:t xml:space="preserve"> </w:t>
      </w:r>
      <w:r w:rsidR="00124896" w:rsidRPr="003E22C1">
        <w:rPr>
          <w:bCs/>
          <w:i/>
          <w:sz w:val="24"/>
          <w:szCs w:val="24"/>
        </w:rPr>
        <w:t xml:space="preserve">Contestable Areas) Determination (No.1) </w:t>
      </w:r>
      <w:r w:rsidR="002319CF" w:rsidRPr="003E22C1">
        <w:rPr>
          <w:bCs/>
          <w:i/>
          <w:sz w:val="24"/>
          <w:szCs w:val="24"/>
        </w:rPr>
        <w:t>20</w:t>
      </w:r>
      <w:r w:rsidR="00BD65A9">
        <w:rPr>
          <w:bCs/>
          <w:i/>
          <w:sz w:val="24"/>
          <w:szCs w:val="24"/>
        </w:rPr>
        <w:t>10</w:t>
      </w:r>
      <w:r w:rsidR="00124896" w:rsidRPr="003E22C1">
        <w:rPr>
          <w:bCs/>
          <w:sz w:val="24"/>
          <w:szCs w:val="24"/>
        </w:rPr>
        <w:t>.</w:t>
      </w:r>
    </w:p>
    <w:p w:rsidR="00124896" w:rsidRPr="003E22C1" w:rsidRDefault="00124896" w:rsidP="00124896">
      <w:pPr>
        <w:pStyle w:val="definition"/>
        <w:tabs>
          <w:tab w:val="left" w:pos="851"/>
        </w:tabs>
        <w:spacing w:before="120" w:after="120"/>
        <w:ind w:left="851" w:hanging="851"/>
        <w:jc w:val="left"/>
        <w:rPr>
          <w:bCs/>
          <w:iCs/>
          <w:sz w:val="24"/>
          <w:szCs w:val="24"/>
        </w:rPr>
      </w:pPr>
      <w:r w:rsidRPr="003E22C1">
        <w:rPr>
          <w:b/>
          <w:bCs/>
          <w:i/>
          <w:iCs/>
          <w:sz w:val="24"/>
          <w:szCs w:val="24"/>
        </w:rPr>
        <w:tab/>
      </w:r>
      <w:proofErr w:type="gramStart"/>
      <w:r w:rsidR="004F0DA0" w:rsidRPr="004F0DA0">
        <w:rPr>
          <w:b/>
          <w:bCs/>
          <w:i/>
          <w:iCs/>
          <w:sz w:val="24"/>
          <w:szCs w:val="24"/>
        </w:rPr>
        <w:t>previous</w:t>
      </w:r>
      <w:proofErr w:type="gramEnd"/>
      <w:r w:rsidR="004F0DA0" w:rsidRPr="004F0DA0">
        <w:rPr>
          <w:b/>
          <w:bCs/>
          <w:i/>
          <w:iCs/>
          <w:sz w:val="24"/>
          <w:szCs w:val="24"/>
        </w:rPr>
        <w:t xml:space="preserve"> Default Area Determination</w:t>
      </w:r>
      <w:r w:rsidRPr="003E22C1">
        <w:rPr>
          <w:b/>
          <w:bCs/>
          <w:i/>
          <w:iCs/>
          <w:sz w:val="24"/>
          <w:szCs w:val="24"/>
        </w:rPr>
        <w:t xml:space="preserve"> </w:t>
      </w:r>
      <w:r w:rsidRPr="003E22C1">
        <w:rPr>
          <w:bCs/>
          <w:iCs/>
          <w:sz w:val="24"/>
          <w:szCs w:val="24"/>
        </w:rPr>
        <w:t xml:space="preserve">means the </w:t>
      </w:r>
      <w:r w:rsidRPr="003E22C1">
        <w:rPr>
          <w:bCs/>
          <w:i/>
          <w:sz w:val="24"/>
          <w:szCs w:val="24"/>
        </w:rPr>
        <w:t>Universal Service Subsidies (</w:t>
      </w:r>
      <w:r w:rsidR="002319CF" w:rsidRPr="003E22C1">
        <w:rPr>
          <w:bCs/>
          <w:i/>
          <w:sz w:val="24"/>
          <w:szCs w:val="24"/>
        </w:rPr>
        <w:t>200</w:t>
      </w:r>
      <w:r w:rsidR="00BD65A9">
        <w:rPr>
          <w:bCs/>
          <w:i/>
          <w:sz w:val="24"/>
          <w:szCs w:val="24"/>
        </w:rPr>
        <w:t>9</w:t>
      </w:r>
      <w:r w:rsidRPr="003E22C1">
        <w:rPr>
          <w:bCs/>
          <w:i/>
          <w:sz w:val="24"/>
          <w:szCs w:val="24"/>
        </w:rPr>
        <w:t>-</w:t>
      </w:r>
      <w:r w:rsidR="00BD65A9">
        <w:rPr>
          <w:bCs/>
          <w:i/>
          <w:sz w:val="24"/>
          <w:szCs w:val="24"/>
        </w:rPr>
        <w:t>10</w:t>
      </w:r>
      <w:r w:rsidR="002319CF" w:rsidRPr="003E22C1">
        <w:rPr>
          <w:bCs/>
          <w:i/>
          <w:sz w:val="24"/>
          <w:szCs w:val="24"/>
        </w:rPr>
        <w:t xml:space="preserve"> </w:t>
      </w:r>
      <w:r w:rsidRPr="003E22C1">
        <w:rPr>
          <w:bCs/>
          <w:i/>
          <w:sz w:val="24"/>
          <w:szCs w:val="24"/>
        </w:rPr>
        <w:t xml:space="preserve">Default Area) Determination (No.1) </w:t>
      </w:r>
      <w:r w:rsidR="002319CF" w:rsidRPr="003E22C1">
        <w:rPr>
          <w:bCs/>
          <w:i/>
          <w:sz w:val="24"/>
          <w:szCs w:val="24"/>
        </w:rPr>
        <w:t>20</w:t>
      </w:r>
      <w:r w:rsidR="00BD65A9">
        <w:rPr>
          <w:bCs/>
          <w:i/>
          <w:sz w:val="24"/>
          <w:szCs w:val="24"/>
        </w:rPr>
        <w:t>10</w:t>
      </w:r>
      <w:r w:rsidRPr="003E22C1">
        <w:rPr>
          <w:bCs/>
          <w:sz w:val="24"/>
          <w:szCs w:val="24"/>
        </w:rPr>
        <w:t>.</w:t>
      </w:r>
    </w:p>
    <w:p w:rsidR="00D506E3" w:rsidRPr="003E22C1" w:rsidRDefault="00124896" w:rsidP="001972FE">
      <w:pPr>
        <w:pStyle w:val="definition"/>
        <w:tabs>
          <w:tab w:val="left" w:pos="851"/>
        </w:tabs>
        <w:spacing w:before="120" w:after="120"/>
        <w:ind w:left="851" w:hanging="851"/>
        <w:jc w:val="left"/>
        <w:rPr>
          <w:bCs/>
          <w:sz w:val="24"/>
          <w:szCs w:val="24"/>
        </w:rPr>
      </w:pPr>
      <w:r w:rsidRPr="003E22C1">
        <w:rPr>
          <w:b/>
          <w:bCs/>
          <w:i/>
          <w:iCs/>
          <w:sz w:val="24"/>
          <w:szCs w:val="24"/>
        </w:rPr>
        <w:tab/>
      </w:r>
      <w:proofErr w:type="gramStart"/>
      <w:r w:rsidR="004F0DA0" w:rsidRPr="004F0DA0">
        <w:rPr>
          <w:b/>
          <w:bCs/>
          <w:i/>
          <w:iCs/>
          <w:sz w:val="24"/>
          <w:szCs w:val="24"/>
        </w:rPr>
        <w:t>previous</w:t>
      </w:r>
      <w:proofErr w:type="gramEnd"/>
      <w:r w:rsidR="004F0DA0" w:rsidRPr="004F0DA0">
        <w:rPr>
          <w:b/>
          <w:bCs/>
          <w:i/>
          <w:iCs/>
          <w:sz w:val="24"/>
          <w:szCs w:val="24"/>
        </w:rPr>
        <w:t xml:space="preserve"> Extended Zones Determination</w:t>
      </w:r>
      <w:r w:rsidR="00D506E3" w:rsidRPr="003E22C1">
        <w:rPr>
          <w:b/>
          <w:bCs/>
          <w:i/>
          <w:iCs/>
          <w:sz w:val="24"/>
          <w:szCs w:val="24"/>
        </w:rPr>
        <w:t xml:space="preserve"> </w:t>
      </w:r>
      <w:r w:rsidR="00D506E3" w:rsidRPr="003E22C1">
        <w:rPr>
          <w:bCs/>
          <w:iCs/>
          <w:sz w:val="24"/>
          <w:szCs w:val="24"/>
        </w:rPr>
        <w:t xml:space="preserve">means the </w:t>
      </w:r>
      <w:r w:rsidR="00DE6984" w:rsidRPr="003E22C1">
        <w:rPr>
          <w:bCs/>
          <w:i/>
          <w:sz w:val="24"/>
          <w:szCs w:val="24"/>
        </w:rPr>
        <w:t>Universal Service Subsidies (</w:t>
      </w:r>
      <w:r w:rsidR="002319CF" w:rsidRPr="003E22C1">
        <w:rPr>
          <w:bCs/>
          <w:i/>
          <w:sz w:val="24"/>
          <w:szCs w:val="24"/>
        </w:rPr>
        <w:t>200</w:t>
      </w:r>
      <w:r w:rsidR="00BD65A9">
        <w:rPr>
          <w:bCs/>
          <w:i/>
          <w:sz w:val="24"/>
          <w:szCs w:val="24"/>
        </w:rPr>
        <w:t>9</w:t>
      </w:r>
      <w:r w:rsidR="00DE6984" w:rsidRPr="003E22C1">
        <w:rPr>
          <w:bCs/>
          <w:i/>
          <w:sz w:val="24"/>
          <w:szCs w:val="24"/>
        </w:rPr>
        <w:t>-</w:t>
      </w:r>
      <w:r w:rsidR="00BD65A9">
        <w:rPr>
          <w:bCs/>
          <w:i/>
          <w:sz w:val="24"/>
          <w:szCs w:val="24"/>
        </w:rPr>
        <w:t>10</w:t>
      </w:r>
      <w:r w:rsidR="002319CF" w:rsidRPr="003E22C1">
        <w:rPr>
          <w:bCs/>
          <w:i/>
          <w:sz w:val="24"/>
          <w:szCs w:val="24"/>
        </w:rPr>
        <w:t xml:space="preserve"> </w:t>
      </w:r>
      <w:r w:rsidRPr="003E22C1">
        <w:rPr>
          <w:bCs/>
          <w:i/>
          <w:sz w:val="24"/>
          <w:szCs w:val="24"/>
        </w:rPr>
        <w:t>Extended Zones</w:t>
      </w:r>
      <w:r w:rsidR="00DE6984" w:rsidRPr="003E22C1">
        <w:rPr>
          <w:bCs/>
          <w:i/>
          <w:sz w:val="24"/>
          <w:szCs w:val="24"/>
        </w:rPr>
        <w:t xml:space="preserve">) Determination </w:t>
      </w:r>
      <w:r w:rsidR="00D506E3" w:rsidRPr="003E22C1">
        <w:rPr>
          <w:bCs/>
          <w:i/>
          <w:sz w:val="24"/>
          <w:szCs w:val="24"/>
        </w:rPr>
        <w:t xml:space="preserve">(No.1) </w:t>
      </w:r>
      <w:r w:rsidR="002319CF" w:rsidRPr="003E22C1">
        <w:rPr>
          <w:bCs/>
          <w:i/>
          <w:sz w:val="24"/>
          <w:szCs w:val="24"/>
        </w:rPr>
        <w:t>20</w:t>
      </w:r>
      <w:r w:rsidR="00BD65A9">
        <w:rPr>
          <w:bCs/>
          <w:i/>
          <w:sz w:val="24"/>
          <w:szCs w:val="24"/>
        </w:rPr>
        <w:t>10</w:t>
      </w:r>
      <w:r w:rsidR="00D506E3" w:rsidRPr="003E22C1">
        <w:rPr>
          <w:bCs/>
          <w:sz w:val="24"/>
          <w:szCs w:val="24"/>
        </w:rPr>
        <w:t>.</w:t>
      </w:r>
    </w:p>
    <w:p w:rsidR="00124896" w:rsidRPr="003E22C1" w:rsidRDefault="00124896" w:rsidP="001972FE">
      <w:pPr>
        <w:pStyle w:val="definition"/>
        <w:tabs>
          <w:tab w:val="left" w:pos="851"/>
        </w:tabs>
        <w:spacing w:before="120" w:after="120"/>
        <w:ind w:left="851" w:hanging="851"/>
        <w:jc w:val="left"/>
        <w:rPr>
          <w:bCs/>
          <w:iCs/>
          <w:sz w:val="24"/>
          <w:szCs w:val="24"/>
        </w:rPr>
      </w:pPr>
      <w:r w:rsidRPr="003E22C1">
        <w:rPr>
          <w:b/>
          <w:bCs/>
          <w:i/>
          <w:iCs/>
          <w:sz w:val="24"/>
          <w:szCs w:val="24"/>
        </w:rPr>
        <w:tab/>
      </w:r>
      <w:proofErr w:type="gramStart"/>
      <w:r w:rsidRPr="003E22C1">
        <w:rPr>
          <w:b/>
          <w:bCs/>
          <w:i/>
          <w:iCs/>
          <w:sz w:val="24"/>
          <w:szCs w:val="24"/>
        </w:rPr>
        <w:t>previous</w:t>
      </w:r>
      <w:proofErr w:type="gramEnd"/>
      <w:r w:rsidRPr="003E22C1">
        <w:rPr>
          <w:b/>
          <w:bCs/>
          <w:i/>
          <w:iCs/>
          <w:sz w:val="24"/>
          <w:szCs w:val="24"/>
        </w:rPr>
        <w:t xml:space="preserve"> USO Determinations</w:t>
      </w:r>
      <w:r w:rsidRPr="003E22C1">
        <w:rPr>
          <w:bCs/>
          <w:iCs/>
          <w:sz w:val="24"/>
          <w:szCs w:val="24"/>
        </w:rPr>
        <w:t xml:space="preserve"> means the previous </w:t>
      </w:r>
      <w:r w:rsidR="00B6644C" w:rsidRPr="003E22C1">
        <w:rPr>
          <w:bCs/>
          <w:iCs/>
          <w:sz w:val="24"/>
          <w:szCs w:val="24"/>
        </w:rPr>
        <w:t>Contestable A</w:t>
      </w:r>
      <w:r w:rsidRPr="003E22C1">
        <w:rPr>
          <w:bCs/>
          <w:iCs/>
          <w:sz w:val="24"/>
          <w:szCs w:val="24"/>
        </w:rPr>
        <w:t>re</w:t>
      </w:r>
      <w:r w:rsidR="00B6644C" w:rsidRPr="003E22C1">
        <w:rPr>
          <w:bCs/>
          <w:iCs/>
          <w:sz w:val="24"/>
          <w:szCs w:val="24"/>
        </w:rPr>
        <w:t>as Determination, the previous Default A</w:t>
      </w:r>
      <w:r w:rsidRPr="003E22C1">
        <w:rPr>
          <w:bCs/>
          <w:iCs/>
          <w:sz w:val="24"/>
          <w:szCs w:val="24"/>
        </w:rPr>
        <w:t>rea Determination and the previous Extended Zones Determination.</w:t>
      </w:r>
    </w:p>
    <w:p w:rsidR="001972FE" w:rsidRPr="003E22C1" w:rsidRDefault="001972FE" w:rsidP="001972FE">
      <w:pPr>
        <w:pStyle w:val="definition"/>
        <w:tabs>
          <w:tab w:val="left" w:pos="851"/>
        </w:tabs>
        <w:spacing w:before="120" w:after="120"/>
        <w:ind w:left="851" w:hanging="851"/>
        <w:jc w:val="left"/>
        <w:rPr>
          <w:sz w:val="24"/>
          <w:szCs w:val="24"/>
        </w:rPr>
      </w:pPr>
      <w:r w:rsidRPr="003E22C1">
        <w:rPr>
          <w:b/>
          <w:bCs/>
          <w:i/>
          <w:iCs/>
          <w:sz w:val="24"/>
          <w:szCs w:val="24"/>
        </w:rPr>
        <w:tab/>
      </w:r>
      <w:proofErr w:type="gramStart"/>
      <w:r w:rsidR="004F0DA0" w:rsidRPr="004F0DA0">
        <w:rPr>
          <w:b/>
          <w:bCs/>
          <w:i/>
          <w:iCs/>
          <w:sz w:val="24"/>
          <w:szCs w:val="24"/>
        </w:rPr>
        <w:t>relevant</w:t>
      </w:r>
      <w:proofErr w:type="gramEnd"/>
      <w:r w:rsidR="004F0DA0" w:rsidRPr="004F0DA0">
        <w:rPr>
          <w:b/>
          <w:bCs/>
          <w:i/>
          <w:iCs/>
          <w:sz w:val="24"/>
          <w:szCs w:val="24"/>
        </w:rPr>
        <w:t xml:space="preserve"> claim period</w:t>
      </w:r>
      <w:r w:rsidRPr="003E22C1">
        <w:rPr>
          <w:sz w:val="24"/>
          <w:szCs w:val="24"/>
        </w:rPr>
        <w:t xml:space="preserve"> means the </w:t>
      </w:r>
      <w:r w:rsidR="002319CF" w:rsidRPr="003E22C1">
        <w:rPr>
          <w:sz w:val="24"/>
          <w:szCs w:val="24"/>
        </w:rPr>
        <w:t>20</w:t>
      </w:r>
      <w:r w:rsidR="00BD65A9">
        <w:rPr>
          <w:sz w:val="24"/>
          <w:szCs w:val="24"/>
        </w:rPr>
        <w:t>10</w:t>
      </w:r>
      <w:r w:rsidRPr="003E22C1">
        <w:rPr>
          <w:sz w:val="24"/>
          <w:szCs w:val="24"/>
        </w:rPr>
        <w:t>-</w:t>
      </w:r>
      <w:r w:rsidR="002319CF" w:rsidRPr="003E22C1">
        <w:rPr>
          <w:sz w:val="24"/>
          <w:szCs w:val="24"/>
        </w:rPr>
        <w:t>20</w:t>
      </w:r>
      <w:r w:rsidR="002319CF">
        <w:rPr>
          <w:sz w:val="24"/>
          <w:szCs w:val="24"/>
        </w:rPr>
        <w:t>1</w:t>
      </w:r>
      <w:r w:rsidR="00BD65A9">
        <w:rPr>
          <w:sz w:val="24"/>
          <w:szCs w:val="24"/>
        </w:rPr>
        <w:t>1</w:t>
      </w:r>
      <w:r w:rsidR="002319CF" w:rsidRPr="003E22C1">
        <w:rPr>
          <w:sz w:val="24"/>
          <w:szCs w:val="24"/>
        </w:rPr>
        <w:t xml:space="preserve"> </w:t>
      </w:r>
      <w:r w:rsidRPr="003E22C1">
        <w:rPr>
          <w:sz w:val="24"/>
          <w:szCs w:val="24"/>
        </w:rPr>
        <w:t>financial year.</w:t>
      </w:r>
    </w:p>
    <w:p w:rsidR="00B528AD" w:rsidRPr="003E22C1" w:rsidRDefault="00B528AD" w:rsidP="002423B3">
      <w:pPr>
        <w:pStyle w:val="definition"/>
        <w:tabs>
          <w:tab w:val="clear" w:pos="1260"/>
          <w:tab w:val="left" w:pos="851"/>
        </w:tabs>
        <w:spacing w:before="120" w:after="120"/>
        <w:ind w:left="851"/>
        <w:jc w:val="left"/>
        <w:rPr>
          <w:sz w:val="24"/>
          <w:szCs w:val="24"/>
        </w:rPr>
      </w:pPr>
      <w:proofErr w:type="gramStart"/>
      <w:r w:rsidRPr="003E22C1">
        <w:rPr>
          <w:b/>
          <w:bCs/>
          <w:i/>
          <w:iCs/>
          <w:sz w:val="24"/>
          <w:szCs w:val="24"/>
        </w:rPr>
        <w:t>universal</w:t>
      </w:r>
      <w:proofErr w:type="gramEnd"/>
      <w:r w:rsidRPr="003E22C1">
        <w:rPr>
          <w:b/>
          <w:bCs/>
          <w:i/>
          <w:iCs/>
          <w:sz w:val="24"/>
          <w:szCs w:val="24"/>
        </w:rPr>
        <w:t xml:space="preserve"> service area </w:t>
      </w:r>
      <w:r w:rsidRPr="003E22C1">
        <w:rPr>
          <w:sz w:val="24"/>
          <w:szCs w:val="24"/>
        </w:rPr>
        <w:t>has the same meaning as in section 9G of the Act.</w:t>
      </w:r>
    </w:p>
    <w:p w:rsidR="00B528AD" w:rsidRPr="003E22C1" w:rsidRDefault="00B528AD" w:rsidP="002423B3">
      <w:pPr>
        <w:pStyle w:val="definition"/>
        <w:tabs>
          <w:tab w:val="clear" w:pos="1260"/>
          <w:tab w:val="left" w:pos="851"/>
        </w:tabs>
        <w:spacing w:before="120" w:after="120"/>
        <w:ind w:left="851" w:hanging="851"/>
        <w:jc w:val="left"/>
        <w:rPr>
          <w:sz w:val="24"/>
          <w:szCs w:val="24"/>
        </w:rPr>
      </w:pPr>
      <w:r w:rsidRPr="003E22C1">
        <w:rPr>
          <w:b/>
          <w:bCs/>
          <w:i/>
          <w:iCs/>
          <w:sz w:val="24"/>
          <w:szCs w:val="24"/>
        </w:rPr>
        <w:tab/>
      </w:r>
      <w:r w:rsidRPr="003E22C1">
        <w:rPr>
          <w:b/>
          <w:bCs/>
          <w:i/>
          <w:iCs/>
          <w:sz w:val="24"/>
          <w:szCs w:val="24"/>
        </w:rPr>
        <w:tab/>
        <w:t>USO</w:t>
      </w:r>
      <w:r w:rsidRPr="003E22C1">
        <w:rPr>
          <w:sz w:val="24"/>
          <w:szCs w:val="24"/>
        </w:rPr>
        <w:t xml:space="preserve"> means the universal service obligation referred to in section 9 of the Act.</w:t>
      </w:r>
      <w:r w:rsidRPr="003E22C1">
        <w:rPr>
          <w:b/>
          <w:bCs/>
          <w:i/>
          <w:iCs/>
          <w:sz w:val="24"/>
          <w:szCs w:val="24"/>
        </w:rPr>
        <w:tab/>
      </w:r>
    </w:p>
    <w:p w:rsidR="00B528AD" w:rsidRPr="003E22C1" w:rsidRDefault="003B4CC7" w:rsidP="002423B3">
      <w:pPr>
        <w:pStyle w:val="definition"/>
        <w:tabs>
          <w:tab w:val="clear" w:pos="1260"/>
          <w:tab w:val="left" w:pos="851"/>
        </w:tabs>
        <w:spacing w:before="120" w:after="120"/>
        <w:ind w:left="851" w:hanging="851"/>
        <w:jc w:val="left"/>
        <w:rPr>
          <w:sz w:val="24"/>
          <w:szCs w:val="24"/>
        </w:rPr>
      </w:pPr>
      <w:r w:rsidRPr="003E22C1">
        <w:rPr>
          <w:b/>
          <w:bCs/>
          <w:i/>
          <w:iCs/>
          <w:sz w:val="24"/>
          <w:szCs w:val="24"/>
        </w:rPr>
        <w:tab/>
      </w:r>
      <w:r w:rsidR="00B528AD" w:rsidRPr="003E22C1">
        <w:rPr>
          <w:b/>
          <w:bCs/>
          <w:i/>
          <w:iCs/>
          <w:sz w:val="24"/>
          <w:szCs w:val="24"/>
        </w:rPr>
        <w:t xml:space="preserve">USO subsidy </w:t>
      </w:r>
      <w:r w:rsidR="00B528AD" w:rsidRPr="003E22C1">
        <w:rPr>
          <w:sz w:val="24"/>
          <w:szCs w:val="24"/>
        </w:rPr>
        <w:t>means the universal service subsidy refer</w:t>
      </w:r>
      <w:r w:rsidR="000F1ADF" w:rsidRPr="003E22C1">
        <w:rPr>
          <w:sz w:val="24"/>
          <w:szCs w:val="24"/>
        </w:rPr>
        <w:t>red to in section </w:t>
      </w:r>
      <w:r w:rsidR="00B528AD" w:rsidRPr="003E22C1">
        <w:rPr>
          <w:sz w:val="24"/>
          <w:szCs w:val="24"/>
        </w:rPr>
        <w:t>16 of the Act.</w:t>
      </w:r>
    </w:p>
    <w:p w:rsidR="00B528AD" w:rsidRPr="003E22C1" w:rsidRDefault="00A17AC7" w:rsidP="002423B3">
      <w:pPr>
        <w:pStyle w:val="HR"/>
        <w:tabs>
          <w:tab w:val="clear" w:pos="540"/>
          <w:tab w:val="left" w:pos="426"/>
        </w:tabs>
        <w:spacing w:before="40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B528AD" w:rsidRPr="003E22C1">
        <w:rPr>
          <w:rFonts w:ascii="Arial" w:hAnsi="Arial" w:cs="Arial"/>
          <w:sz w:val="24"/>
          <w:szCs w:val="24"/>
        </w:rPr>
        <w:tab/>
        <w:t>Direction</w:t>
      </w:r>
    </w:p>
    <w:p w:rsidR="000866B4" w:rsidRPr="003E22C1" w:rsidRDefault="0077533A" w:rsidP="004568F7">
      <w:pPr>
        <w:pStyle w:val="R1"/>
        <w:numPr>
          <w:ilvl w:val="0"/>
          <w:numId w:val="21"/>
        </w:numPr>
        <w:tabs>
          <w:tab w:val="clear" w:pos="1260"/>
          <w:tab w:val="left" w:pos="567"/>
          <w:tab w:val="left" w:pos="709"/>
          <w:tab w:val="left" w:pos="1080"/>
        </w:tabs>
        <w:jc w:val="left"/>
        <w:rPr>
          <w:sz w:val="24"/>
          <w:szCs w:val="24"/>
        </w:rPr>
      </w:pPr>
      <w:r w:rsidRPr="003E22C1">
        <w:rPr>
          <w:sz w:val="24"/>
          <w:szCs w:val="24"/>
        </w:rPr>
        <w:t>I direct the ACMA</w:t>
      </w:r>
      <w:r w:rsidR="00C11550" w:rsidRPr="003E22C1">
        <w:rPr>
          <w:sz w:val="24"/>
          <w:szCs w:val="24"/>
        </w:rPr>
        <w:t>, und</w:t>
      </w:r>
      <w:r w:rsidR="002423B3" w:rsidRPr="003E22C1">
        <w:rPr>
          <w:sz w:val="24"/>
          <w:szCs w:val="24"/>
        </w:rPr>
        <w:t>er subsection 16A(1) of the Act</w:t>
      </w:r>
      <w:r w:rsidR="000866B4" w:rsidRPr="003E22C1">
        <w:rPr>
          <w:sz w:val="24"/>
          <w:szCs w:val="24"/>
        </w:rPr>
        <w:t>:</w:t>
      </w:r>
    </w:p>
    <w:p w:rsidR="00840B89" w:rsidRDefault="002423B3" w:rsidP="003B01AF">
      <w:pPr>
        <w:pStyle w:val="R1"/>
        <w:numPr>
          <w:ilvl w:val="1"/>
          <w:numId w:val="21"/>
        </w:numPr>
        <w:tabs>
          <w:tab w:val="clear" w:pos="1080"/>
          <w:tab w:val="clear" w:pos="1948"/>
          <w:tab w:val="left" w:pos="567"/>
          <w:tab w:val="left" w:pos="709"/>
          <w:tab w:val="right" w:pos="1260"/>
          <w:tab w:val="num" w:pos="1874"/>
        </w:tabs>
        <w:ind w:left="1814" w:hanging="737"/>
        <w:jc w:val="left"/>
        <w:rPr>
          <w:sz w:val="24"/>
          <w:szCs w:val="24"/>
        </w:rPr>
      </w:pPr>
      <w:r w:rsidRPr="003E22C1">
        <w:rPr>
          <w:sz w:val="24"/>
          <w:szCs w:val="24"/>
        </w:rPr>
        <w:t xml:space="preserve">to </w:t>
      </w:r>
      <w:r w:rsidR="002B7B72" w:rsidRPr="003E22C1">
        <w:rPr>
          <w:sz w:val="24"/>
          <w:szCs w:val="24"/>
        </w:rPr>
        <w:t xml:space="preserve">provide me with </w:t>
      </w:r>
      <w:r w:rsidR="00C11550" w:rsidRPr="003E22C1">
        <w:rPr>
          <w:sz w:val="24"/>
          <w:szCs w:val="24"/>
        </w:rPr>
        <w:t xml:space="preserve">advice on the matters outlined in this clause within </w:t>
      </w:r>
      <w:r w:rsidR="005A68BE">
        <w:rPr>
          <w:sz w:val="24"/>
          <w:szCs w:val="24"/>
        </w:rPr>
        <w:t>90</w:t>
      </w:r>
      <w:r w:rsidR="008F3246" w:rsidRPr="003E22C1">
        <w:rPr>
          <w:sz w:val="24"/>
          <w:szCs w:val="24"/>
        </w:rPr>
        <w:t xml:space="preserve"> </w:t>
      </w:r>
      <w:r w:rsidR="00E67C00" w:rsidRPr="003E22C1">
        <w:rPr>
          <w:sz w:val="24"/>
          <w:szCs w:val="24"/>
        </w:rPr>
        <w:t>days</w:t>
      </w:r>
      <w:r w:rsidR="00C11550" w:rsidRPr="003E22C1">
        <w:rPr>
          <w:sz w:val="24"/>
          <w:szCs w:val="24"/>
        </w:rPr>
        <w:t xml:space="preserve"> </w:t>
      </w:r>
      <w:r w:rsidR="000866B4" w:rsidRPr="003E22C1">
        <w:rPr>
          <w:sz w:val="24"/>
          <w:szCs w:val="24"/>
        </w:rPr>
        <w:t xml:space="preserve">of the </w:t>
      </w:r>
      <w:r w:rsidR="002B7B72" w:rsidRPr="003E22C1">
        <w:rPr>
          <w:sz w:val="24"/>
          <w:szCs w:val="24"/>
        </w:rPr>
        <w:t>commencement</w:t>
      </w:r>
      <w:r w:rsidR="002122FE" w:rsidRPr="003E22C1">
        <w:rPr>
          <w:sz w:val="24"/>
          <w:szCs w:val="24"/>
        </w:rPr>
        <w:t xml:space="preserve"> of this D</w:t>
      </w:r>
      <w:r w:rsidR="000866B4" w:rsidRPr="003E22C1">
        <w:rPr>
          <w:sz w:val="24"/>
          <w:szCs w:val="24"/>
        </w:rPr>
        <w:t>irection; and</w:t>
      </w:r>
    </w:p>
    <w:p w:rsidR="00626B4D" w:rsidRDefault="000866B4">
      <w:pPr>
        <w:pStyle w:val="P1"/>
        <w:numPr>
          <w:ilvl w:val="1"/>
          <w:numId w:val="21"/>
        </w:numPr>
        <w:tabs>
          <w:tab w:val="clear" w:pos="1080"/>
          <w:tab w:val="clear" w:pos="1948"/>
          <w:tab w:val="right" w:pos="567"/>
          <w:tab w:val="right" w:pos="1276"/>
          <w:tab w:val="num" w:pos="1843"/>
        </w:tabs>
        <w:spacing w:before="120" w:line="240" w:lineRule="auto"/>
        <w:ind w:left="1814" w:hanging="737"/>
        <w:jc w:val="left"/>
        <w:rPr>
          <w:sz w:val="24"/>
          <w:szCs w:val="24"/>
        </w:rPr>
      </w:pPr>
      <w:r w:rsidRPr="003E22C1">
        <w:rPr>
          <w:sz w:val="24"/>
          <w:szCs w:val="24"/>
        </w:rPr>
        <w:t>in providing this advice, to have regard to the following matters:</w:t>
      </w:r>
    </w:p>
    <w:p w:rsidR="00626B4D" w:rsidRDefault="000866B4">
      <w:pPr>
        <w:pStyle w:val="P1"/>
        <w:numPr>
          <w:ilvl w:val="0"/>
          <w:numId w:val="32"/>
        </w:numPr>
        <w:tabs>
          <w:tab w:val="clear" w:pos="1080"/>
          <w:tab w:val="clear" w:pos="2308"/>
          <w:tab w:val="right" w:pos="1800"/>
          <w:tab w:val="num" w:pos="2446"/>
        </w:tabs>
        <w:ind w:left="2446" w:hanging="603"/>
        <w:jc w:val="left"/>
        <w:rPr>
          <w:sz w:val="24"/>
          <w:szCs w:val="24"/>
        </w:rPr>
      </w:pPr>
      <w:r w:rsidRPr="003E22C1">
        <w:rPr>
          <w:sz w:val="24"/>
          <w:szCs w:val="24"/>
        </w:rPr>
        <w:t>the objects of Part 2 of the Act;</w:t>
      </w:r>
    </w:p>
    <w:p w:rsidR="00626B4D" w:rsidRDefault="0095483F">
      <w:pPr>
        <w:pStyle w:val="P1"/>
        <w:numPr>
          <w:ilvl w:val="0"/>
          <w:numId w:val="32"/>
        </w:numPr>
        <w:tabs>
          <w:tab w:val="clear" w:pos="1080"/>
          <w:tab w:val="clear" w:pos="2308"/>
          <w:tab w:val="right" w:pos="1800"/>
          <w:tab w:val="num" w:pos="2446"/>
        </w:tabs>
        <w:ind w:left="2446" w:hanging="60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the Government’s 20 June 2010 policy announcement and </w:t>
      </w:r>
      <w:r w:rsidR="00FA7041">
        <w:rPr>
          <w:sz w:val="24"/>
          <w:szCs w:val="24"/>
        </w:rPr>
        <w:t xml:space="preserve">subsequent </w:t>
      </w:r>
      <w:r>
        <w:rPr>
          <w:sz w:val="24"/>
          <w:szCs w:val="24"/>
        </w:rPr>
        <w:t>release</w:t>
      </w:r>
      <w:r w:rsidR="00FA70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 w:rsidR="004077AB">
        <w:rPr>
          <w:sz w:val="24"/>
          <w:szCs w:val="24"/>
        </w:rPr>
        <w:t>22</w:t>
      </w:r>
      <w:r w:rsidR="008873D9">
        <w:rPr>
          <w:sz w:val="24"/>
          <w:szCs w:val="24"/>
        </w:rPr>
        <w:t xml:space="preserve"> October 2010 </w:t>
      </w:r>
      <w:r>
        <w:rPr>
          <w:sz w:val="24"/>
          <w:szCs w:val="24"/>
        </w:rPr>
        <w:t xml:space="preserve">of </w:t>
      </w:r>
      <w:r w:rsidR="004077AB">
        <w:rPr>
          <w:sz w:val="24"/>
          <w:szCs w:val="24"/>
        </w:rPr>
        <w:t xml:space="preserve">a </w:t>
      </w:r>
      <w:r w:rsidR="008873D9">
        <w:rPr>
          <w:sz w:val="24"/>
          <w:szCs w:val="24"/>
        </w:rPr>
        <w:t>discussion paper</w:t>
      </w:r>
      <w:r w:rsidR="00866C1B">
        <w:rPr>
          <w:sz w:val="24"/>
          <w:szCs w:val="24"/>
        </w:rPr>
        <w:t>,</w:t>
      </w:r>
      <w:r w:rsidR="008873D9">
        <w:rPr>
          <w:sz w:val="24"/>
          <w:szCs w:val="24"/>
        </w:rPr>
        <w:t xml:space="preserve"> </w:t>
      </w:r>
      <w:r w:rsidR="00911E46">
        <w:rPr>
          <w:sz w:val="24"/>
          <w:szCs w:val="24"/>
        </w:rPr>
        <w:t>entitled</w:t>
      </w:r>
      <w:r w:rsidR="008873D9">
        <w:rPr>
          <w:sz w:val="24"/>
          <w:szCs w:val="24"/>
        </w:rPr>
        <w:t xml:space="preserve"> </w:t>
      </w:r>
      <w:r w:rsidR="003E7FE6" w:rsidRPr="003E7FE6">
        <w:rPr>
          <w:sz w:val="24"/>
          <w:szCs w:val="24"/>
        </w:rPr>
        <w:t>Implementation of Universal Service Policy for the transition to the National Broadband Network environment</w:t>
      </w:r>
      <w:r w:rsidR="003E72BB">
        <w:rPr>
          <w:sz w:val="24"/>
          <w:szCs w:val="24"/>
        </w:rPr>
        <w:t xml:space="preserve">, </w:t>
      </w:r>
      <w:r w:rsidR="00B53A41">
        <w:rPr>
          <w:sz w:val="24"/>
          <w:szCs w:val="24"/>
        </w:rPr>
        <w:t xml:space="preserve">which </w:t>
      </w:r>
      <w:r w:rsidR="00FA7041">
        <w:rPr>
          <w:sz w:val="24"/>
          <w:szCs w:val="24"/>
        </w:rPr>
        <w:t>respectively outlined and sought input on</w:t>
      </w:r>
      <w:r w:rsidR="00B53A41">
        <w:rPr>
          <w:sz w:val="24"/>
          <w:szCs w:val="24"/>
        </w:rPr>
        <w:t xml:space="preserve"> the </w:t>
      </w:r>
      <w:r w:rsidR="00FA7041">
        <w:rPr>
          <w:sz w:val="24"/>
          <w:szCs w:val="24"/>
        </w:rPr>
        <w:t xml:space="preserve">implementation </w:t>
      </w:r>
      <w:r w:rsidR="008B7EEB">
        <w:rPr>
          <w:sz w:val="24"/>
          <w:szCs w:val="24"/>
        </w:rPr>
        <w:t xml:space="preserve">of </w:t>
      </w:r>
      <w:r w:rsidR="00FA7041">
        <w:rPr>
          <w:sz w:val="24"/>
          <w:szCs w:val="24"/>
        </w:rPr>
        <w:t xml:space="preserve">the Government’s policy to introduce a </w:t>
      </w:r>
      <w:r w:rsidR="008B7EEB">
        <w:rPr>
          <w:sz w:val="24"/>
          <w:szCs w:val="24"/>
        </w:rPr>
        <w:t>new regulatory</w:t>
      </w:r>
      <w:r w:rsidR="00FA7041">
        <w:rPr>
          <w:sz w:val="24"/>
          <w:szCs w:val="24"/>
        </w:rPr>
        <w:t>,</w:t>
      </w:r>
      <w:r w:rsidR="008B7EEB">
        <w:rPr>
          <w:sz w:val="24"/>
          <w:szCs w:val="24"/>
        </w:rPr>
        <w:t xml:space="preserve"> funding </w:t>
      </w:r>
      <w:r w:rsidR="00FA7041">
        <w:rPr>
          <w:sz w:val="24"/>
          <w:szCs w:val="24"/>
        </w:rPr>
        <w:t xml:space="preserve">and institutional </w:t>
      </w:r>
      <w:r w:rsidR="008B7EEB">
        <w:rPr>
          <w:sz w:val="24"/>
          <w:szCs w:val="24"/>
        </w:rPr>
        <w:t xml:space="preserve">framework for the </w:t>
      </w:r>
      <w:r w:rsidR="00FA7041">
        <w:rPr>
          <w:sz w:val="24"/>
          <w:szCs w:val="24"/>
        </w:rPr>
        <w:t xml:space="preserve">delivery of universal service outcomes </w:t>
      </w:r>
      <w:r w:rsidR="008B7EEB">
        <w:rPr>
          <w:sz w:val="24"/>
          <w:szCs w:val="24"/>
        </w:rPr>
        <w:t xml:space="preserve">and other </w:t>
      </w:r>
      <w:r w:rsidR="00FA7041">
        <w:rPr>
          <w:sz w:val="24"/>
          <w:szCs w:val="24"/>
        </w:rPr>
        <w:t>public interest services from 1 July 2012</w:t>
      </w:r>
      <w:r w:rsidR="000945AA">
        <w:rPr>
          <w:sz w:val="24"/>
          <w:szCs w:val="24"/>
        </w:rPr>
        <w:t>;</w:t>
      </w:r>
      <w:r w:rsidR="005A68BE" w:rsidRPr="005A68BE">
        <w:rPr>
          <w:sz w:val="24"/>
          <w:szCs w:val="24"/>
        </w:rPr>
        <w:t xml:space="preserve"> </w:t>
      </w:r>
    </w:p>
    <w:p w:rsidR="00626B4D" w:rsidRDefault="005A68BE">
      <w:pPr>
        <w:pStyle w:val="P1"/>
        <w:numPr>
          <w:ilvl w:val="0"/>
          <w:numId w:val="32"/>
        </w:numPr>
        <w:tabs>
          <w:tab w:val="clear" w:pos="1080"/>
          <w:tab w:val="clear" w:pos="2308"/>
          <w:tab w:val="right" w:pos="1800"/>
          <w:tab w:val="num" w:pos="2446"/>
        </w:tabs>
        <w:ind w:left="2446" w:hanging="603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that on </w:t>
      </w:r>
      <w:r w:rsidRPr="0027554D">
        <w:rPr>
          <w:sz w:val="24"/>
          <w:szCs w:val="24"/>
        </w:rPr>
        <w:t xml:space="preserve">20 June 2010 and 9 December 2010 </w:t>
      </w:r>
      <w:r>
        <w:rPr>
          <w:sz w:val="24"/>
          <w:szCs w:val="24"/>
        </w:rPr>
        <w:t xml:space="preserve">the Government </w:t>
      </w:r>
      <w:r w:rsidRPr="0027554D">
        <w:rPr>
          <w:sz w:val="24"/>
          <w:szCs w:val="24"/>
        </w:rPr>
        <w:t>announce</w:t>
      </w:r>
      <w:r>
        <w:rPr>
          <w:sz w:val="24"/>
          <w:szCs w:val="24"/>
        </w:rPr>
        <w:t>d</w:t>
      </w:r>
      <w:r w:rsidRPr="0027554D">
        <w:rPr>
          <w:sz w:val="24"/>
          <w:szCs w:val="24"/>
        </w:rPr>
        <w:t xml:space="preserve"> changes to the way telecommunications infrastructure and services would be provided in new developments, commencing 1 January 2011</w:t>
      </w:r>
      <w:r>
        <w:rPr>
          <w:sz w:val="24"/>
          <w:szCs w:val="24"/>
        </w:rPr>
        <w:t>;</w:t>
      </w:r>
    </w:p>
    <w:p w:rsidR="00626B4D" w:rsidRDefault="005A68BE">
      <w:pPr>
        <w:pStyle w:val="P1"/>
        <w:numPr>
          <w:ilvl w:val="0"/>
          <w:numId w:val="32"/>
        </w:numPr>
        <w:tabs>
          <w:tab w:val="clear" w:pos="1080"/>
          <w:tab w:val="clear" w:pos="2308"/>
          <w:tab w:val="right" w:pos="1800"/>
          <w:tab w:val="num" w:pos="2446"/>
        </w:tabs>
        <w:ind w:left="2446" w:hanging="60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the telecommunications reform package introduced by the </w:t>
      </w:r>
      <w:r w:rsidR="003E7FE6" w:rsidRPr="003E7FE6">
        <w:rPr>
          <w:sz w:val="24"/>
          <w:szCs w:val="24"/>
        </w:rPr>
        <w:t>Telecommunications Legislation Amendment (Competition and Consumer Safeguards) Act 2010</w:t>
      </w:r>
      <w:r>
        <w:rPr>
          <w:sz w:val="24"/>
          <w:szCs w:val="24"/>
        </w:rPr>
        <w:t>;</w:t>
      </w:r>
      <w:r w:rsidR="00FA7041">
        <w:rPr>
          <w:sz w:val="24"/>
          <w:szCs w:val="24"/>
        </w:rPr>
        <w:t xml:space="preserve"> and</w:t>
      </w:r>
    </w:p>
    <w:p w:rsidR="00626B4D" w:rsidRDefault="002423B3">
      <w:pPr>
        <w:pStyle w:val="P1"/>
        <w:numPr>
          <w:ilvl w:val="0"/>
          <w:numId w:val="32"/>
        </w:numPr>
        <w:tabs>
          <w:tab w:val="clear" w:pos="1080"/>
          <w:tab w:val="clear" w:pos="2308"/>
          <w:tab w:val="right" w:pos="1800"/>
          <w:tab w:val="num" w:pos="2446"/>
        </w:tabs>
        <w:ind w:left="2446" w:hanging="603"/>
        <w:jc w:val="left"/>
        <w:rPr>
          <w:sz w:val="24"/>
          <w:szCs w:val="24"/>
        </w:rPr>
      </w:pPr>
      <w:proofErr w:type="gramStart"/>
      <w:r w:rsidRPr="003E22C1">
        <w:rPr>
          <w:sz w:val="24"/>
          <w:szCs w:val="24"/>
        </w:rPr>
        <w:t>such</w:t>
      </w:r>
      <w:proofErr w:type="gramEnd"/>
      <w:r w:rsidRPr="003E22C1">
        <w:rPr>
          <w:sz w:val="24"/>
          <w:szCs w:val="24"/>
        </w:rPr>
        <w:t xml:space="preserve"> other matters as the ACMA considers relevant</w:t>
      </w:r>
      <w:r w:rsidR="00FF0A12" w:rsidRPr="003E22C1">
        <w:rPr>
          <w:sz w:val="24"/>
          <w:szCs w:val="24"/>
        </w:rPr>
        <w:t>.</w:t>
      </w:r>
    </w:p>
    <w:p w:rsidR="000866B4" w:rsidRPr="003E22C1" w:rsidRDefault="00C11550" w:rsidP="004B3201">
      <w:pPr>
        <w:pStyle w:val="R1"/>
        <w:numPr>
          <w:ilvl w:val="0"/>
          <w:numId w:val="21"/>
        </w:numPr>
        <w:tabs>
          <w:tab w:val="clear" w:pos="1080"/>
          <w:tab w:val="clear" w:pos="1260"/>
          <w:tab w:val="left" w:pos="567"/>
          <w:tab w:val="left" w:pos="709"/>
          <w:tab w:val="right" w:pos="1276"/>
        </w:tabs>
        <w:ind w:left="1304" w:hanging="737"/>
        <w:jc w:val="left"/>
        <w:rPr>
          <w:sz w:val="24"/>
          <w:szCs w:val="24"/>
        </w:rPr>
      </w:pPr>
      <w:r w:rsidRPr="003E22C1">
        <w:rPr>
          <w:sz w:val="24"/>
          <w:szCs w:val="24"/>
        </w:rPr>
        <w:t>The advice must consider whether</w:t>
      </w:r>
      <w:r w:rsidR="000866B4" w:rsidRPr="003E22C1">
        <w:rPr>
          <w:sz w:val="24"/>
          <w:szCs w:val="24"/>
        </w:rPr>
        <w:t xml:space="preserve"> </w:t>
      </w:r>
      <w:r w:rsidR="00AD014F" w:rsidRPr="003E22C1">
        <w:rPr>
          <w:sz w:val="24"/>
          <w:szCs w:val="24"/>
        </w:rPr>
        <w:t>I should</w:t>
      </w:r>
      <w:r w:rsidR="000866B4" w:rsidRPr="003E22C1">
        <w:rPr>
          <w:sz w:val="24"/>
          <w:szCs w:val="24"/>
        </w:rPr>
        <w:t xml:space="preserve"> make a determination setting</w:t>
      </w:r>
      <w:r w:rsidR="001972FE" w:rsidRPr="003E22C1">
        <w:rPr>
          <w:sz w:val="24"/>
          <w:szCs w:val="24"/>
        </w:rPr>
        <w:t xml:space="preserve"> at $</w:t>
      </w:r>
      <w:r w:rsidR="004F0DA0" w:rsidRPr="004F0DA0">
        <w:rPr>
          <w:sz w:val="24"/>
          <w:szCs w:val="24"/>
        </w:rPr>
        <w:t>145,076,237</w:t>
      </w:r>
      <w:r w:rsidR="00AD014F" w:rsidRPr="003E22C1">
        <w:rPr>
          <w:sz w:val="24"/>
          <w:szCs w:val="24"/>
        </w:rPr>
        <w:t xml:space="preserve"> </w:t>
      </w:r>
      <w:r w:rsidR="000866B4" w:rsidRPr="003E22C1">
        <w:rPr>
          <w:sz w:val="24"/>
          <w:szCs w:val="24"/>
        </w:rPr>
        <w:t xml:space="preserve">the total amount of the USO subsidy for the </w:t>
      </w:r>
      <w:r w:rsidR="001972FE" w:rsidRPr="003E22C1">
        <w:rPr>
          <w:sz w:val="24"/>
          <w:szCs w:val="24"/>
        </w:rPr>
        <w:t xml:space="preserve">relevant </w:t>
      </w:r>
      <w:r w:rsidR="000866B4" w:rsidRPr="003E22C1">
        <w:rPr>
          <w:sz w:val="24"/>
          <w:szCs w:val="24"/>
        </w:rPr>
        <w:t>claim period</w:t>
      </w:r>
      <w:r w:rsidR="001972FE" w:rsidRPr="003E22C1">
        <w:rPr>
          <w:sz w:val="24"/>
          <w:szCs w:val="24"/>
        </w:rPr>
        <w:t xml:space="preserve"> in respect of the service obligation</w:t>
      </w:r>
      <w:r w:rsidR="00BC2D6C" w:rsidRPr="003E22C1">
        <w:rPr>
          <w:sz w:val="24"/>
          <w:szCs w:val="24"/>
        </w:rPr>
        <w:t>s</w:t>
      </w:r>
      <w:r w:rsidR="001972FE" w:rsidRPr="003E22C1">
        <w:rPr>
          <w:sz w:val="24"/>
          <w:szCs w:val="24"/>
        </w:rPr>
        <w:t xml:space="preserve"> referred to at paragraph 9(1</w:t>
      </w:r>
      <w:proofErr w:type="gramStart"/>
      <w:r w:rsidR="001972FE" w:rsidRPr="003E22C1">
        <w:rPr>
          <w:sz w:val="24"/>
          <w:szCs w:val="24"/>
        </w:rPr>
        <w:t>)(</w:t>
      </w:r>
      <w:proofErr w:type="gramEnd"/>
      <w:r w:rsidR="001972FE" w:rsidRPr="003E22C1">
        <w:rPr>
          <w:sz w:val="24"/>
          <w:szCs w:val="24"/>
        </w:rPr>
        <w:t xml:space="preserve">a) </w:t>
      </w:r>
      <w:r w:rsidR="00BC2D6C" w:rsidRPr="003E22C1">
        <w:rPr>
          <w:sz w:val="24"/>
          <w:szCs w:val="24"/>
        </w:rPr>
        <w:t xml:space="preserve">and </w:t>
      </w:r>
      <w:r w:rsidR="001972FE" w:rsidRPr="003E22C1">
        <w:rPr>
          <w:sz w:val="24"/>
          <w:szCs w:val="24"/>
        </w:rPr>
        <w:t>(b) of the Act</w:t>
      </w:r>
      <w:r w:rsidR="000866B4" w:rsidRPr="003E22C1">
        <w:rPr>
          <w:sz w:val="24"/>
          <w:szCs w:val="24"/>
        </w:rPr>
        <w:t xml:space="preserve"> </w:t>
      </w:r>
      <w:r w:rsidR="001972FE" w:rsidRPr="003E22C1">
        <w:rPr>
          <w:sz w:val="24"/>
          <w:szCs w:val="24"/>
        </w:rPr>
        <w:t>for all universal service areas</w:t>
      </w:r>
      <w:r w:rsidR="00D506E3" w:rsidRPr="003E22C1">
        <w:rPr>
          <w:sz w:val="24"/>
          <w:szCs w:val="24"/>
        </w:rPr>
        <w:t xml:space="preserve"> (being the</w:t>
      </w:r>
      <w:r w:rsidR="00124896" w:rsidRPr="003E22C1">
        <w:rPr>
          <w:sz w:val="24"/>
          <w:szCs w:val="24"/>
        </w:rPr>
        <w:t xml:space="preserve"> total am</w:t>
      </w:r>
      <w:r w:rsidR="00BC2D6C" w:rsidRPr="003E22C1">
        <w:rPr>
          <w:sz w:val="24"/>
          <w:szCs w:val="24"/>
        </w:rPr>
        <w:t>ount of the USO subsidies</w:t>
      </w:r>
      <w:r w:rsidR="00D506E3" w:rsidRPr="003E22C1">
        <w:rPr>
          <w:sz w:val="24"/>
          <w:szCs w:val="24"/>
        </w:rPr>
        <w:t xml:space="preserve"> set</w:t>
      </w:r>
      <w:r w:rsidR="007B03F1" w:rsidRPr="003E22C1">
        <w:rPr>
          <w:sz w:val="24"/>
          <w:szCs w:val="24"/>
        </w:rPr>
        <w:t xml:space="preserve"> for all areas</w:t>
      </w:r>
      <w:r w:rsidR="00D506E3" w:rsidRPr="003E22C1">
        <w:rPr>
          <w:sz w:val="24"/>
          <w:szCs w:val="24"/>
        </w:rPr>
        <w:t xml:space="preserve"> for the previous claim period by the previous </w:t>
      </w:r>
      <w:r w:rsidR="00124896" w:rsidRPr="003E22C1">
        <w:rPr>
          <w:sz w:val="24"/>
          <w:szCs w:val="24"/>
        </w:rPr>
        <w:t xml:space="preserve">USO </w:t>
      </w:r>
      <w:r w:rsidR="00D506E3" w:rsidRPr="003E22C1">
        <w:rPr>
          <w:sz w:val="24"/>
          <w:szCs w:val="24"/>
        </w:rPr>
        <w:t>Determination</w:t>
      </w:r>
      <w:r w:rsidR="00124896" w:rsidRPr="003E22C1">
        <w:rPr>
          <w:sz w:val="24"/>
          <w:szCs w:val="24"/>
        </w:rPr>
        <w:t>s</w:t>
      </w:r>
      <w:r w:rsidR="00D506E3" w:rsidRPr="003E22C1">
        <w:rPr>
          <w:sz w:val="24"/>
          <w:szCs w:val="24"/>
        </w:rPr>
        <w:t>)</w:t>
      </w:r>
      <w:r w:rsidR="000866B4" w:rsidRPr="003E22C1">
        <w:rPr>
          <w:sz w:val="24"/>
          <w:szCs w:val="24"/>
        </w:rPr>
        <w:t>.</w:t>
      </w:r>
    </w:p>
    <w:p w:rsidR="00197B19" w:rsidRPr="003E22C1" w:rsidRDefault="000866B4" w:rsidP="004B3201">
      <w:pPr>
        <w:pStyle w:val="R1"/>
        <w:numPr>
          <w:ilvl w:val="0"/>
          <w:numId w:val="21"/>
        </w:numPr>
        <w:tabs>
          <w:tab w:val="clear" w:pos="1080"/>
          <w:tab w:val="clear" w:pos="1260"/>
          <w:tab w:val="left" w:pos="567"/>
          <w:tab w:val="left" w:pos="709"/>
          <w:tab w:val="right" w:pos="1276"/>
        </w:tabs>
        <w:ind w:left="1304" w:hanging="737"/>
        <w:jc w:val="left"/>
        <w:rPr>
          <w:sz w:val="24"/>
          <w:szCs w:val="24"/>
        </w:rPr>
      </w:pPr>
      <w:r w:rsidRPr="003E22C1">
        <w:rPr>
          <w:sz w:val="24"/>
          <w:szCs w:val="24"/>
        </w:rPr>
        <w:t xml:space="preserve">The advice must consider whether </w:t>
      </w:r>
      <w:r w:rsidR="00AD014F" w:rsidRPr="003E22C1">
        <w:rPr>
          <w:sz w:val="24"/>
          <w:szCs w:val="24"/>
        </w:rPr>
        <w:t>I should</w:t>
      </w:r>
      <w:r w:rsidRPr="003E22C1">
        <w:rPr>
          <w:sz w:val="24"/>
          <w:szCs w:val="24"/>
        </w:rPr>
        <w:t xml:space="preserve"> make a determination setting</w:t>
      </w:r>
      <w:r w:rsidR="00197B19" w:rsidRPr="003E22C1">
        <w:rPr>
          <w:sz w:val="24"/>
          <w:szCs w:val="24"/>
        </w:rPr>
        <w:t xml:space="preserve"> at $</w:t>
      </w:r>
      <w:r w:rsidR="004F0DA0" w:rsidRPr="004F0DA0">
        <w:rPr>
          <w:sz w:val="24"/>
          <w:szCs w:val="24"/>
        </w:rPr>
        <w:t>103,675,415</w:t>
      </w:r>
      <w:r w:rsidRPr="003E22C1">
        <w:rPr>
          <w:sz w:val="24"/>
          <w:szCs w:val="24"/>
        </w:rPr>
        <w:t xml:space="preserve"> </w:t>
      </w:r>
      <w:r w:rsidR="002423B3" w:rsidRPr="003E22C1">
        <w:rPr>
          <w:sz w:val="24"/>
          <w:szCs w:val="24"/>
        </w:rPr>
        <w:t xml:space="preserve">the </w:t>
      </w:r>
      <w:r w:rsidR="00197B19" w:rsidRPr="003E22C1">
        <w:rPr>
          <w:sz w:val="24"/>
          <w:szCs w:val="24"/>
        </w:rPr>
        <w:t xml:space="preserve">universal service </w:t>
      </w:r>
      <w:r w:rsidR="002423B3" w:rsidRPr="003E22C1">
        <w:rPr>
          <w:sz w:val="24"/>
          <w:szCs w:val="24"/>
        </w:rPr>
        <w:t>subsidy</w:t>
      </w:r>
      <w:r w:rsidR="00197B19" w:rsidRPr="003E22C1">
        <w:rPr>
          <w:sz w:val="24"/>
          <w:szCs w:val="24"/>
        </w:rPr>
        <w:t xml:space="preserve"> for the default area</w:t>
      </w:r>
      <w:r w:rsidR="002423B3" w:rsidRPr="003E22C1">
        <w:rPr>
          <w:sz w:val="24"/>
          <w:szCs w:val="24"/>
        </w:rPr>
        <w:t xml:space="preserve"> </w:t>
      </w:r>
      <w:r w:rsidR="00D506E3" w:rsidRPr="003E22C1">
        <w:rPr>
          <w:sz w:val="24"/>
          <w:szCs w:val="24"/>
        </w:rPr>
        <w:t>in respect of the service obli</w:t>
      </w:r>
      <w:r w:rsidR="00197B19" w:rsidRPr="003E22C1">
        <w:rPr>
          <w:sz w:val="24"/>
          <w:szCs w:val="24"/>
        </w:rPr>
        <w:t>gation referred to at paragraph </w:t>
      </w:r>
      <w:r w:rsidR="00D506E3" w:rsidRPr="003E22C1">
        <w:rPr>
          <w:sz w:val="24"/>
          <w:szCs w:val="24"/>
        </w:rPr>
        <w:t>9(1</w:t>
      </w:r>
      <w:proofErr w:type="gramStart"/>
      <w:r w:rsidR="00D506E3" w:rsidRPr="003E22C1">
        <w:rPr>
          <w:sz w:val="24"/>
          <w:szCs w:val="24"/>
        </w:rPr>
        <w:t>)(</w:t>
      </w:r>
      <w:proofErr w:type="gramEnd"/>
      <w:r w:rsidR="00D506E3" w:rsidRPr="003E22C1">
        <w:rPr>
          <w:sz w:val="24"/>
          <w:szCs w:val="24"/>
        </w:rPr>
        <w:t>a) of the Act</w:t>
      </w:r>
      <w:r w:rsidR="002423B3" w:rsidRPr="003E22C1">
        <w:rPr>
          <w:sz w:val="24"/>
          <w:szCs w:val="24"/>
        </w:rPr>
        <w:t xml:space="preserve"> </w:t>
      </w:r>
      <w:r w:rsidR="00D506E3" w:rsidRPr="003E22C1">
        <w:rPr>
          <w:sz w:val="24"/>
          <w:szCs w:val="24"/>
        </w:rPr>
        <w:t xml:space="preserve">for the relevant claim period (being </w:t>
      </w:r>
      <w:r w:rsidR="00E67C00" w:rsidRPr="003E22C1">
        <w:rPr>
          <w:sz w:val="24"/>
          <w:szCs w:val="24"/>
        </w:rPr>
        <w:t xml:space="preserve">the </w:t>
      </w:r>
      <w:r w:rsidR="00D506E3" w:rsidRPr="003E22C1">
        <w:rPr>
          <w:sz w:val="24"/>
          <w:szCs w:val="24"/>
        </w:rPr>
        <w:t xml:space="preserve">same </w:t>
      </w:r>
      <w:r w:rsidR="00124896" w:rsidRPr="003E22C1">
        <w:rPr>
          <w:sz w:val="24"/>
          <w:szCs w:val="24"/>
        </w:rPr>
        <w:t xml:space="preserve">subsidy </w:t>
      </w:r>
      <w:r w:rsidR="00D506E3" w:rsidRPr="003E22C1">
        <w:rPr>
          <w:sz w:val="24"/>
          <w:szCs w:val="24"/>
        </w:rPr>
        <w:t xml:space="preserve">amount set for </w:t>
      </w:r>
      <w:r w:rsidR="00124896" w:rsidRPr="003E22C1">
        <w:rPr>
          <w:sz w:val="24"/>
          <w:szCs w:val="24"/>
        </w:rPr>
        <w:t xml:space="preserve">that obligation for </w:t>
      </w:r>
      <w:r w:rsidR="00D506E3" w:rsidRPr="003E22C1">
        <w:rPr>
          <w:sz w:val="24"/>
          <w:szCs w:val="24"/>
        </w:rPr>
        <w:t>the previous claim period by the previous</w:t>
      </w:r>
      <w:r w:rsidR="00BC2D6C" w:rsidRPr="003E22C1">
        <w:rPr>
          <w:sz w:val="24"/>
          <w:szCs w:val="24"/>
        </w:rPr>
        <w:t xml:space="preserve"> D</w:t>
      </w:r>
      <w:r w:rsidR="00124896" w:rsidRPr="003E22C1">
        <w:rPr>
          <w:sz w:val="24"/>
          <w:szCs w:val="24"/>
        </w:rPr>
        <w:t xml:space="preserve">efault </w:t>
      </w:r>
      <w:r w:rsidR="00BC2D6C" w:rsidRPr="003E22C1">
        <w:rPr>
          <w:sz w:val="24"/>
          <w:szCs w:val="24"/>
        </w:rPr>
        <w:t>A</w:t>
      </w:r>
      <w:r w:rsidR="00124896" w:rsidRPr="003E22C1">
        <w:rPr>
          <w:sz w:val="24"/>
          <w:szCs w:val="24"/>
        </w:rPr>
        <w:t>rea</w:t>
      </w:r>
      <w:r w:rsidR="00D506E3" w:rsidRPr="003E22C1">
        <w:rPr>
          <w:sz w:val="24"/>
          <w:szCs w:val="24"/>
        </w:rPr>
        <w:t xml:space="preserve"> Determination)</w:t>
      </w:r>
      <w:r w:rsidR="002423B3" w:rsidRPr="003E22C1">
        <w:rPr>
          <w:sz w:val="24"/>
          <w:szCs w:val="24"/>
        </w:rPr>
        <w:t>.</w:t>
      </w:r>
    </w:p>
    <w:p w:rsidR="00197B19" w:rsidRPr="003E22C1" w:rsidRDefault="002423B3" w:rsidP="004B3201">
      <w:pPr>
        <w:pStyle w:val="R1"/>
        <w:numPr>
          <w:ilvl w:val="0"/>
          <w:numId w:val="21"/>
        </w:numPr>
        <w:tabs>
          <w:tab w:val="clear" w:pos="1080"/>
          <w:tab w:val="clear" w:pos="1260"/>
          <w:tab w:val="left" w:pos="567"/>
          <w:tab w:val="left" w:pos="709"/>
          <w:tab w:val="right" w:pos="1276"/>
        </w:tabs>
        <w:ind w:left="1304" w:hanging="737"/>
        <w:jc w:val="left"/>
        <w:rPr>
          <w:sz w:val="24"/>
          <w:szCs w:val="24"/>
        </w:rPr>
      </w:pPr>
      <w:r w:rsidRPr="003E22C1">
        <w:rPr>
          <w:sz w:val="24"/>
          <w:szCs w:val="24"/>
        </w:rPr>
        <w:t xml:space="preserve">The advice must consider whether </w:t>
      </w:r>
      <w:r w:rsidR="00AD014F" w:rsidRPr="003E22C1">
        <w:rPr>
          <w:sz w:val="24"/>
          <w:szCs w:val="24"/>
        </w:rPr>
        <w:t>I should</w:t>
      </w:r>
      <w:r w:rsidR="00156324" w:rsidRPr="003E22C1">
        <w:rPr>
          <w:sz w:val="24"/>
          <w:szCs w:val="24"/>
        </w:rPr>
        <w:t xml:space="preserve"> make a determination</w:t>
      </w:r>
      <w:r w:rsidRPr="003E22C1">
        <w:rPr>
          <w:sz w:val="24"/>
          <w:szCs w:val="24"/>
        </w:rPr>
        <w:t xml:space="preserve"> set</w:t>
      </w:r>
      <w:r w:rsidR="00156324" w:rsidRPr="003E22C1">
        <w:rPr>
          <w:sz w:val="24"/>
          <w:szCs w:val="24"/>
        </w:rPr>
        <w:t>ting</w:t>
      </w:r>
      <w:r w:rsidRPr="003E22C1">
        <w:rPr>
          <w:sz w:val="24"/>
          <w:szCs w:val="24"/>
        </w:rPr>
        <w:t xml:space="preserve"> </w:t>
      </w:r>
      <w:r w:rsidR="00197B19" w:rsidRPr="003E22C1">
        <w:rPr>
          <w:sz w:val="24"/>
          <w:szCs w:val="24"/>
        </w:rPr>
        <w:t>at $</w:t>
      </w:r>
      <w:r w:rsidR="004F0DA0" w:rsidRPr="004F0DA0">
        <w:rPr>
          <w:sz w:val="24"/>
          <w:szCs w:val="24"/>
        </w:rPr>
        <w:t>11,674,286</w:t>
      </w:r>
      <w:r w:rsidR="00197B19" w:rsidRPr="003E22C1">
        <w:rPr>
          <w:sz w:val="24"/>
          <w:szCs w:val="24"/>
        </w:rPr>
        <w:t xml:space="preserve"> </w:t>
      </w:r>
      <w:r w:rsidRPr="003E22C1">
        <w:rPr>
          <w:sz w:val="24"/>
          <w:szCs w:val="24"/>
        </w:rPr>
        <w:t xml:space="preserve">the </w:t>
      </w:r>
      <w:r w:rsidR="00197B19" w:rsidRPr="003E22C1">
        <w:rPr>
          <w:sz w:val="24"/>
          <w:szCs w:val="24"/>
        </w:rPr>
        <w:t>universal service</w:t>
      </w:r>
      <w:r w:rsidRPr="003E22C1">
        <w:rPr>
          <w:sz w:val="24"/>
          <w:szCs w:val="24"/>
        </w:rPr>
        <w:t xml:space="preserve"> subsidy </w:t>
      </w:r>
      <w:r w:rsidR="00197B19" w:rsidRPr="003E22C1">
        <w:rPr>
          <w:sz w:val="24"/>
          <w:szCs w:val="24"/>
        </w:rPr>
        <w:t xml:space="preserve">for the default area </w:t>
      </w:r>
      <w:r w:rsidR="00D506E3" w:rsidRPr="003E22C1">
        <w:rPr>
          <w:sz w:val="24"/>
          <w:szCs w:val="24"/>
        </w:rPr>
        <w:t>in respect of the service obligation referred to at paragraph 9(1</w:t>
      </w:r>
      <w:proofErr w:type="gramStart"/>
      <w:r w:rsidR="00D506E3" w:rsidRPr="003E22C1">
        <w:rPr>
          <w:sz w:val="24"/>
          <w:szCs w:val="24"/>
        </w:rPr>
        <w:t>)(</w:t>
      </w:r>
      <w:proofErr w:type="gramEnd"/>
      <w:r w:rsidR="00D506E3" w:rsidRPr="003E22C1">
        <w:rPr>
          <w:sz w:val="24"/>
          <w:szCs w:val="24"/>
        </w:rPr>
        <w:t xml:space="preserve">b) of the Act for the relevant claim period (being </w:t>
      </w:r>
      <w:r w:rsidR="00E67C00" w:rsidRPr="003E22C1">
        <w:rPr>
          <w:sz w:val="24"/>
          <w:szCs w:val="24"/>
        </w:rPr>
        <w:t xml:space="preserve">the </w:t>
      </w:r>
      <w:r w:rsidR="00D506E3" w:rsidRPr="003E22C1">
        <w:rPr>
          <w:sz w:val="24"/>
          <w:szCs w:val="24"/>
        </w:rPr>
        <w:t>same</w:t>
      </w:r>
      <w:r w:rsidR="00124896" w:rsidRPr="003E22C1">
        <w:rPr>
          <w:sz w:val="24"/>
          <w:szCs w:val="24"/>
        </w:rPr>
        <w:t xml:space="preserve"> subsidy</w:t>
      </w:r>
      <w:r w:rsidR="00D506E3" w:rsidRPr="003E22C1">
        <w:rPr>
          <w:sz w:val="24"/>
          <w:szCs w:val="24"/>
        </w:rPr>
        <w:t xml:space="preserve"> amount set for </w:t>
      </w:r>
      <w:r w:rsidR="00124896" w:rsidRPr="003E22C1">
        <w:rPr>
          <w:sz w:val="24"/>
          <w:szCs w:val="24"/>
        </w:rPr>
        <w:t xml:space="preserve">that obligation for </w:t>
      </w:r>
      <w:r w:rsidR="00D506E3" w:rsidRPr="003E22C1">
        <w:rPr>
          <w:sz w:val="24"/>
          <w:szCs w:val="24"/>
        </w:rPr>
        <w:t xml:space="preserve">the previous claim period by the previous </w:t>
      </w:r>
      <w:r w:rsidR="00BC2D6C" w:rsidRPr="003E22C1">
        <w:rPr>
          <w:sz w:val="24"/>
          <w:szCs w:val="24"/>
        </w:rPr>
        <w:t>Default A</w:t>
      </w:r>
      <w:r w:rsidR="00124896" w:rsidRPr="003E22C1">
        <w:rPr>
          <w:sz w:val="24"/>
          <w:szCs w:val="24"/>
        </w:rPr>
        <w:t xml:space="preserve">rea </w:t>
      </w:r>
      <w:r w:rsidR="00D506E3" w:rsidRPr="003E22C1">
        <w:rPr>
          <w:sz w:val="24"/>
          <w:szCs w:val="24"/>
        </w:rPr>
        <w:t>Determination)</w:t>
      </w:r>
      <w:r w:rsidRPr="003E22C1">
        <w:rPr>
          <w:sz w:val="24"/>
          <w:szCs w:val="24"/>
        </w:rPr>
        <w:t>.</w:t>
      </w:r>
    </w:p>
    <w:p w:rsidR="00197B19" w:rsidRPr="003E22C1" w:rsidRDefault="002423B3" w:rsidP="004B3201">
      <w:pPr>
        <w:pStyle w:val="R1"/>
        <w:numPr>
          <w:ilvl w:val="0"/>
          <w:numId w:val="21"/>
        </w:numPr>
        <w:tabs>
          <w:tab w:val="clear" w:pos="1080"/>
          <w:tab w:val="clear" w:pos="1260"/>
          <w:tab w:val="left" w:pos="567"/>
          <w:tab w:val="left" w:pos="709"/>
          <w:tab w:val="right" w:pos="1276"/>
        </w:tabs>
        <w:ind w:left="1304" w:hanging="737"/>
        <w:jc w:val="left"/>
        <w:rPr>
          <w:sz w:val="24"/>
          <w:szCs w:val="24"/>
        </w:rPr>
      </w:pPr>
      <w:r w:rsidRPr="003E22C1">
        <w:rPr>
          <w:sz w:val="24"/>
          <w:szCs w:val="24"/>
        </w:rPr>
        <w:t xml:space="preserve">The advice must consider whether </w:t>
      </w:r>
      <w:r w:rsidR="00AD014F" w:rsidRPr="003E22C1">
        <w:rPr>
          <w:sz w:val="24"/>
          <w:szCs w:val="24"/>
        </w:rPr>
        <w:t>I should</w:t>
      </w:r>
      <w:r w:rsidRPr="003E22C1">
        <w:rPr>
          <w:sz w:val="24"/>
          <w:szCs w:val="24"/>
        </w:rPr>
        <w:t xml:space="preserve"> </w:t>
      </w:r>
      <w:r w:rsidR="00156324" w:rsidRPr="003E22C1">
        <w:rPr>
          <w:sz w:val="24"/>
          <w:szCs w:val="24"/>
        </w:rPr>
        <w:t xml:space="preserve">make a determination </w:t>
      </w:r>
      <w:r w:rsidRPr="003E22C1">
        <w:rPr>
          <w:sz w:val="24"/>
          <w:szCs w:val="24"/>
        </w:rPr>
        <w:t>set</w:t>
      </w:r>
      <w:r w:rsidR="00156324" w:rsidRPr="003E22C1">
        <w:rPr>
          <w:sz w:val="24"/>
          <w:szCs w:val="24"/>
        </w:rPr>
        <w:t>ting</w:t>
      </w:r>
      <w:r w:rsidR="00197B19" w:rsidRPr="003E22C1">
        <w:rPr>
          <w:sz w:val="24"/>
          <w:szCs w:val="24"/>
        </w:rPr>
        <w:t xml:space="preserve"> at $</w:t>
      </w:r>
      <w:r w:rsidR="004F0DA0" w:rsidRPr="004F0DA0">
        <w:rPr>
          <w:sz w:val="24"/>
          <w:szCs w:val="24"/>
        </w:rPr>
        <w:t>17,131,189</w:t>
      </w:r>
      <w:r w:rsidR="00197B19" w:rsidRPr="003E22C1">
        <w:rPr>
          <w:sz w:val="24"/>
          <w:szCs w:val="24"/>
        </w:rPr>
        <w:t xml:space="preserve"> </w:t>
      </w:r>
      <w:r w:rsidR="00124896" w:rsidRPr="003E22C1">
        <w:rPr>
          <w:sz w:val="24"/>
          <w:szCs w:val="24"/>
        </w:rPr>
        <w:t xml:space="preserve">the </w:t>
      </w:r>
      <w:r w:rsidR="00197B19" w:rsidRPr="003E22C1">
        <w:rPr>
          <w:sz w:val="24"/>
          <w:szCs w:val="24"/>
        </w:rPr>
        <w:t xml:space="preserve">universal service </w:t>
      </w:r>
      <w:r w:rsidRPr="003E22C1">
        <w:rPr>
          <w:sz w:val="24"/>
          <w:szCs w:val="24"/>
        </w:rPr>
        <w:t xml:space="preserve">subsidy </w:t>
      </w:r>
      <w:r w:rsidR="00197B19" w:rsidRPr="003E22C1">
        <w:rPr>
          <w:sz w:val="24"/>
          <w:szCs w:val="24"/>
        </w:rPr>
        <w:t xml:space="preserve">for the Extended Zones </w:t>
      </w:r>
      <w:r w:rsidR="00AD014F" w:rsidRPr="003E22C1">
        <w:rPr>
          <w:sz w:val="24"/>
          <w:szCs w:val="24"/>
        </w:rPr>
        <w:t xml:space="preserve">area </w:t>
      </w:r>
      <w:r w:rsidR="00D506E3" w:rsidRPr="003E22C1">
        <w:rPr>
          <w:sz w:val="24"/>
          <w:szCs w:val="24"/>
        </w:rPr>
        <w:t>in respect of the service obligation referred to at paragraph 9(1</w:t>
      </w:r>
      <w:proofErr w:type="gramStart"/>
      <w:r w:rsidR="00D506E3" w:rsidRPr="003E22C1">
        <w:rPr>
          <w:sz w:val="24"/>
          <w:szCs w:val="24"/>
        </w:rPr>
        <w:t>)(</w:t>
      </w:r>
      <w:proofErr w:type="gramEnd"/>
      <w:r w:rsidR="00D506E3" w:rsidRPr="003E22C1">
        <w:rPr>
          <w:sz w:val="24"/>
          <w:szCs w:val="24"/>
        </w:rPr>
        <w:t>a) of the Act for the relevant claim period (being</w:t>
      </w:r>
      <w:r w:rsidR="00E67C00" w:rsidRPr="003E22C1">
        <w:rPr>
          <w:sz w:val="24"/>
          <w:szCs w:val="24"/>
        </w:rPr>
        <w:t xml:space="preserve"> the</w:t>
      </w:r>
      <w:r w:rsidR="00D506E3" w:rsidRPr="003E22C1">
        <w:rPr>
          <w:sz w:val="24"/>
          <w:szCs w:val="24"/>
        </w:rPr>
        <w:t xml:space="preserve"> same</w:t>
      </w:r>
      <w:r w:rsidR="00124896" w:rsidRPr="003E22C1">
        <w:rPr>
          <w:sz w:val="24"/>
          <w:szCs w:val="24"/>
        </w:rPr>
        <w:t xml:space="preserve"> subsidy</w:t>
      </w:r>
      <w:r w:rsidR="00D506E3" w:rsidRPr="003E22C1">
        <w:rPr>
          <w:sz w:val="24"/>
          <w:szCs w:val="24"/>
        </w:rPr>
        <w:t xml:space="preserve"> amount set for </w:t>
      </w:r>
      <w:r w:rsidR="00124896" w:rsidRPr="003E22C1">
        <w:rPr>
          <w:sz w:val="24"/>
          <w:szCs w:val="24"/>
        </w:rPr>
        <w:t xml:space="preserve">that obligation for </w:t>
      </w:r>
      <w:r w:rsidR="00D506E3" w:rsidRPr="003E22C1">
        <w:rPr>
          <w:sz w:val="24"/>
          <w:szCs w:val="24"/>
        </w:rPr>
        <w:t xml:space="preserve">the previous claim period by the previous </w:t>
      </w:r>
      <w:r w:rsidR="00124896" w:rsidRPr="003E22C1">
        <w:rPr>
          <w:sz w:val="24"/>
          <w:szCs w:val="24"/>
        </w:rPr>
        <w:t xml:space="preserve">Extended Zones </w:t>
      </w:r>
      <w:r w:rsidR="00D506E3" w:rsidRPr="003E22C1">
        <w:rPr>
          <w:sz w:val="24"/>
          <w:szCs w:val="24"/>
        </w:rPr>
        <w:t>Determination)</w:t>
      </w:r>
      <w:r w:rsidRPr="003E22C1">
        <w:rPr>
          <w:sz w:val="24"/>
          <w:szCs w:val="24"/>
        </w:rPr>
        <w:t>.</w:t>
      </w:r>
    </w:p>
    <w:p w:rsidR="00197B19" w:rsidRDefault="002423B3" w:rsidP="004B3201">
      <w:pPr>
        <w:pStyle w:val="R1"/>
        <w:numPr>
          <w:ilvl w:val="0"/>
          <w:numId w:val="21"/>
        </w:numPr>
        <w:tabs>
          <w:tab w:val="clear" w:pos="1080"/>
          <w:tab w:val="clear" w:pos="1260"/>
          <w:tab w:val="left" w:pos="567"/>
          <w:tab w:val="left" w:pos="709"/>
          <w:tab w:val="right" w:pos="1276"/>
        </w:tabs>
        <w:ind w:left="1304" w:hanging="737"/>
        <w:jc w:val="left"/>
        <w:rPr>
          <w:sz w:val="24"/>
          <w:szCs w:val="24"/>
        </w:rPr>
      </w:pPr>
      <w:r w:rsidRPr="003E22C1">
        <w:rPr>
          <w:sz w:val="24"/>
          <w:szCs w:val="24"/>
        </w:rPr>
        <w:t xml:space="preserve">The advice must consider whether </w:t>
      </w:r>
      <w:r w:rsidR="00AD014F" w:rsidRPr="003E22C1">
        <w:rPr>
          <w:sz w:val="24"/>
          <w:szCs w:val="24"/>
        </w:rPr>
        <w:t>I should</w:t>
      </w:r>
      <w:r w:rsidR="00156324" w:rsidRPr="003E22C1">
        <w:rPr>
          <w:sz w:val="24"/>
          <w:szCs w:val="24"/>
        </w:rPr>
        <w:t xml:space="preserve"> make a determination setting</w:t>
      </w:r>
      <w:r w:rsidRPr="003E22C1">
        <w:rPr>
          <w:sz w:val="24"/>
          <w:szCs w:val="24"/>
        </w:rPr>
        <w:t xml:space="preserve"> </w:t>
      </w:r>
      <w:r w:rsidR="00197B19" w:rsidRPr="003E22C1">
        <w:rPr>
          <w:sz w:val="24"/>
          <w:szCs w:val="24"/>
        </w:rPr>
        <w:t>at $</w:t>
      </w:r>
      <w:r w:rsidR="004F0DA0" w:rsidRPr="004F0DA0">
        <w:rPr>
          <w:sz w:val="24"/>
          <w:szCs w:val="24"/>
        </w:rPr>
        <w:t>2,183,183</w:t>
      </w:r>
      <w:r w:rsidR="00197B19" w:rsidRPr="003E22C1">
        <w:rPr>
          <w:sz w:val="24"/>
          <w:szCs w:val="24"/>
        </w:rPr>
        <w:t xml:space="preserve"> </w:t>
      </w:r>
      <w:r w:rsidRPr="003E22C1">
        <w:rPr>
          <w:sz w:val="24"/>
          <w:szCs w:val="24"/>
        </w:rPr>
        <w:t xml:space="preserve">the </w:t>
      </w:r>
      <w:r w:rsidR="00197B19" w:rsidRPr="003E22C1">
        <w:rPr>
          <w:sz w:val="24"/>
          <w:szCs w:val="24"/>
        </w:rPr>
        <w:t>universal service</w:t>
      </w:r>
      <w:r w:rsidRPr="003E22C1">
        <w:rPr>
          <w:sz w:val="24"/>
          <w:szCs w:val="24"/>
        </w:rPr>
        <w:t xml:space="preserve"> subsidy </w:t>
      </w:r>
      <w:r w:rsidR="00197B19" w:rsidRPr="003E22C1">
        <w:rPr>
          <w:sz w:val="24"/>
          <w:szCs w:val="24"/>
        </w:rPr>
        <w:t xml:space="preserve">for the Extended Zones </w:t>
      </w:r>
      <w:r w:rsidR="00AD014F" w:rsidRPr="003E22C1">
        <w:rPr>
          <w:sz w:val="24"/>
          <w:szCs w:val="24"/>
        </w:rPr>
        <w:t xml:space="preserve">area </w:t>
      </w:r>
      <w:r w:rsidR="00D506E3" w:rsidRPr="003E22C1">
        <w:rPr>
          <w:sz w:val="24"/>
          <w:szCs w:val="24"/>
        </w:rPr>
        <w:t>in respect of the service obligation referred to at paragraph 9(1</w:t>
      </w:r>
      <w:proofErr w:type="gramStart"/>
      <w:r w:rsidR="00D506E3" w:rsidRPr="003E22C1">
        <w:rPr>
          <w:sz w:val="24"/>
          <w:szCs w:val="24"/>
        </w:rPr>
        <w:t>)(</w:t>
      </w:r>
      <w:proofErr w:type="gramEnd"/>
      <w:r w:rsidR="00D506E3" w:rsidRPr="003E22C1">
        <w:rPr>
          <w:sz w:val="24"/>
          <w:szCs w:val="24"/>
        </w:rPr>
        <w:t xml:space="preserve">b) of the Act for the relevant claim period (being </w:t>
      </w:r>
      <w:r w:rsidR="00E67C00" w:rsidRPr="003E22C1">
        <w:rPr>
          <w:sz w:val="24"/>
          <w:szCs w:val="24"/>
        </w:rPr>
        <w:t xml:space="preserve">the </w:t>
      </w:r>
      <w:r w:rsidR="00D506E3" w:rsidRPr="003E22C1">
        <w:rPr>
          <w:sz w:val="24"/>
          <w:szCs w:val="24"/>
        </w:rPr>
        <w:t>same</w:t>
      </w:r>
      <w:r w:rsidR="00124896" w:rsidRPr="003E22C1">
        <w:rPr>
          <w:sz w:val="24"/>
          <w:szCs w:val="24"/>
        </w:rPr>
        <w:t xml:space="preserve"> subsidy</w:t>
      </w:r>
      <w:r w:rsidR="00D506E3" w:rsidRPr="003E22C1">
        <w:rPr>
          <w:sz w:val="24"/>
          <w:szCs w:val="24"/>
        </w:rPr>
        <w:t xml:space="preserve"> amount set for</w:t>
      </w:r>
      <w:r w:rsidR="00124896" w:rsidRPr="003E22C1">
        <w:rPr>
          <w:sz w:val="24"/>
          <w:szCs w:val="24"/>
        </w:rPr>
        <w:t xml:space="preserve"> that obligation for</w:t>
      </w:r>
      <w:r w:rsidR="00D506E3" w:rsidRPr="003E22C1">
        <w:rPr>
          <w:sz w:val="24"/>
          <w:szCs w:val="24"/>
        </w:rPr>
        <w:t xml:space="preserve"> the previous claim period</w:t>
      </w:r>
      <w:r w:rsidR="00DE6984" w:rsidRPr="003E22C1">
        <w:rPr>
          <w:sz w:val="24"/>
          <w:szCs w:val="24"/>
        </w:rPr>
        <w:t xml:space="preserve"> by the previous </w:t>
      </w:r>
      <w:r w:rsidR="00124896" w:rsidRPr="003E22C1">
        <w:rPr>
          <w:sz w:val="24"/>
          <w:szCs w:val="24"/>
        </w:rPr>
        <w:t xml:space="preserve">Extended Zones </w:t>
      </w:r>
      <w:r w:rsidR="00DE6984" w:rsidRPr="003E22C1">
        <w:rPr>
          <w:sz w:val="24"/>
          <w:szCs w:val="24"/>
        </w:rPr>
        <w:t>Determination</w:t>
      </w:r>
      <w:r w:rsidR="00D506E3" w:rsidRPr="003E22C1">
        <w:rPr>
          <w:sz w:val="24"/>
          <w:szCs w:val="24"/>
        </w:rPr>
        <w:t>)</w:t>
      </w:r>
      <w:r w:rsidRPr="003E22C1">
        <w:rPr>
          <w:sz w:val="24"/>
          <w:szCs w:val="24"/>
        </w:rPr>
        <w:t>.</w:t>
      </w:r>
    </w:p>
    <w:p w:rsidR="00197B19" w:rsidRDefault="002423B3" w:rsidP="004B3201">
      <w:pPr>
        <w:pStyle w:val="R1"/>
        <w:numPr>
          <w:ilvl w:val="0"/>
          <w:numId w:val="21"/>
        </w:numPr>
        <w:tabs>
          <w:tab w:val="clear" w:pos="1080"/>
          <w:tab w:val="clear" w:pos="1260"/>
          <w:tab w:val="left" w:pos="567"/>
          <w:tab w:val="left" w:pos="709"/>
          <w:tab w:val="right" w:pos="1276"/>
        </w:tabs>
        <w:ind w:left="1304" w:hanging="737"/>
        <w:jc w:val="left"/>
        <w:rPr>
          <w:sz w:val="24"/>
          <w:szCs w:val="24"/>
        </w:rPr>
      </w:pPr>
      <w:r w:rsidRPr="003E22C1">
        <w:rPr>
          <w:sz w:val="24"/>
          <w:szCs w:val="24"/>
        </w:rPr>
        <w:t xml:space="preserve">The advice must consider whether </w:t>
      </w:r>
      <w:r w:rsidR="00AD014F" w:rsidRPr="003E22C1">
        <w:rPr>
          <w:sz w:val="24"/>
          <w:szCs w:val="24"/>
        </w:rPr>
        <w:t>I should</w:t>
      </w:r>
      <w:r w:rsidR="000F1ADF" w:rsidRPr="003E22C1">
        <w:rPr>
          <w:sz w:val="24"/>
          <w:szCs w:val="24"/>
        </w:rPr>
        <w:t xml:space="preserve"> make a determination setting</w:t>
      </w:r>
      <w:r w:rsidR="00D506E3" w:rsidRPr="003E22C1">
        <w:rPr>
          <w:sz w:val="24"/>
          <w:szCs w:val="24"/>
        </w:rPr>
        <w:t>, for each contestable area,</w:t>
      </w:r>
      <w:r w:rsidRPr="003E22C1">
        <w:rPr>
          <w:sz w:val="24"/>
          <w:szCs w:val="24"/>
        </w:rPr>
        <w:t xml:space="preserve"> the </w:t>
      </w:r>
      <w:r w:rsidR="00655B3B" w:rsidRPr="003E22C1">
        <w:rPr>
          <w:sz w:val="24"/>
          <w:szCs w:val="24"/>
        </w:rPr>
        <w:t>universal service</w:t>
      </w:r>
      <w:r w:rsidRPr="003E22C1">
        <w:rPr>
          <w:sz w:val="24"/>
          <w:szCs w:val="24"/>
        </w:rPr>
        <w:t xml:space="preserve"> subsidy</w:t>
      </w:r>
      <w:r w:rsidR="00655B3B" w:rsidRPr="003E22C1">
        <w:rPr>
          <w:sz w:val="24"/>
          <w:szCs w:val="24"/>
        </w:rPr>
        <w:t xml:space="preserve"> </w:t>
      </w:r>
      <w:r w:rsidR="00E67C00" w:rsidRPr="003E22C1">
        <w:rPr>
          <w:sz w:val="24"/>
          <w:szCs w:val="24"/>
        </w:rPr>
        <w:t>for the</w:t>
      </w:r>
      <w:r w:rsidR="00655B3B" w:rsidRPr="003E22C1">
        <w:rPr>
          <w:sz w:val="24"/>
          <w:szCs w:val="24"/>
        </w:rPr>
        <w:t xml:space="preserve"> contestable area in respect of the obligation referred to in paragraph</w:t>
      </w:r>
      <w:r w:rsidR="001A0E3C">
        <w:rPr>
          <w:sz w:val="24"/>
          <w:szCs w:val="24"/>
        </w:rPr>
        <w:t> </w:t>
      </w:r>
      <w:r w:rsidR="00655B3B" w:rsidRPr="003E22C1">
        <w:rPr>
          <w:sz w:val="24"/>
          <w:szCs w:val="24"/>
        </w:rPr>
        <w:t>9(1</w:t>
      </w:r>
      <w:proofErr w:type="gramStart"/>
      <w:r w:rsidR="00655B3B" w:rsidRPr="003E22C1">
        <w:rPr>
          <w:sz w:val="24"/>
          <w:szCs w:val="24"/>
        </w:rPr>
        <w:t>)(</w:t>
      </w:r>
      <w:proofErr w:type="gramEnd"/>
      <w:r w:rsidR="00655B3B" w:rsidRPr="003E22C1">
        <w:rPr>
          <w:sz w:val="24"/>
          <w:szCs w:val="24"/>
        </w:rPr>
        <w:t xml:space="preserve">a) of the Act for the relevant claim period </w:t>
      </w:r>
      <w:r w:rsidR="00AD014F" w:rsidRPr="003E22C1">
        <w:rPr>
          <w:sz w:val="24"/>
          <w:szCs w:val="24"/>
        </w:rPr>
        <w:t xml:space="preserve">at </w:t>
      </w:r>
      <w:r w:rsidR="00655B3B" w:rsidRPr="003E22C1">
        <w:rPr>
          <w:sz w:val="24"/>
          <w:szCs w:val="24"/>
        </w:rPr>
        <w:t xml:space="preserve">the same amount as the lump sum </w:t>
      </w:r>
      <w:r w:rsidR="000F1ADF" w:rsidRPr="003E22C1">
        <w:rPr>
          <w:sz w:val="24"/>
          <w:szCs w:val="24"/>
        </w:rPr>
        <w:t xml:space="preserve">subsidy </w:t>
      </w:r>
      <w:r w:rsidR="00655B3B" w:rsidRPr="003E22C1">
        <w:rPr>
          <w:sz w:val="24"/>
          <w:szCs w:val="24"/>
        </w:rPr>
        <w:t>s</w:t>
      </w:r>
      <w:r w:rsidR="000F1ADF" w:rsidRPr="003E22C1">
        <w:rPr>
          <w:sz w:val="24"/>
          <w:szCs w:val="24"/>
        </w:rPr>
        <w:t xml:space="preserve">pecified </w:t>
      </w:r>
      <w:r w:rsidR="00655B3B" w:rsidRPr="003E22C1">
        <w:rPr>
          <w:sz w:val="24"/>
          <w:szCs w:val="24"/>
        </w:rPr>
        <w:t xml:space="preserve">for that contestable area for the previous claim period in a table at item (a), (b) or (c) of </w:t>
      </w:r>
      <w:r w:rsidR="00AD014F" w:rsidRPr="003E22C1">
        <w:rPr>
          <w:sz w:val="24"/>
          <w:szCs w:val="24"/>
        </w:rPr>
        <w:t xml:space="preserve">the </w:t>
      </w:r>
      <w:r w:rsidR="00655B3B" w:rsidRPr="003E22C1">
        <w:rPr>
          <w:sz w:val="24"/>
          <w:szCs w:val="24"/>
        </w:rPr>
        <w:t xml:space="preserve">Schedule to the previous </w:t>
      </w:r>
      <w:r w:rsidR="00BC2D6C" w:rsidRPr="003E22C1">
        <w:rPr>
          <w:sz w:val="24"/>
          <w:szCs w:val="24"/>
        </w:rPr>
        <w:t>Contestable A</w:t>
      </w:r>
      <w:r w:rsidR="00655B3B" w:rsidRPr="003E22C1">
        <w:rPr>
          <w:sz w:val="24"/>
          <w:szCs w:val="24"/>
        </w:rPr>
        <w:t>reas Determination.</w:t>
      </w:r>
    </w:p>
    <w:p w:rsidR="00626B4D" w:rsidRDefault="00626B4D">
      <w:pPr>
        <w:pStyle w:val="P1"/>
      </w:pPr>
    </w:p>
    <w:p w:rsidR="00626B4D" w:rsidRDefault="00626B4D">
      <w:pPr>
        <w:pStyle w:val="P1"/>
      </w:pPr>
    </w:p>
    <w:p w:rsidR="000F1ADF" w:rsidRPr="003E22C1" w:rsidRDefault="000F1ADF" w:rsidP="003E22C1">
      <w:pPr>
        <w:pStyle w:val="R1"/>
        <w:numPr>
          <w:ilvl w:val="0"/>
          <w:numId w:val="21"/>
        </w:numPr>
        <w:tabs>
          <w:tab w:val="clear" w:pos="1080"/>
          <w:tab w:val="clear" w:pos="1260"/>
          <w:tab w:val="left" w:pos="567"/>
          <w:tab w:val="left" w:pos="709"/>
          <w:tab w:val="right" w:pos="1276"/>
        </w:tabs>
        <w:ind w:left="1304" w:hanging="737"/>
        <w:jc w:val="left"/>
        <w:rPr>
          <w:sz w:val="24"/>
          <w:szCs w:val="24"/>
        </w:rPr>
      </w:pPr>
      <w:r w:rsidRPr="003E22C1">
        <w:rPr>
          <w:sz w:val="24"/>
          <w:szCs w:val="24"/>
        </w:rPr>
        <w:lastRenderedPageBreak/>
        <w:t>For the avoidance of doubt:</w:t>
      </w:r>
    </w:p>
    <w:p w:rsidR="000F1ADF" w:rsidRPr="003E22C1" w:rsidRDefault="000F1ADF" w:rsidP="003E22C1">
      <w:pPr>
        <w:pStyle w:val="R1"/>
        <w:numPr>
          <w:ilvl w:val="1"/>
          <w:numId w:val="21"/>
        </w:numPr>
        <w:tabs>
          <w:tab w:val="clear" w:pos="1080"/>
          <w:tab w:val="clear" w:pos="1260"/>
          <w:tab w:val="left" w:pos="567"/>
          <w:tab w:val="left" w:pos="709"/>
          <w:tab w:val="right" w:pos="1276"/>
        </w:tabs>
        <w:ind w:left="1814" w:hanging="510"/>
        <w:jc w:val="left"/>
        <w:rPr>
          <w:sz w:val="24"/>
          <w:szCs w:val="24"/>
        </w:rPr>
      </w:pPr>
      <w:r w:rsidRPr="003E22C1">
        <w:rPr>
          <w:sz w:val="24"/>
          <w:szCs w:val="24"/>
        </w:rPr>
        <w:t>b</w:t>
      </w:r>
      <w:r w:rsidR="006B5916" w:rsidRPr="003E22C1">
        <w:rPr>
          <w:sz w:val="24"/>
          <w:szCs w:val="24"/>
        </w:rPr>
        <w:t xml:space="preserve">efore providing advice </w:t>
      </w:r>
      <w:r w:rsidR="002B7B72" w:rsidRPr="003E22C1">
        <w:rPr>
          <w:sz w:val="24"/>
          <w:szCs w:val="24"/>
        </w:rPr>
        <w:t>in accordance with</w:t>
      </w:r>
      <w:r w:rsidR="006B5916" w:rsidRPr="003E22C1">
        <w:rPr>
          <w:sz w:val="24"/>
          <w:szCs w:val="24"/>
        </w:rPr>
        <w:t xml:space="preserve"> subclause (1), the ACMA </w:t>
      </w:r>
      <w:r w:rsidR="00682E4B" w:rsidRPr="003E22C1">
        <w:rPr>
          <w:sz w:val="24"/>
          <w:szCs w:val="24"/>
        </w:rPr>
        <w:t>may</w:t>
      </w:r>
      <w:r w:rsidR="006B5916" w:rsidRPr="003E22C1">
        <w:rPr>
          <w:sz w:val="24"/>
          <w:szCs w:val="24"/>
        </w:rPr>
        <w:t xml:space="preserve"> seek the views of affected persons as the ACMA considers appropriate</w:t>
      </w:r>
      <w:r w:rsidRPr="003E22C1">
        <w:rPr>
          <w:sz w:val="24"/>
          <w:szCs w:val="24"/>
        </w:rPr>
        <w:t>; and</w:t>
      </w:r>
    </w:p>
    <w:p w:rsidR="006B5916" w:rsidRPr="003E22C1" w:rsidRDefault="000F1ADF" w:rsidP="003E22C1">
      <w:pPr>
        <w:pStyle w:val="R1"/>
        <w:numPr>
          <w:ilvl w:val="1"/>
          <w:numId w:val="21"/>
        </w:numPr>
        <w:tabs>
          <w:tab w:val="clear" w:pos="1080"/>
          <w:tab w:val="clear" w:pos="1260"/>
          <w:tab w:val="left" w:pos="567"/>
          <w:tab w:val="left" w:pos="709"/>
          <w:tab w:val="right" w:pos="1276"/>
        </w:tabs>
        <w:ind w:left="1814" w:hanging="510"/>
        <w:jc w:val="left"/>
        <w:rPr>
          <w:sz w:val="24"/>
          <w:szCs w:val="24"/>
        </w:rPr>
      </w:pPr>
      <w:proofErr w:type="gramStart"/>
      <w:r w:rsidRPr="003E22C1">
        <w:rPr>
          <w:sz w:val="24"/>
          <w:szCs w:val="24"/>
        </w:rPr>
        <w:t>n</w:t>
      </w:r>
      <w:r w:rsidR="006B5916" w:rsidRPr="003E22C1">
        <w:rPr>
          <w:sz w:val="24"/>
          <w:szCs w:val="24"/>
        </w:rPr>
        <w:t>othing</w:t>
      </w:r>
      <w:proofErr w:type="gramEnd"/>
      <w:r w:rsidR="006B5916" w:rsidRPr="003E22C1">
        <w:rPr>
          <w:sz w:val="24"/>
          <w:szCs w:val="24"/>
        </w:rPr>
        <w:t xml:space="preserve"> in this </w:t>
      </w:r>
      <w:r w:rsidR="002B7B72" w:rsidRPr="003E22C1">
        <w:rPr>
          <w:sz w:val="24"/>
          <w:szCs w:val="24"/>
        </w:rPr>
        <w:t>Direction</w:t>
      </w:r>
      <w:r w:rsidR="006B5916" w:rsidRPr="003E22C1">
        <w:rPr>
          <w:sz w:val="24"/>
          <w:szCs w:val="24"/>
        </w:rPr>
        <w:t xml:space="preserve"> prevents the ACMA from providing advice about </w:t>
      </w:r>
      <w:r w:rsidR="00457686" w:rsidRPr="003E22C1">
        <w:rPr>
          <w:sz w:val="24"/>
          <w:szCs w:val="24"/>
        </w:rPr>
        <w:t xml:space="preserve">other </w:t>
      </w:r>
      <w:r w:rsidR="006B5916" w:rsidRPr="003E22C1">
        <w:rPr>
          <w:sz w:val="24"/>
          <w:szCs w:val="24"/>
        </w:rPr>
        <w:t>matters</w:t>
      </w:r>
      <w:r w:rsidR="00457686" w:rsidRPr="003E22C1">
        <w:rPr>
          <w:sz w:val="24"/>
          <w:szCs w:val="24"/>
        </w:rPr>
        <w:t xml:space="preserve"> it considers relevant</w:t>
      </w:r>
      <w:r w:rsidR="006B5916" w:rsidRPr="003E22C1">
        <w:rPr>
          <w:sz w:val="24"/>
          <w:szCs w:val="24"/>
        </w:rPr>
        <w:t xml:space="preserve">.  </w:t>
      </w:r>
    </w:p>
    <w:p w:rsidR="006F0DBC" w:rsidRPr="006F0DBC" w:rsidRDefault="006F0DBC" w:rsidP="00A17AC7">
      <w:pPr>
        <w:pStyle w:val="HR"/>
        <w:tabs>
          <w:tab w:val="clear" w:pos="540"/>
          <w:tab w:val="left" w:pos="426"/>
        </w:tabs>
        <w:spacing w:before="400"/>
        <w:jc w:val="left"/>
      </w:pPr>
    </w:p>
    <w:sectPr w:rsidR="006F0DBC" w:rsidRPr="006F0DBC" w:rsidSect="007D35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57C" w:rsidRDefault="00F7157C">
      <w:r>
        <w:separator/>
      </w:r>
    </w:p>
  </w:endnote>
  <w:endnote w:type="continuationSeparator" w:id="0">
    <w:p w:rsidR="00F7157C" w:rsidRDefault="00F71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5BA" w:rsidRDefault="001F45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5BA" w:rsidRDefault="001F45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5BA" w:rsidRDefault="001F45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57C" w:rsidRDefault="00F7157C">
      <w:r>
        <w:separator/>
      </w:r>
    </w:p>
  </w:footnote>
  <w:footnote w:type="continuationSeparator" w:id="0">
    <w:p w:rsidR="00F7157C" w:rsidRDefault="00F715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5BA" w:rsidRDefault="001F45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5BA" w:rsidRDefault="001F45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5BA" w:rsidRDefault="001F45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7C9"/>
    <w:multiLevelType w:val="singleLevel"/>
    <w:tmpl w:val="91DC38A6"/>
    <w:lvl w:ilvl="0">
      <w:start w:val="1"/>
      <w:numFmt w:val="decimal"/>
      <w:lvlText w:val="(%1)"/>
      <w:lvlJc w:val="left"/>
      <w:pPr>
        <w:tabs>
          <w:tab w:val="num" w:pos="1400"/>
        </w:tabs>
        <w:ind w:left="1400" w:hanging="690"/>
      </w:pPr>
      <w:rPr>
        <w:rFonts w:hint="default"/>
      </w:rPr>
    </w:lvl>
  </w:abstractNum>
  <w:abstractNum w:abstractNumId="1">
    <w:nsid w:val="039065C8"/>
    <w:multiLevelType w:val="multilevel"/>
    <w:tmpl w:val="15A60A8E"/>
    <w:lvl w:ilvl="0">
      <w:start w:val="1"/>
      <w:numFmt w:val="decimal"/>
      <w:lvlText w:val="(%1)"/>
      <w:lvlJc w:val="left"/>
      <w:pPr>
        <w:tabs>
          <w:tab w:val="num" w:pos="360"/>
        </w:tabs>
        <w:ind w:left="1418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9E6622"/>
    <w:multiLevelType w:val="multilevel"/>
    <w:tmpl w:val="BC129D18"/>
    <w:lvl w:ilvl="0">
      <w:start w:val="1"/>
      <w:numFmt w:val="decimal"/>
      <w:lvlText w:val="(%1)"/>
      <w:lvlJc w:val="left"/>
      <w:pPr>
        <w:tabs>
          <w:tab w:val="num" w:pos="360"/>
        </w:tabs>
        <w:ind w:left="1247" w:hanging="68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948"/>
        </w:tabs>
        <w:ind w:left="1948" w:hanging="508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31A85"/>
    <w:multiLevelType w:val="multilevel"/>
    <w:tmpl w:val="BB727A36"/>
    <w:lvl w:ilvl="0">
      <w:start w:val="1"/>
      <w:numFmt w:val="decimal"/>
      <w:lvlText w:val="(%1)"/>
      <w:lvlJc w:val="left"/>
      <w:pPr>
        <w:tabs>
          <w:tab w:val="num" w:pos="360"/>
        </w:tabs>
        <w:ind w:left="1247" w:hanging="68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588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8223FE"/>
    <w:multiLevelType w:val="singleLevel"/>
    <w:tmpl w:val="E47AD40E"/>
    <w:lvl w:ilvl="0">
      <w:start w:val="1"/>
      <w:numFmt w:val="lowerLetter"/>
      <w:lvlText w:val="(%1)"/>
      <w:lvlJc w:val="left"/>
      <w:pPr>
        <w:tabs>
          <w:tab w:val="num" w:pos="1555"/>
        </w:tabs>
        <w:ind w:left="1555" w:hanging="420"/>
      </w:pPr>
      <w:rPr>
        <w:rFonts w:hint="default"/>
      </w:rPr>
    </w:lvl>
  </w:abstractNum>
  <w:abstractNum w:abstractNumId="5">
    <w:nsid w:val="104B3B37"/>
    <w:multiLevelType w:val="singleLevel"/>
    <w:tmpl w:val="D1F2C7B4"/>
    <w:lvl w:ilvl="0">
      <w:start w:val="1"/>
      <w:numFmt w:val="lowerLetter"/>
      <w:lvlText w:val="(%1)"/>
      <w:lvlJc w:val="left"/>
      <w:pPr>
        <w:tabs>
          <w:tab w:val="num" w:pos="1566"/>
        </w:tabs>
        <w:ind w:left="1566" w:hanging="705"/>
      </w:pPr>
      <w:rPr>
        <w:rFonts w:hint="default"/>
      </w:rPr>
    </w:lvl>
  </w:abstractNum>
  <w:abstractNum w:abstractNumId="6">
    <w:nsid w:val="1154024C"/>
    <w:multiLevelType w:val="singleLevel"/>
    <w:tmpl w:val="95321766"/>
    <w:lvl w:ilvl="0">
      <w:start w:val="1"/>
      <w:numFmt w:val="lowerRoman"/>
      <w:lvlText w:val="(%1)"/>
      <w:lvlJc w:val="left"/>
      <w:pPr>
        <w:tabs>
          <w:tab w:val="num" w:pos="1566"/>
        </w:tabs>
        <w:ind w:left="1566" w:hanging="705"/>
      </w:pPr>
      <w:rPr>
        <w:rFonts w:hint="default"/>
      </w:rPr>
    </w:lvl>
  </w:abstractNum>
  <w:abstractNum w:abstractNumId="7">
    <w:nsid w:val="12B67943"/>
    <w:multiLevelType w:val="singleLevel"/>
    <w:tmpl w:val="2B20EAEA"/>
    <w:lvl w:ilvl="0">
      <w:start w:val="1"/>
      <w:numFmt w:val="lowerLetter"/>
      <w:lvlText w:val="(%1)"/>
      <w:lvlJc w:val="left"/>
      <w:pPr>
        <w:tabs>
          <w:tab w:val="num" w:pos="1696"/>
        </w:tabs>
        <w:ind w:left="1696" w:hanging="420"/>
      </w:pPr>
      <w:rPr>
        <w:rFonts w:hint="default"/>
      </w:rPr>
    </w:lvl>
  </w:abstractNum>
  <w:abstractNum w:abstractNumId="8">
    <w:nsid w:val="132778CD"/>
    <w:multiLevelType w:val="multilevel"/>
    <w:tmpl w:val="6B38A1CE"/>
    <w:lvl w:ilvl="0">
      <w:start w:val="1"/>
      <w:numFmt w:val="lowerLetter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>
    <w:nsid w:val="17DA3C83"/>
    <w:multiLevelType w:val="hybridMultilevel"/>
    <w:tmpl w:val="4CDCFFBC"/>
    <w:lvl w:ilvl="0" w:tplc="DB36249E">
      <w:start w:val="1"/>
      <w:numFmt w:val="lowerLetter"/>
      <w:lvlText w:val="(%1)"/>
      <w:lvlJc w:val="left"/>
      <w:pPr>
        <w:tabs>
          <w:tab w:val="num" w:pos="1948"/>
        </w:tabs>
        <w:ind w:left="1948" w:hanging="50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1C2BEA"/>
    <w:multiLevelType w:val="multilevel"/>
    <w:tmpl w:val="D674AF3E"/>
    <w:lvl w:ilvl="0">
      <w:start w:val="1"/>
      <w:numFmt w:val="decimal"/>
      <w:lvlText w:val="(%1)"/>
      <w:lvlJc w:val="left"/>
      <w:pPr>
        <w:tabs>
          <w:tab w:val="num" w:pos="360"/>
        </w:tabs>
        <w:ind w:left="907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F122AE"/>
    <w:multiLevelType w:val="multilevel"/>
    <w:tmpl w:val="EE7A7E14"/>
    <w:lvl w:ilvl="0">
      <w:start w:val="1"/>
      <w:numFmt w:val="decimal"/>
      <w:lvlText w:val="(%1)"/>
      <w:lvlJc w:val="left"/>
      <w:pPr>
        <w:tabs>
          <w:tab w:val="num" w:pos="360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A677E4"/>
    <w:multiLevelType w:val="multilevel"/>
    <w:tmpl w:val="10ACFB96"/>
    <w:lvl w:ilvl="0">
      <w:start w:val="1"/>
      <w:numFmt w:val="decimal"/>
      <w:lvlText w:val="(%1)"/>
      <w:lvlJc w:val="left"/>
      <w:pPr>
        <w:tabs>
          <w:tab w:val="num" w:pos="360"/>
        </w:tabs>
        <w:ind w:left="1247" w:hanging="68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588"/>
        </w:tabs>
        <w:ind w:left="1588" w:hanging="50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78753A"/>
    <w:multiLevelType w:val="hybridMultilevel"/>
    <w:tmpl w:val="15A60A8E"/>
    <w:lvl w:ilvl="0" w:tplc="AB042FE8">
      <w:start w:val="1"/>
      <w:numFmt w:val="decimal"/>
      <w:lvlText w:val="(%1)"/>
      <w:lvlJc w:val="left"/>
      <w:pPr>
        <w:tabs>
          <w:tab w:val="num" w:pos="360"/>
        </w:tabs>
        <w:ind w:left="1418" w:hanging="85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BC69AF"/>
    <w:multiLevelType w:val="hybridMultilevel"/>
    <w:tmpl w:val="578028C8"/>
    <w:lvl w:ilvl="0" w:tplc="DB36249E">
      <w:start w:val="1"/>
      <w:numFmt w:val="lowerLetter"/>
      <w:lvlText w:val="(%1)"/>
      <w:lvlJc w:val="left"/>
      <w:pPr>
        <w:tabs>
          <w:tab w:val="num" w:pos="1948"/>
        </w:tabs>
        <w:ind w:left="1948" w:hanging="50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8B2E21"/>
    <w:multiLevelType w:val="multilevel"/>
    <w:tmpl w:val="B12A1FBC"/>
    <w:lvl w:ilvl="0">
      <w:start w:val="1"/>
      <w:numFmt w:val="decimal"/>
      <w:lvlText w:val="(%1)"/>
      <w:lvlJc w:val="left"/>
      <w:pPr>
        <w:tabs>
          <w:tab w:val="num" w:pos="360"/>
        </w:tabs>
        <w:ind w:left="1021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1426E2"/>
    <w:multiLevelType w:val="multilevel"/>
    <w:tmpl w:val="BC129D18"/>
    <w:lvl w:ilvl="0">
      <w:start w:val="1"/>
      <w:numFmt w:val="decimal"/>
      <w:lvlText w:val="(%1)"/>
      <w:lvlJc w:val="left"/>
      <w:pPr>
        <w:tabs>
          <w:tab w:val="num" w:pos="360"/>
        </w:tabs>
        <w:ind w:left="1247" w:hanging="68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588"/>
        </w:tabs>
        <w:ind w:left="1588" w:hanging="508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85042D"/>
    <w:multiLevelType w:val="multilevel"/>
    <w:tmpl w:val="B9BC0A3E"/>
    <w:lvl w:ilvl="0">
      <w:start w:val="1"/>
      <w:numFmt w:val="decimal"/>
      <w:lvlText w:val="(%1)"/>
      <w:lvlJc w:val="left"/>
      <w:pPr>
        <w:tabs>
          <w:tab w:val="num" w:pos="360"/>
        </w:tabs>
        <w:ind w:left="96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CF714B"/>
    <w:multiLevelType w:val="hybridMultilevel"/>
    <w:tmpl w:val="40289C8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C427C85"/>
    <w:multiLevelType w:val="hybridMultilevel"/>
    <w:tmpl w:val="5B007454"/>
    <w:lvl w:ilvl="0" w:tplc="F1D4D9A6">
      <w:start w:val="3"/>
      <w:numFmt w:val="lowerRoman"/>
      <w:lvlText w:val="(%1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0">
    <w:nsid w:val="3D4667F8"/>
    <w:multiLevelType w:val="multilevel"/>
    <w:tmpl w:val="1BCCCAD8"/>
    <w:lvl w:ilvl="0">
      <w:start w:val="1"/>
      <w:numFmt w:val="decimal"/>
      <w:lvlText w:val="(%1)"/>
      <w:lvlJc w:val="left"/>
      <w:pPr>
        <w:tabs>
          <w:tab w:val="num" w:pos="360"/>
        </w:tabs>
        <w:ind w:left="1247" w:hanging="68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695C2A"/>
    <w:multiLevelType w:val="multilevel"/>
    <w:tmpl w:val="BC129D18"/>
    <w:lvl w:ilvl="0">
      <w:start w:val="1"/>
      <w:numFmt w:val="decimal"/>
      <w:lvlText w:val="(%1)"/>
      <w:lvlJc w:val="left"/>
      <w:pPr>
        <w:tabs>
          <w:tab w:val="num" w:pos="360"/>
        </w:tabs>
        <w:ind w:left="1247" w:hanging="68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948"/>
        </w:tabs>
        <w:ind w:left="1948" w:hanging="508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8F0F7F"/>
    <w:multiLevelType w:val="multilevel"/>
    <w:tmpl w:val="BC129D18"/>
    <w:lvl w:ilvl="0">
      <w:start w:val="1"/>
      <w:numFmt w:val="decimal"/>
      <w:lvlText w:val="(%1)"/>
      <w:lvlJc w:val="left"/>
      <w:pPr>
        <w:tabs>
          <w:tab w:val="num" w:pos="360"/>
        </w:tabs>
        <w:ind w:left="1247" w:hanging="68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948"/>
        </w:tabs>
        <w:ind w:left="1948" w:hanging="508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B14245"/>
    <w:multiLevelType w:val="hybridMultilevel"/>
    <w:tmpl w:val="03CABFCE"/>
    <w:lvl w:ilvl="0" w:tplc="F1CEEE74">
      <w:start w:val="1"/>
      <w:numFmt w:val="lowerLetter"/>
      <w:lvlText w:val="(%1)"/>
      <w:lvlJc w:val="left"/>
      <w:pPr>
        <w:tabs>
          <w:tab w:val="num" w:pos="747"/>
        </w:tabs>
        <w:ind w:left="747" w:hanging="360"/>
      </w:pPr>
      <w:rPr>
        <w:rFonts w:ascii="Times New Roman" w:eastAsia="Times New Roman" w:hAnsi="Times New Roman" w:cs="Times New Roman"/>
      </w:rPr>
    </w:lvl>
    <w:lvl w:ilvl="1" w:tplc="0C090003" w:tentative="1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24">
    <w:nsid w:val="4E490AC5"/>
    <w:multiLevelType w:val="multilevel"/>
    <w:tmpl w:val="BC129D18"/>
    <w:lvl w:ilvl="0">
      <w:start w:val="1"/>
      <w:numFmt w:val="decimal"/>
      <w:lvlText w:val="(%1)"/>
      <w:lvlJc w:val="left"/>
      <w:pPr>
        <w:tabs>
          <w:tab w:val="num" w:pos="360"/>
        </w:tabs>
        <w:ind w:left="1247" w:hanging="68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948"/>
        </w:tabs>
        <w:ind w:left="1948" w:hanging="508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921E73"/>
    <w:multiLevelType w:val="multilevel"/>
    <w:tmpl w:val="E500F438"/>
    <w:lvl w:ilvl="0">
      <w:start w:val="1"/>
      <w:numFmt w:val="decimal"/>
      <w:lvlText w:val="(%1)"/>
      <w:lvlJc w:val="left"/>
      <w:pPr>
        <w:tabs>
          <w:tab w:val="num" w:pos="360"/>
        </w:tabs>
        <w:ind w:left="1247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C14D1A"/>
    <w:multiLevelType w:val="singleLevel"/>
    <w:tmpl w:val="2B20EAEA"/>
    <w:lvl w:ilvl="0">
      <w:start w:val="1"/>
      <w:numFmt w:val="lowerLetter"/>
      <w:lvlText w:val="(%1)"/>
      <w:lvlJc w:val="left"/>
      <w:pPr>
        <w:tabs>
          <w:tab w:val="num" w:pos="1696"/>
        </w:tabs>
        <w:ind w:left="1696" w:hanging="420"/>
      </w:pPr>
      <w:rPr>
        <w:rFonts w:hint="default"/>
      </w:rPr>
    </w:lvl>
  </w:abstractNum>
  <w:abstractNum w:abstractNumId="27">
    <w:nsid w:val="564257EA"/>
    <w:multiLevelType w:val="hybridMultilevel"/>
    <w:tmpl w:val="EE7A7E14"/>
    <w:lvl w:ilvl="0" w:tplc="1632D300">
      <w:start w:val="1"/>
      <w:numFmt w:val="decimal"/>
      <w:lvlText w:val="(%1)"/>
      <w:lvlJc w:val="left"/>
      <w:pPr>
        <w:tabs>
          <w:tab w:val="num" w:pos="360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C369CB"/>
    <w:multiLevelType w:val="hybridMultilevel"/>
    <w:tmpl w:val="B12A1FBC"/>
    <w:lvl w:ilvl="0" w:tplc="61927330">
      <w:start w:val="1"/>
      <w:numFmt w:val="decimal"/>
      <w:lvlText w:val="(%1)"/>
      <w:lvlJc w:val="left"/>
      <w:pPr>
        <w:tabs>
          <w:tab w:val="num" w:pos="360"/>
        </w:tabs>
        <w:ind w:left="1021" w:hanging="45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2F50CE"/>
    <w:multiLevelType w:val="multilevel"/>
    <w:tmpl w:val="10ACFB96"/>
    <w:lvl w:ilvl="0">
      <w:start w:val="1"/>
      <w:numFmt w:val="decimal"/>
      <w:lvlText w:val="(%1)"/>
      <w:lvlJc w:val="left"/>
      <w:pPr>
        <w:tabs>
          <w:tab w:val="num" w:pos="360"/>
        </w:tabs>
        <w:ind w:left="1247" w:hanging="68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588"/>
        </w:tabs>
        <w:ind w:left="1588" w:hanging="50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AC3C27"/>
    <w:multiLevelType w:val="hybridMultilevel"/>
    <w:tmpl w:val="B9BC0A3E"/>
    <w:lvl w:ilvl="0" w:tplc="F7C02A10">
      <w:start w:val="1"/>
      <w:numFmt w:val="decimal"/>
      <w:lvlText w:val="(%1)"/>
      <w:lvlJc w:val="left"/>
      <w:pPr>
        <w:tabs>
          <w:tab w:val="num" w:pos="360"/>
        </w:tabs>
        <w:ind w:left="964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011DCA"/>
    <w:multiLevelType w:val="hybridMultilevel"/>
    <w:tmpl w:val="FFD8888C"/>
    <w:lvl w:ilvl="0" w:tplc="2E8AB6A8">
      <w:start w:val="1"/>
      <w:numFmt w:val="lowerRoman"/>
      <w:lvlText w:val="(%1)"/>
      <w:lvlJc w:val="left"/>
      <w:pPr>
        <w:tabs>
          <w:tab w:val="num" w:pos="2308"/>
        </w:tabs>
        <w:ind w:left="2308" w:hanging="72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2461"/>
        </w:tabs>
        <w:ind w:left="2461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32">
    <w:nsid w:val="66A76AF0"/>
    <w:multiLevelType w:val="hybridMultilevel"/>
    <w:tmpl w:val="933C0DC2"/>
    <w:lvl w:ilvl="0" w:tplc="DB36249E">
      <w:start w:val="1"/>
      <w:numFmt w:val="lowerLetter"/>
      <w:lvlText w:val="(%1)"/>
      <w:lvlJc w:val="left"/>
      <w:pPr>
        <w:tabs>
          <w:tab w:val="num" w:pos="1948"/>
        </w:tabs>
        <w:ind w:left="1948" w:hanging="50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823BF2"/>
    <w:multiLevelType w:val="multilevel"/>
    <w:tmpl w:val="5B007454"/>
    <w:lvl w:ilvl="0">
      <w:start w:val="3"/>
      <w:numFmt w:val="lowerRoman"/>
      <w:lvlText w:val="(%1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4">
    <w:nsid w:val="6AE10445"/>
    <w:multiLevelType w:val="hybridMultilevel"/>
    <w:tmpl w:val="D674AF3E"/>
    <w:lvl w:ilvl="0" w:tplc="CFD83140">
      <w:start w:val="1"/>
      <w:numFmt w:val="decimal"/>
      <w:lvlText w:val="(%1)"/>
      <w:lvlJc w:val="left"/>
      <w:pPr>
        <w:tabs>
          <w:tab w:val="num" w:pos="360"/>
        </w:tabs>
        <w:ind w:left="907" w:hanging="45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9B04AA"/>
    <w:multiLevelType w:val="multilevel"/>
    <w:tmpl w:val="10ACFB96"/>
    <w:lvl w:ilvl="0">
      <w:start w:val="1"/>
      <w:numFmt w:val="decimal"/>
      <w:lvlText w:val="(%1)"/>
      <w:lvlJc w:val="left"/>
      <w:pPr>
        <w:tabs>
          <w:tab w:val="num" w:pos="360"/>
        </w:tabs>
        <w:ind w:left="1247" w:hanging="68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588"/>
        </w:tabs>
        <w:ind w:left="1588" w:hanging="50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4457E3"/>
    <w:multiLevelType w:val="hybridMultilevel"/>
    <w:tmpl w:val="BC129D18"/>
    <w:lvl w:ilvl="0" w:tplc="B2F616F4">
      <w:start w:val="1"/>
      <w:numFmt w:val="decimal"/>
      <w:lvlText w:val="(%1)"/>
      <w:lvlJc w:val="left"/>
      <w:pPr>
        <w:tabs>
          <w:tab w:val="num" w:pos="360"/>
        </w:tabs>
        <w:ind w:left="1247" w:hanging="680"/>
      </w:pPr>
      <w:rPr>
        <w:rFonts w:hint="default"/>
      </w:rPr>
    </w:lvl>
    <w:lvl w:ilvl="1" w:tplc="DB36249E">
      <w:start w:val="1"/>
      <w:numFmt w:val="lowerLetter"/>
      <w:lvlText w:val="(%2)"/>
      <w:lvlJc w:val="left"/>
      <w:pPr>
        <w:tabs>
          <w:tab w:val="num" w:pos="1948"/>
        </w:tabs>
        <w:ind w:left="1948" w:hanging="508"/>
      </w:pPr>
      <w:rPr>
        <w:rFonts w:hint="default"/>
      </w:rPr>
    </w:lvl>
    <w:lvl w:ilvl="2" w:tplc="E5D491BA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462C4B"/>
    <w:multiLevelType w:val="hybridMultilevel"/>
    <w:tmpl w:val="EA4AB6B0"/>
    <w:lvl w:ilvl="0" w:tplc="DB36249E">
      <w:start w:val="1"/>
      <w:numFmt w:val="lowerLetter"/>
      <w:lvlText w:val="(%1)"/>
      <w:lvlJc w:val="left"/>
      <w:pPr>
        <w:tabs>
          <w:tab w:val="num" w:pos="1948"/>
        </w:tabs>
        <w:ind w:left="1948" w:hanging="50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B532DA"/>
    <w:multiLevelType w:val="singleLevel"/>
    <w:tmpl w:val="B5E00668"/>
    <w:lvl w:ilvl="0">
      <w:start w:val="2"/>
      <w:numFmt w:val="lowerLetter"/>
      <w:lvlText w:val="(%1)"/>
      <w:lvlJc w:val="left"/>
      <w:pPr>
        <w:tabs>
          <w:tab w:val="num" w:pos="1566"/>
        </w:tabs>
        <w:ind w:left="1566" w:hanging="705"/>
      </w:pPr>
      <w:rPr>
        <w:rFonts w:hint="default"/>
      </w:rPr>
    </w:lvl>
  </w:abstractNum>
  <w:abstractNum w:abstractNumId="39">
    <w:nsid w:val="7F5A6E09"/>
    <w:multiLevelType w:val="hybridMultilevel"/>
    <w:tmpl w:val="5322DB00"/>
    <w:lvl w:ilvl="0" w:tplc="0C09000F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36"/>
        </w:tabs>
        <w:ind w:left="1436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56"/>
        </w:tabs>
        <w:ind w:left="215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96"/>
        </w:tabs>
        <w:ind w:left="359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16"/>
        </w:tabs>
        <w:ind w:left="431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56"/>
        </w:tabs>
        <w:ind w:left="575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76"/>
        </w:tabs>
        <w:ind w:left="6476" w:hanging="180"/>
      </w:pPr>
    </w:lvl>
  </w:abstractNum>
  <w:abstractNum w:abstractNumId="40">
    <w:nsid w:val="7FC03CA9"/>
    <w:multiLevelType w:val="singleLevel"/>
    <w:tmpl w:val="E5D491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0"/>
  </w:num>
  <w:num w:numId="2">
    <w:abstractNumId w:val="26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38"/>
  </w:num>
  <w:num w:numId="9">
    <w:abstractNumId w:val="8"/>
  </w:num>
  <w:num w:numId="10">
    <w:abstractNumId w:val="18"/>
  </w:num>
  <w:num w:numId="11">
    <w:abstractNumId w:val="34"/>
  </w:num>
  <w:num w:numId="12">
    <w:abstractNumId w:val="10"/>
  </w:num>
  <w:num w:numId="13">
    <w:abstractNumId w:val="30"/>
  </w:num>
  <w:num w:numId="14">
    <w:abstractNumId w:val="17"/>
  </w:num>
  <w:num w:numId="15">
    <w:abstractNumId w:val="28"/>
  </w:num>
  <w:num w:numId="16">
    <w:abstractNumId w:val="15"/>
  </w:num>
  <w:num w:numId="17">
    <w:abstractNumId w:val="27"/>
  </w:num>
  <w:num w:numId="18">
    <w:abstractNumId w:val="11"/>
  </w:num>
  <w:num w:numId="19">
    <w:abstractNumId w:val="13"/>
  </w:num>
  <w:num w:numId="20">
    <w:abstractNumId w:val="1"/>
  </w:num>
  <w:num w:numId="21">
    <w:abstractNumId w:val="36"/>
  </w:num>
  <w:num w:numId="22">
    <w:abstractNumId w:val="25"/>
  </w:num>
  <w:num w:numId="23">
    <w:abstractNumId w:val="20"/>
  </w:num>
  <w:num w:numId="24">
    <w:abstractNumId w:val="3"/>
  </w:num>
  <w:num w:numId="25">
    <w:abstractNumId w:val="29"/>
  </w:num>
  <w:num w:numId="26">
    <w:abstractNumId w:val="12"/>
  </w:num>
  <w:num w:numId="27">
    <w:abstractNumId w:val="35"/>
  </w:num>
  <w:num w:numId="28">
    <w:abstractNumId w:val="39"/>
  </w:num>
  <w:num w:numId="29">
    <w:abstractNumId w:val="16"/>
  </w:num>
  <w:num w:numId="30">
    <w:abstractNumId w:val="19"/>
  </w:num>
  <w:num w:numId="31">
    <w:abstractNumId w:val="33"/>
  </w:num>
  <w:num w:numId="32">
    <w:abstractNumId w:val="31"/>
  </w:num>
  <w:num w:numId="33">
    <w:abstractNumId w:val="23"/>
  </w:num>
  <w:num w:numId="34">
    <w:abstractNumId w:val="22"/>
  </w:num>
  <w:num w:numId="35">
    <w:abstractNumId w:val="14"/>
  </w:num>
  <w:num w:numId="36">
    <w:abstractNumId w:val="9"/>
  </w:num>
  <w:num w:numId="37">
    <w:abstractNumId w:val="21"/>
  </w:num>
  <w:num w:numId="38">
    <w:abstractNumId w:val="2"/>
  </w:num>
  <w:num w:numId="39">
    <w:abstractNumId w:val="37"/>
  </w:num>
  <w:num w:numId="40">
    <w:abstractNumId w:val="24"/>
  </w:num>
  <w:num w:numId="41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trackRevisions/>
  <w:doNotTrackMov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8AD"/>
    <w:rsid w:val="00001B61"/>
    <w:rsid w:val="000127AA"/>
    <w:rsid w:val="00017164"/>
    <w:rsid w:val="00021AEB"/>
    <w:rsid w:val="00022131"/>
    <w:rsid w:val="00022BB1"/>
    <w:rsid w:val="00030AF8"/>
    <w:rsid w:val="00033BA4"/>
    <w:rsid w:val="00045902"/>
    <w:rsid w:val="000508DD"/>
    <w:rsid w:val="000533ED"/>
    <w:rsid w:val="000833F5"/>
    <w:rsid w:val="000866B4"/>
    <w:rsid w:val="00091B25"/>
    <w:rsid w:val="000945AA"/>
    <w:rsid w:val="0009610E"/>
    <w:rsid w:val="000B412E"/>
    <w:rsid w:val="000C1931"/>
    <w:rsid w:val="000C33A7"/>
    <w:rsid w:val="000D4AD3"/>
    <w:rsid w:val="000D62E6"/>
    <w:rsid w:val="000E586C"/>
    <w:rsid w:val="000E7F07"/>
    <w:rsid w:val="000F1ADF"/>
    <w:rsid w:val="000F40A4"/>
    <w:rsid w:val="000F4B1A"/>
    <w:rsid w:val="00112A0A"/>
    <w:rsid w:val="00121EF8"/>
    <w:rsid w:val="00124896"/>
    <w:rsid w:val="00150613"/>
    <w:rsid w:val="00150A20"/>
    <w:rsid w:val="00156324"/>
    <w:rsid w:val="00161989"/>
    <w:rsid w:val="0016756B"/>
    <w:rsid w:val="001829D1"/>
    <w:rsid w:val="001866FD"/>
    <w:rsid w:val="0019073F"/>
    <w:rsid w:val="00194BA2"/>
    <w:rsid w:val="001972FE"/>
    <w:rsid w:val="00197B19"/>
    <w:rsid w:val="001A0E3C"/>
    <w:rsid w:val="001B3D37"/>
    <w:rsid w:val="001C5235"/>
    <w:rsid w:val="001D0E57"/>
    <w:rsid w:val="001D3CD4"/>
    <w:rsid w:val="001D50C3"/>
    <w:rsid w:val="001E48F7"/>
    <w:rsid w:val="001F0031"/>
    <w:rsid w:val="001F45BA"/>
    <w:rsid w:val="00205D20"/>
    <w:rsid w:val="00207ACB"/>
    <w:rsid w:val="002122FE"/>
    <w:rsid w:val="002319CF"/>
    <w:rsid w:val="00231FA6"/>
    <w:rsid w:val="00232E38"/>
    <w:rsid w:val="00233515"/>
    <w:rsid w:val="002423B3"/>
    <w:rsid w:val="0024796F"/>
    <w:rsid w:val="00254105"/>
    <w:rsid w:val="002634ED"/>
    <w:rsid w:val="002635D1"/>
    <w:rsid w:val="002659D7"/>
    <w:rsid w:val="0026653E"/>
    <w:rsid w:val="00266F9E"/>
    <w:rsid w:val="00274322"/>
    <w:rsid w:val="0027554D"/>
    <w:rsid w:val="0027777A"/>
    <w:rsid w:val="002841AC"/>
    <w:rsid w:val="002A4348"/>
    <w:rsid w:val="002A48C8"/>
    <w:rsid w:val="002B2AF3"/>
    <w:rsid w:val="002B3503"/>
    <w:rsid w:val="002B7B72"/>
    <w:rsid w:val="002C0F09"/>
    <w:rsid w:val="002D50EF"/>
    <w:rsid w:val="002E1B99"/>
    <w:rsid w:val="002E44FB"/>
    <w:rsid w:val="002E64B9"/>
    <w:rsid w:val="00306963"/>
    <w:rsid w:val="003103C1"/>
    <w:rsid w:val="00335960"/>
    <w:rsid w:val="00341B78"/>
    <w:rsid w:val="003427B9"/>
    <w:rsid w:val="003511BA"/>
    <w:rsid w:val="00355C6D"/>
    <w:rsid w:val="00360593"/>
    <w:rsid w:val="003615DC"/>
    <w:rsid w:val="00363697"/>
    <w:rsid w:val="003714B5"/>
    <w:rsid w:val="00371987"/>
    <w:rsid w:val="00372BB9"/>
    <w:rsid w:val="0038453C"/>
    <w:rsid w:val="00392A5F"/>
    <w:rsid w:val="003A35EF"/>
    <w:rsid w:val="003A4432"/>
    <w:rsid w:val="003B01AF"/>
    <w:rsid w:val="003B0DDE"/>
    <w:rsid w:val="003B3949"/>
    <w:rsid w:val="003B4CC7"/>
    <w:rsid w:val="003B7BD2"/>
    <w:rsid w:val="003C08CD"/>
    <w:rsid w:val="003C6AE6"/>
    <w:rsid w:val="003D2060"/>
    <w:rsid w:val="003E22C1"/>
    <w:rsid w:val="003E72BB"/>
    <w:rsid w:val="003E7FE6"/>
    <w:rsid w:val="003F344E"/>
    <w:rsid w:val="003F6186"/>
    <w:rsid w:val="00400284"/>
    <w:rsid w:val="0040482D"/>
    <w:rsid w:val="004077AB"/>
    <w:rsid w:val="00411095"/>
    <w:rsid w:val="00413FAE"/>
    <w:rsid w:val="00427024"/>
    <w:rsid w:val="0042714F"/>
    <w:rsid w:val="004279C0"/>
    <w:rsid w:val="00440D6F"/>
    <w:rsid w:val="0044332E"/>
    <w:rsid w:val="00450EBB"/>
    <w:rsid w:val="004568F7"/>
    <w:rsid w:val="00457686"/>
    <w:rsid w:val="004724EC"/>
    <w:rsid w:val="00473003"/>
    <w:rsid w:val="004772EB"/>
    <w:rsid w:val="0047742F"/>
    <w:rsid w:val="004A7404"/>
    <w:rsid w:val="004B3201"/>
    <w:rsid w:val="004B39B4"/>
    <w:rsid w:val="004B51D3"/>
    <w:rsid w:val="004C0755"/>
    <w:rsid w:val="004C1608"/>
    <w:rsid w:val="004C3982"/>
    <w:rsid w:val="004C4383"/>
    <w:rsid w:val="004C7CF8"/>
    <w:rsid w:val="004E60BE"/>
    <w:rsid w:val="004F0DA0"/>
    <w:rsid w:val="00510803"/>
    <w:rsid w:val="00513FB1"/>
    <w:rsid w:val="00514B52"/>
    <w:rsid w:val="00517DAC"/>
    <w:rsid w:val="005310F9"/>
    <w:rsid w:val="0053230D"/>
    <w:rsid w:val="0053405A"/>
    <w:rsid w:val="0054426E"/>
    <w:rsid w:val="00546C72"/>
    <w:rsid w:val="00567E54"/>
    <w:rsid w:val="00572C89"/>
    <w:rsid w:val="00583744"/>
    <w:rsid w:val="005A6541"/>
    <w:rsid w:val="005A68BE"/>
    <w:rsid w:val="005D2260"/>
    <w:rsid w:val="005D23CC"/>
    <w:rsid w:val="0060118A"/>
    <w:rsid w:val="00612CD2"/>
    <w:rsid w:val="00614496"/>
    <w:rsid w:val="00623F24"/>
    <w:rsid w:val="00626B4D"/>
    <w:rsid w:val="00640D6F"/>
    <w:rsid w:val="0064397F"/>
    <w:rsid w:val="00650456"/>
    <w:rsid w:val="00655B3B"/>
    <w:rsid w:val="00656FF9"/>
    <w:rsid w:val="006600AD"/>
    <w:rsid w:val="0066249A"/>
    <w:rsid w:val="00670AB6"/>
    <w:rsid w:val="00677C35"/>
    <w:rsid w:val="00682E4B"/>
    <w:rsid w:val="00692239"/>
    <w:rsid w:val="00697B5B"/>
    <w:rsid w:val="006B5916"/>
    <w:rsid w:val="006C10CE"/>
    <w:rsid w:val="006C2EED"/>
    <w:rsid w:val="006C5DA1"/>
    <w:rsid w:val="006C5FCE"/>
    <w:rsid w:val="006C6D8D"/>
    <w:rsid w:val="006D1865"/>
    <w:rsid w:val="006D58A9"/>
    <w:rsid w:val="006E4A04"/>
    <w:rsid w:val="006F0DBC"/>
    <w:rsid w:val="00713A94"/>
    <w:rsid w:val="00713D1F"/>
    <w:rsid w:val="00722B32"/>
    <w:rsid w:val="00730225"/>
    <w:rsid w:val="00733B7A"/>
    <w:rsid w:val="00733DB5"/>
    <w:rsid w:val="0073567F"/>
    <w:rsid w:val="0074011B"/>
    <w:rsid w:val="007434C9"/>
    <w:rsid w:val="007537C1"/>
    <w:rsid w:val="00754E0B"/>
    <w:rsid w:val="0077533A"/>
    <w:rsid w:val="00775640"/>
    <w:rsid w:val="00776274"/>
    <w:rsid w:val="007806FC"/>
    <w:rsid w:val="0078240F"/>
    <w:rsid w:val="00795F5A"/>
    <w:rsid w:val="007B03F1"/>
    <w:rsid w:val="007B08BC"/>
    <w:rsid w:val="007B31EE"/>
    <w:rsid w:val="007C1289"/>
    <w:rsid w:val="007C30D0"/>
    <w:rsid w:val="007C4294"/>
    <w:rsid w:val="007D3526"/>
    <w:rsid w:val="007E2A31"/>
    <w:rsid w:val="007F1593"/>
    <w:rsid w:val="007F24CD"/>
    <w:rsid w:val="008309C8"/>
    <w:rsid w:val="00840B89"/>
    <w:rsid w:val="00841FCE"/>
    <w:rsid w:val="00845070"/>
    <w:rsid w:val="00857CEB"/>
    <w:rsid w:val="00866C1B"/>
    <w:rsid w:val="00870735"/>
    <w:rsid w:val="00873324"/>
    <w:rsid w:val="008857AC"/>
    <w:rsid w:val="008859DB"/>
    <w:rsid w:val="008873D9"/>
    <w:rsid w:val="008A59C7"/>
    <w:rsid w:val="008B2682"/>
    <w:rsid w:val="008B3F9C"/>
    <w:rsid w:val="008B7EEB"/>
    <w:rsid w:val="008C633E"/>
    <w:rsid w:val="008E35A5"/>
    <w:rsid w:val="008E7D2E"/>
    <w:rsid w:val="008F0BF8"/>
    <w:rsid w:val="008F3246"/>
    <w:rsid w:val="0090442F"/>
    <w:rsid w:val="00905C33"/>
    <w:rsid w:val="00911E46"/>
    <w:rsid w:val="00926393"/>
    <w:rsid w:val="00926423"/>
    <w:rsid w:val="009533D2"/>
    <w:rsid w:val="0095483F"/>
    <w:rsid w:val="009617E6"/>
    <w:rsid w:val="00966B4B"/>
    <w:rsid w:val="009842D3"/>
    <w:rsid w:val="009854A4"/>
    <w:rsid w:val="00987C62"/>
    <w:rsid w:val="009A15FF"/>
    <w:rsid w:val="009A211C"/>
    <w:rsid w:val="009B626A"/>
    <w:rsid w:val="009C189C"/>
    <w:rsid w:val="009C3344"/>
    <w:rsid w:val="009C6AFA"/>
    <w:rsid w:val="009D72C1"/>
    <w:rsid w:val="009E4E08"/>
    <w:rsid w:val="009F19CF"/>
    <w:rsid w:val="00A01BFA"/>
    <w:rsid w:val="00A10C37"/>
    <w:rsid w:val="00A17AC7"/>
    <w:rsid w:val="00A33ABC"/>
    <w:rsid w:val="00A43AEE"/>
    <w:rsid w:val="00A4538A"/>
    <w:rsid w:val="00A62375"/>
    <w:rsid w:val="00A66247"/>
    <w:rsid w:val="00A804D9"/>
    <w:rsid w:val="00A84756"/>
    <w:rsid w:val="00A93691"/>
    <w:rsid w:val="00AB10FA"/>
    <w:rsid w:val="00AB2A33"/>
    <w:rsid w:val="00AC2503"/>
    <w:rsid w:val="00AC3913"/>
    <w:rsid w:val="00AC6912"/>
    <w:rsid w:val="00AC7394"/>
    <w:rsid w:val="00AD014F"/>
    <w:rsid w:val="00AD140E"/>
    <w:rsid w:val="00AE0AAC"/>
    <w:rsid w:val="00AE1C2B"/>
    <w:rsid w:val="00AE38DC"/>
    <w:rsid w:val="00AE60B3"/>
    <w:rsid w:val="00AF4AE5"/>
    <w:rsid w:val="00B16017"/>
    <w:rsid w:val="00B26F66"/>
    <w:rsid w:val="00B360CD"/>
    <w:rsid w:val="00B503B5"/>
    <w:rsid w:val="00B528AD"/>
    <w:rsid w:val="00B53A41"/>
    <w:rsid w:val="00B65369"/>
    <w:rsid w:val="00B6644C"/>
    <w:rsid w:val="00B678E2"/>
    <w:rsid w:val="00B75B0E"/>
    <w:rsid w:val="00B82175"/>
    <w:rsid w:val="00B85E1C"/>
    <w:rsid w:val="00B86B46"/>
    <w:rsid w:val="00B8734B"/>
    <w:rsid w:val="00B95B27"/>
    <w:rsid w:val="00BA6721"/>
    <w:rsid w:val="00BB32C5"/>
    <w:rsid w:val="00BB6661"/>
    <w:rsid w:val="00BC1139"/>
    <w:rsid w:val="00BC1521"/>
    <w:rsid w:val="00BC2D6C"/>
    <w:rsid w:val="00BD65A9"/>
    <w:rsid w:val="00BE2883"/>
    <w:rsid w:val="00BE5AF1"/>
    <w:rsid w:val="00BF30C4"/>
    <w:rsid w:val="00BF3F1F"/>
    <w:rsid w:val="00C11550"/>
    <w:rsid w:val="00C25B7B"/>
    <w:rsid w:val="00C40562"/>
    <w:rsid w:val="00C6598F"/>
    <w:rsid w:val="00C65B37"/>
    <w:rsid w:val="00C66842"/>
    <w:rsid w:val="00C67FDE"/>
    <w:rsid w:val="00C912D5"/>
    <w:rsid w:val="00CA46AB"/>
    <w:rsid w:val="00CB2F3C"/>
    <w:rsid w:val="00CC3037"/>
    <w:rsid w:val="00D100C3"/>
    <w:rsid w:val="00D3353E"/>
    <w:rsid w:val="00D40739"/>
    <w:rsid w:val="00D43045"/>
    <w:rsid w:val="00D506E3"/>
    <w:rsid w:val="00D564C5"/>
    <w:rsid w:val="00D720A5"/>
    <w:rsid w:val="00D747D9"/>
    <w:rsid w:val="00D9086A"/>
    <w:rsid w:val="00DB58A9"/>
    <w:rsid w:val="00DC666E"/>
    <w:rsid w:val="00DD6163"/>
    <w:rsid w:val="00DE49E7"/>
    <w:rsid w:val="00DE6984"/>
    <w:rsid w:val="00DE6E44"/>
    <w:rsid w:val="00E120D8"/>
    <w:rsid w:val="00E24BC0"/>
    <w:rsid w:val="00E35423"/>
    <w:rsid w:val="00E464CD"/>
    <w:rsid w:val="00E47CB8"/>
    <w:rsid w:val="00E5008E"/>
    <w:rsid w:val="00E506FD"/>
    <w:rsid w:val="00E549CE"/>
    <w:rsid w:val="00E67C00"/>
    <w:rsid w:val="00E717A6"/>
    <w:rsid w:val="00E7604A"/>
    <w:rsid w:val="00E90DD9"/>
    <w:rsid w:val="00E97270"/>
    <w:rsid w:val="00EA2A2E"/>
    <w:rsid w:val="00EB1BB5"/>
    <w:rsid w:val="00EB7ADF"/>
    <w:rsid w:val="00EC4B77"/>
    <w:rsid w:val="00EC724D"/>
    <w:rsid w:val="00ED1D01"/>
    <w:rsid w:val="00ED1E36"/>
    <w:rsid w:val="00ED42C5"/>
    <w:rsid w:val="00ED538A"/>
    <w:rsid w:val="00EE1FFF"/>
    <w:rsid w:val="00EF52F3"/>
    <w:rsid w:val="00F036E5"/>
    <w:rsid w:val="00F277C1"/>
    <w:rsid w:val="00F41C31"/>
    <w:rsid w:val="00F51E4A"/>
    <w:rsid w:val="00F7157C"/>
    <w:rsid w:val="00F75108"/>
    <w:rsid w:val="00F81925"/>
    <w:rsid w:val="00FA7041"/>
    <w:rsid w:val="00FB2125"/>
    <w:rsid w:val="00FB45F3"/>
    <w:rsid w:val="00FD5121"/>
    <w:rsid w:val="00FD6E7A"/>
    <w:rsid w:val="00FE0174"/>
    <w:rsid w:val="00FE3E67"/>
    <w:rsid w:val="00FF0A12"/>
    <w:rsid w:val="00FF1E07"/>
    <w:rsid w:val="00FF5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8AD"/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B528A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R">
    <w:name w:val="HR"/>
    <w:aliases w:val="Regulation Heading"/>
    <w:basedOn w:val="Normal"/>
    <w:next w:val="R1"/>
    <w:rsid w:val="00B528AD"/>
    <w:pPr>
      <w:keepNext/>
      <w:tabs>
        <w:tab w:val="left" w:pos="540"/>
      </w:tabs>
      <w:autoSpaceDE w:val="0"/>
      <w:autoSpaceDN w:val="0"/>
      <w:spacing w:before="480" w:line="240" w:lineRule="atLeast"/>
      <w:jc w:val="both"/>
    </w:pPr>
    <w:rPr>
      <w:rFonts w:ascii="Times" w:hAnsi="Times" w:cs="Times"/>
      <w:b/>
      <w:bCs/>
      <w:sz w:val="26"/>
      <w:szCs w:val="26"/>
      <w:lang w:eastAsia="en-AU"/>
    </w:rPr>
  </w:style>
  <w:style w:type="paragraph" w:customStyle="1" w:styleId="R1">
    <w:name w:val="R1"/>
    <w:aliases w:val="1. or 1.(1)"/>
    <w:basedOn w:val="Normal"/>
    <w:next w:val="P1"/>
    <w:rsid w:val="00B528AD"/>
    <w:pPr>
      <w:tabs>
        <w:tab w:val="right" w:pos="1080"/>
        <w:tab w:val="left" w:pos="1260"/>
        <w:tab w:val="left" w:pos="1800"/>
      </w:tabs>
      <w:autoSpaceDE w:val="0"/>
      <w:autoSpaceDN w:val="0"/>
      <w:spacing w:before="120"/>
      <w:jc w:val="both"/>
    </w:pPr>
    <w:rPr>
      <w:rFonts w:ascii="Times" w:hAnsi="Times" w:cs="Times"/>
      <w:sz w:val="26"/>
      <w:szCs w:val="26"/>
      <w:lang w:eastAsia="en-AU"/>
    </w:rPr>
  </w:style>
  <w:style w:type="paragraph" w:customStyle="1" w:styleId="P1">
    <w:name w:val="P1"/>
    <w:aliases w:val="(a)"/>
    <w:basedOn w:val="Normal"/>
    <w:rsid w:val="00B528AD"/>
    <w:pPr>
      <w:tabs>
        <w:tab w:val="right" w:pos="1080"/>
      </w:tabs>
      <w:autoSpaceDE w:val="0"/>
      <w:autoSpaceDN w:val="0"/>
      <w:spacing w:before="40" w:line="260" w:lineRule="atLeast"/>
      <w:ind w:left="1276" w:hanging="1280"/>
      <w:jc w:val="both"/>
    </w:pPr>
    <w:rPr>
      <w:rFonts w:ascii="Times" w:hAnsi="Times" w:cs="Times"/>
      <w:sz w:val="26"/>
      <w:szCs w:val="26"/>
      <w:lang w:eastAsia="en-AU"/>
    </w:rPr>
  </w:style>
  <w:style w:type="paragraph" w:customStyle="1" w:styleId="P2">
    <w:name w:val="P2"/>
    <w:aliases w:val="(i)"/>
    <w:basedOn w:val="Normal"/>
    <w:rsid w:val="00B528AD"/>
    <w:pPr>
      <w:tabs>
        <w:tab w:val="right" w:pos="1800"/>
      </w:tabs>
      <w:autoSpaceDE w:val="0"/>
      <w:autoSpaceDN w:val="0"/>
      <w:spacing w:before="40" w:line="260" w:lineRule="atLeast"/>
      <w:ind w:left="1985" w:hanging="1980"/>
      <w:jc w:val="both"/>
    </w:pPr>
    <w:rPr>
      <w:rFonts w:ascii="Times" w:hAnsi="Times" w:cs="Times"/>
      <w:sz w:val="26"/>
      <w:szCs w:val="26"/>
      <w:lang w:eastAsia="en-AU"/>
    </w:rPr>
  </w:style>
  <w:style w:type="paragraph" w:styleId="Title">
    <w:name w:val="Title"/>
    <w:basedOn w:val="Normal"/>
    <w:next w:val="Normal"/>
    <w:qFormat/>
    <w:rsid w:val="00B528AD"/>
    <w:pPr>
      <w:autoSpaceDE w:val="0"/>
      <w:autoSpaceDN w:val="0"/>
      <w:spacing w:before="480"/>
      <w:jc w:val="center"/>
    </w:pPr>
    <w:rPr>
      <w:rFonts w:ascii="Times" w:hAnsi="Times" w:cs="Times"/>
      <w:b/>
      <w:bCs/>
      <w:sz w:val="36"/>
      <w:szCs w:val="36"/>
      <w:lang w:eastAsia="en-AU"/>
    </w:rPr>
  </w:style>
  <w:style w:type="paragraph" w:customStyle="1" w:styleId="HP">
    <w:name w:val="HP"/>
    <w:aliases w:val="Part Heading"/>
    <w:basedOn w:val="Normal"/>
    <w:next w:val="Normal"/>
    <w:rsid w:val="00B528AD"/>
    <w:pPr>
      <w:keepNext/>
      <w:autoSpaceDE w:val="0"/>
      <w:autoSpaceDN w:val="0"/>
      <w:spacing w:before="480"/>
      <w:jc w:val="center"/>
    </w:pPr>
    <w:rPr>
      <w:rFonts w:ascii="Times" w:hAnsi="Times" w:cs="Times"/>
      <w:b/>
      <w:bCs/>
      <w:sz w:val="26"/>
      <w:szCs w:val="26"/>
      <w:lang w:eastAsia="en-AU"/>
    </w:rPr>
  </w:style>
  <w:style w:type="paragraph" w:customStyle="1" w:styleId="definition">
    <w:name w:val="definition"/>
    <w:basedOn w:val="Normal"/>
    <w:rsid w:val="00B528AD"/>
    <w:pPr>
      <w:tabs>
        <w:tab w:val="right" w:pos="1080"/>
        <w:tab w:val="left" w:pos="1260"/>
        <w:tab w:val="left" w:pos="1800"/>
      </w:tabs>
      <w:autoSpaceDE w:val="0"/>
      <w:autoSpaceDN w:val="0"/>
      <w:spacing w:before="40"/>
      <w:jc w:val="both"/>
    </w:pPr>
    <w:rPr>
      <w:rFonts w:ascii="Times" w:hAnsi="Times" w:cs="Times"/>
      <w:sz w:val="26"/>
      <w:szCs w:val="26"/>
      <w:lang w:eastAsia="en-AU"/>
    </w:rPr>
  </w:style>
  <w:style w:type="character" w:styleId="CommentReference">
    <w:name w:val="annotation reference"/>
    <w:basedOn w:val="DefaultParagraphFont"/>
    <w:semiHidden/>
    <w:rsid w:val="00677C35"/>
    <w:rPr>
      <w:sz w:val="16"/>
      <w:szCs w:val="16"/>
    </w:rPr>
  </w:style>
  <w:style w:type="paragraph" w:styleId="CommentText">
    <w:name w:val="annotation text"/>
    <w:basedOn w:val="Normal"/>
    <w:semiHidden/>
    <w:rsid w:val="00677C35"/>
    <w:rPr>
      <w:sz w:val="20"/>
    </w:rPr>
  </w:style>
  <w:style w:type="paragraph" w:styleId="CommentSubject">
    <w:name w:val="annotation subject"/>
    <w:basedOn w:val="CommentText"/>
    <w:next w:val="CommentText"/>
    <w:semiHidden/>
    <w:rsid w:val="00677C35"/>
    <w:rPr>
      <w:b/>
      <w:bCs/>
    </w:rPr>
  </w:style>
  <w:style w:type="paragraph" w:styleId="BalloonText">
    <w:name w:val="Balloon Text"/>
    <w:basedOn w:val="Normal"/>
    <w:semiHidden/>
    <w:rsid w:val="00677C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804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804D9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2319CF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6DB47-11CC-49E3-98FA-F5E66EAB2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1024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Australia</vt:lpstr>
    </vt:vector>
  </TitlesOfParts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Australia</dc:title>
  <dc:creator/>
  <cp:lastModifiedBy/>
  <cp:revision>1</cp:revision>
  <cp:lastPrinted>2010-01-13T01:11:00Z</cp:lastPrinted>
  <dcterms:created xsi:type="dcterms:W3CDTF">2011-02-25T00:08:00Z</dcterms:created>
  <dcterms:modified xsi:type="dcterms:W3CDTF">2011-02-25T00:08:00Z</dcterms:modified>
</cp:coreProperties>
</file>