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792" w:type="dxa"/>
        <w:tblBorders>
          <w:top w:val="single" w:sz="12" w:space="0" w:color="A32020"/>
          <w:left w:val="single" w:sz="12" w:space="0" w:color="A32020"/>
          <w:bottom w:val="single" w:sz="12" w:space="0" w:color="A32020"/>
          <w:right w:val="single" w:sz="12" w:space="0" w:color="A32020"/>
          <w:insideH w:val="single" w:sz="12" w:space="0" w:color="A32020"/>
          <w:insideV w:val="single" w:sz="12" w:space="0" w:color="A32020"/>
        </w:tblBorders>
        <w:tblLook w:val="01E0"/>
      </w:tblPr>
      <w:tblGrid>
        <w:gridCol w:w="10620"/>
      </w:tblGrid>
      <w:tr w:rsidR="00021C03" w:rsidRPr="00A76020" w:rsidTr="00567085">
        <w:tc>
          <w:tcPr>
            <w:tcW w:w="10620" w:type="dxa"/>
            <w:shd w:val="clear" w:color="auto" w:fill="auto"/>
          </w:tcPr>
          <w:p w:rsidR="00021C03" w:rsidRPr="00567085" w:rsidRDefault="00021C03" w:rsidP="00A76020">
            <w:pPr>
              <w:pStyle w:val="Title"/>
              <w:ind w:right="-30"/>
              <w:rPr>
                <w:rFonts w:ascii="Arial" w:hAnsi="Arial" w:cs="Arial"/>
                <w:color w:val="602320"/>
                <w:sz w:val="32"/>
                <w:szCs w:val="32"/>
                <w:u w:val="single"/>
              </w:rPr>
            </w:pPr>
            <w:r w:rsidRPr="00567085">
              <w:rPr>
                <w:rFonts w:ascii="Arial" w:hAnsi="Arial" w:cs="Arial"/>
                <w:color w:val="602320"/>
                <w:sz w:val="32"/>
                <w:szCs w:val="32"/>
                <w:u w:val="single"/>
              </w:rPr>
              <w:t>ESOS ASSURANCE FUND</w:t>
            </w:r>
          </w:p>
          <w:p w:rsidR="00021C03" w:rsidRPr="00567085" w:rsidRDefault="00763651" w:rsidP="00A76020">
            <w:pPr>
              <w:pStyle w:val="Title"/>
              <w:ind w:right="-30"/>
              <w:rPr>
                <w:rFonts w:ascii="Arial" w:hAnsi="Arial" w:cs="Arial"/>
                <w:color w:val="602320"/>
                <w:sz w:val="32"/>
                <w:szCs w:val="32"/>
                <w:u w:val="single"/>
              </w:rPr>
            </w:pPr>
            <w:r w:rsidRPr="00567085">
              <w:rPr>
                <w:rFonts w:ascii="Arial" w:hAnsi="Arial" w:cs="Arial"/>
                <w:color w:val="602320"/>
                <w:sz w:val="32"/>
                <w:szCs w:val="32"/>
                <w:u w:val="single"/>
              </w:rPr>
              <w:t>2011</w:t>
            </w:r>
            <w:r w:rsidR="00021C03" w:rsidRPr="00567085">
              <w:rPr>
                <w:rFonts w:ascii="Arial" w:hAnsi="Arial" w:cs="Arial"/>
                <w:color w:val="602320"/>
                <w:sz w:val="32"/>
                <w:szCs w:val="32"/>
                <w:u w:val="single"/>
              </w:rPr>
              <w:t xml:space="preserve"> CONTRIBUTIONS CRITERIA</w:t>
            </w:r>
          </w:p>
          <w:p w:rsidR="00021C03" w:rsidRPr="00567085" w:rsidRDefault="00021C03" w:rsidP="00A76020">
            <w:pPr>
              <w:pStyle w:val="Title"/>
              <w:ind w:right="-30"/>
              <w:rPr>
                <w:rFonts w:ascii="Arial" w:hAnsi="Arial" w:cs="Arial"/>
                <w:color w:val="A32020"/>
                <w:sz w:val="4"/>
                <w:szCs w:val="4"/>
                <w:u w:val="single"/>
              </w:rPr>
            </w:pPr>
          </w:p>
        </w:tc>
      </w:tr>
      <w:tr w:rsidR="00B85F4E" w:rsidRPr="00A76020" w:rsidTr="00567085">
        <w:tc>
          <w:tcPr>
            <w:tcW w:w="10620" w:type="dxa"/>
          </w:tcPr>
          <w:p w:rsidR="00B85F4E" w:rsidRPr="00A76020" w:rsidRDefault="00B85F4E" w:rsidP="00A76020">
            <w:pPr>
              <w:pStyle w:val="Title"/>
              <w:ind w:left="252" w:right="-30"/>
              <w:rPr>
                <w:rFonts w:ascii="Arial" w:hAnsi="Arial" w:cs="Arial"/>
                <w:sz w:val="4"/>
                <w:szCs w:val="4"/>
                <w:u w:val="single"/>
              </w:rPr>
            </w:pPr>
          </w:p>
          <w:p w:rsidR="00B85F4E" w:rsidRPr="00A76020" w:rsidRDefault="00B85F4E" w:rsidP="00A76020">
            <w:pPr>
              <w:ind w:left="252" w:right="-30"/>
              <w:rPr>
                <w:rFonts w:ascii="Arial" w:hAnsi="Arial" w:cs="Arial"/>
                <w:i/>
                <w:iCs/>
                <w:sz w:val="18"/>
                <w:szCs w:val="18"/>
              </w:rPr>
            </w:pPr>
            <w:r w:rsidRPr="00A76020">
              <w:rPr>
                <w:rFonts w:ascii="Arial" w:hAnsi="Arial" w:cs="Arial"/>
                <w:sz w:val="18"/>
                <w:szCs w:val="18"/>
              </w:rPr>
              <w:t xml:space="preserve">The </w:t>
            </w:r>
            <w:r w:rsidR="00763651" w:rsidRPr="00A76020">
              <w:rPr>
                <w:rFonts w:ascii="Arial" w:hAnsi="Arial" w:cs="Arial"/>
                <w:sz w:val="18"/>
                <w:szCs w:val="18"/>
              </w:rPr>
              <w:t>2011</w:t>
            </w:r>
            <w:r w:rsidRPr="00A76020">
              <w:rPr>
                <w:rFonts w:ascii="Arial" w:hAnsi="Arial" w:cs="Arial"/>
                <w:sz w:val="18"/>
                <w:szCs w:val="18"/>
              </w:rPr>
              <w:t xml:space="preserve"> </w:t>
            </w:r>
            <w:r w:rsidR="000247F7" w:rsidRPr="00A76020">
              <w:rPr>
                <w:rFonts w:ascii="Arial" w:hAnsi="Arial" w:cs="Arial"/>
                <w:sz w:val="18"/>
                <w:szCs w:val="18"/>
              </w:rPr>
              <w:t>Contributions Criteria</w:t>
            </w:r>
            <w:r w:rsidRPr="00A76020">
              <w:rPr>
                <w:rFonts w:ascii="Arial" w:hAnsi="Arial" w:cs="Arial"/>
                <w:sz w:val="18"/>
                <w:szCs w:val="18"/>
              </w:rPr>
              <w:t xml:space="preserve"> have been determined by the Contributions Review Panel in accordance with </w:t>
            </w:r>
            <w:r w:rsidR="0080142A" w:rsidRPr="00A76020">
              <w:rPr>
                <w:rFonts w:ascii="Arial" w:hAnsi="Arial" w:cs="Arial"/>
                <w:sz w:val="18"/>
                <w:szCs w:val="18"/>
              </w:rPr>
              <w:t>Division 4 of Part 5</w:t>
            </w:r>
            <w:r w:rsidRPr="00A76020">
              <w:rPr>
                <w:rFonts w:ascii="Arial" w:hAnsi="Arial" w:cs="Arial"/>
                <w:sz w:val="18"/>
                <w:szCs w:val="18"/>
              </w:rPr>
              <w:t xml:space="preserve"> of the </w:t>
            </w:r>
            <w:r w:rsidRPr="00A76020">
              <w:rPr>
                <w:rFonts w:ascii="Arial" w:hAnsi="Arial" w:cs="Arial"/>
                <w:i/>
                <w:iCs/>
                <w:sz w:val="18"/>
                <w:szCs w:val="18"/>
              </w:rPr>
              <w:t>Education Services for Overseas Students Act 2000</w:t>
            </w:r>
            <w:r w:rsidR="0080142A" w:rsidRPr="00A76020">
              <w:rPr>
                <w:rFonts w:ascii="Arial" w:hAnsi="Arial" w:cs="Arial"/>
                <w:i/>
                <w:iCs/>
                <w:sz w:val="18"/>
                <w:szCs w:val="18"/>
              </w:rPr>
              <w:t xml:space="preserve"> (t</w:t>
            </w:r>
            <w:r w:rsidR="00471E49" w:rsidRPr="00A76020">
              <w:rPr>
                <w:rFonts w:ascii="Arial" w:hAnsi="Arial" w:cs="Arial"/>
                <w:i/>
                <w:iCs/>
                <w:sz w:val="18"/>
                <w:szCs w:val="18"/>
              </w:rPr>
              <w:t xml:space="preserve">he ESOS Act) </w:t>
            </w:r>
            <w:r w:rsidRPr="00A76020">
              <w:rPr>
                <w:rFonts w:ascii="Arial" w:hAnsi="Arial" w:cs="Arial"/>
                <w:iCs/>
                <w:sz w:val="18"/>
                <w:szCs w:val="18"/>
              </w:rPr>
              <w:t xml:space="preserve">and apply from 1 January </w:t>
            </w:r>
            <w:r w:rsidR="00763651" w:rsidRPr="00A76020">
              <w:rPr>
                <w:rFonts w:ascii="Arial" w:hAnsi="Arial" w:cs="Arial"/>
                <w:iCs/>
                <w:sz w:val="18"/>
                <w:szCs w:val="18"/>
              </w:rPr>
              <w:t>2011</w:t>
            </w:r>
            <w:r w:rsidRPr="00A76020">
              <w:rPr>
                <w:rFonts w:ascii="Arial" w:hAnsi="Arial" w:cs="Arial"/>
                <w:iCs/>
                <w:sz w:val="18"/>
                <w:szCs w:val="18"/>
              </w:rPr>
              <w:t xml:space="preserve"> to 31 December </w:t>
            </w:r>
            <w:r w:rsidR="002323E8" w:rsidRPr="00A76020">
              <w:rPr>
                <w:rFonts w:ascii="Arial" w:hAnsi="Arial" w:cs="Arial"/>
                <w:iCs/>
                <w:sz w:val="18"/>
                <w:szCs w:val="18"/>
              </w:rPr>
              <w:t>201</w:t>
            </w:r>
            <w:r w:rsidR="00763651" w:rsidRPr="00A76020">
              <w:rPr>
                <w:rFonts w:ascii="Arial" w:hAnsi="Arial" w:cs="Arial"/>
                <w:iCs/>
                <w:sz w:val="18"/>
                <w:szCs w:val="18"/>
              </w:rPr>
              <w:t>1</w:t>
            </w:r>
            <w:r w:rsidRPr="00A76020">
              <w:rPr>
                <w:rFonts w:ascii="Arial" w:hAnsi="Arial" w:cs="Arial"/>
                <w:i/>
                <w:iCs/>
                <w:sz w:val="18"/>
                <w:szCs w:val="18"/>
              </w:rPr>
              <w:t>.</w:t>
            </w:r>
          </w:p>
          <w:p w:rsidR="00B85F4E" w:rsidRPr="00A76020" w:rsidRDefault="00B85F4E" w:rsidP="00A76020">
            <w:pPr>
              <w:ind w:right="-30"/>
              <w:rPr>
                <w:rFonts w:ascii="Arial" w:hAnsi="Arial" w:cs="Arial"/>
                <w:sz w:val="12"/>
                <w:szCs w:val="12"/>
              </w:rPr>
            </w:pPr>
          </w:p>
          <w:tbl>
            <w:tblPr>
              <w:tblW w:w="0" w:type="auto"/>
              <w:jc w:val="center"/>
              <w:tblBorders>
                <w:top w:val="single" w:sz="12" w:space="0" w:color="A32020"/>
                <w:left w:val="single" w:sz="12" w:space="0" w:color="A32020"/>
                <w:bottom w:val="single" w:sz="12" w:space="0" w:color="A32020"/>
                <w:right w:val="single" w:sz="12" w:space="0" w:color="A32020"/>
                <w:insideH w:val="dotted" w:sz="4" w:space="0" w:color="auto"/>
                <w:insideV w:val="single" w:sz="12" w:space="0" w:color="A32020"/>
              </w:tblBorders>
              <w:tblLook w:val="0000"/>
            </w:tblPr>
            <w:tblGrid>
              <w:gridCol w:w="2004"/>
              <w:gridCol w:w="6931"/>
            </w:tblGrid>
            <w:tr w:rsidR="00B85F4E" w:rsidRPr="00395F04" w:rsidTr="00567085">
              <w:trPr>
                <w:jc w:val="center"/>
              </w:trPr>
              <w:tc>
                <w:tcPr>
                  <w:tcW w:w="2004" w:type="dxa"/>
                  <w:tcBorders>
                    <w:top w:val="single" w:sz="12" w:space="0" w:color="A32020"/>
                    <w:bottom w:val="dotted" w:sz="4" w:space="0" w:color="auto"/>
                  </w:tcBorders>
                  <w:shd w:val="clear" w:color="auto" w:fill="A32020"/>
                </w:tcPr>
                <w:p w:rsidR="00B85F4E" w:rsidRPr="00567085" w:rsidRDefault="00B85F4E" w:rsidP="007236A4">
                  <w:pPr>
                    <w:spacing w:before="60" w:after="60"/>
                    <w:ind w:right="-30"/>
                    <w:rPr>
                      <w:rFonts w:ascii="Arial" w:hAnsi="Arial" w:cs="Arial"/>
                      <w:color w:val="FFFFFF"/>
                      <w:sz w:val="20"/>
                      <w:szCs w:val="20"/>
                    </w:rPr>
                  </w:pPr>
                  <w:r w:rsidRPr="00567085">
                    <w:rPr>
                      <w:rFonts w:ascii="Arial" w:hAnsi="Arial" w:cs="Arial"/>
                      <w:color w:val="FFFFFF"/>
                      <w:sz w:val="20"/>
                      <w:szCs w:val="20"/>
                    </w:rPr>
                    <w:t>Period of cover:</w:t>
                  </w:r>
                </w:p>
              </w:tc>
              <w:tc>
                <w:tcPr>
                  <w:tcW w:w="6931" w:type="dxa"/>
                  <w:shd w:val="clear" w:color="auto" w:fill="auto"/>
                </w:tcPr>
                <w:p w:rsidR="00B85F4E" w:rsidRPr="009742E0" w:rsidRDefault="00B85F4E" w:rsidP="00D06D68">
                  <w:pPr>
                    <w:spacing w:before="60" w:after="60"/>
                    <w:ind w:right="-30"/>
                    <w:rPr>
                      <w:rFonts w:ascii="Arial" w:hAnsi="Arial" w:cs="Arial"/>
                      <w:sz w:val="18"/>
                      <w:szCs w:val="18"/>
                    </w:rPr>
                  </w:pPr>
                  <w:r w:rsidRPr="009742E0">
                    <w:rPr>
                      <w:rFonts w:ascii="Arial" w:hAnsi="Arial" w:cs="Arial"/>
                      <w:sz w:val="18"/>
                      <w:szCs w:val="18"/>
                    </w:rPr>
                    <w:t xml:space="preserve">1 January </w:t>
                  </w:r>
                  <w:r w:rsidR="00763651">
                    <w:rPr>
                      <w:rFonts w:ascii="Arial" w:hAnsi="Arial" w:cs="Arial"/>
                      <w:sz w:val="18"/>
                      <w:szCs w:val="18"/>
                    </w:rPr>
                    <w:t>2011</w:t>
                  </w:r>
                  <w:r w:rsidRPr="009742E0">
                    <w:rPr>
                      <w:rFonts w:ascii="Arial" w:hAnsi="Arial" w:cs="Arial"/>
                      <w:sz w:val="18"/>
                      <w:szCs w:val="18"/>
                    </w:rPr>
                    <w:t xml:space="preserve"> to 31 December </w:t>
                  </w:r>
                  <w:r w:rsidR="002323E8" w:rsidRPr="009742E0">
                    <w:rPr>
                      <w:rFonts w:ascii="Arial" w:hAnsi="Arial" w:cs="Arial"/>
                      <w:sz w:val="18"/>
                      <w:szCs w:val="18"/>
                    </w:rPr>
                    <w:t>201</w:t>
                  </w:r>
                  <w:r w:rsidR="00763651">
                    <w:rPr>
                      <w:rFonts w:ascii="Arial" w:hAnsi="Arial" w:cs="Arial"/>
                      <w:sz w:val="18"/>
                      <w:szCs w:val="18"/>
                    </w:rPr>
                    <w:t>1</w:t>
                  </w:r>
                </w:p>
              </w:tc>
            </w:tr>
            <w:tr w:rsidR="00B85F4E" w:rsidRPr="00395F04" w:rsidTr="00567085">
              <w:trPr>
                <w:jc w:val="center"/>
              </w:trPr>
              <w:tc>
                <w:tcPr>
                  <w:tcW w:w="2004" w:type="dxa"/>
                  <w:tcBorders>
                    <w:top w:val="dotted" w:sz="4" w:space="0" w:color="auto"/>
                    <w:bottom w:val="dotted" w:sz="4" w:space="0" w:color="auto"/>
                  </w:tcBorders>
                  <w:shd w:val="clear" w:color="auto" w:fill="A32020"/>
                </w:tcPr>
                <w:p w:rsidR="00B85F4E" w:rsidRPr="00567085" w:rsidRDefault="00B85F4E" w:rsidP="007236A4">
                  <w:pPr>
                    <w:spacing w:before="60" w:after="60"/>
                    <w:ind w:right="-30"/>
                    <w:rPr>
                      <w:rFonts w:ascii="Arial" w:hAnsi="Arial" w:cs="Arial"/>
                      <w:color w:val="FFFFFF"/>
                      <w:sz w:val="20"/>
                      <w:szCs w:val="20"/>
                    </w:rPr>
                  </w:pPr>
                  <w:r w:rsidRPr="00567085">
                    <w:rPr>
                      <w:rFonts w:ascii="Arial" w:hAnsi="Arial" w:cs="Arial"/>
                      <w:color w:val="FFFFFF"/>
                      <w:sz w:val="20"/>
                      <w:szCs w:val="20"/>
                    </w:rPr>
                    <w:t>Application:</w:t>
                  </w:r>
                </w:p>
              </w:tc>
              <w:tc>
                <w:tcPr>
                  <w:tcW w:w="6931" w:type="dxa"/>
                  <w:shd w:val="clear" w:color="auto" w:fill="auto"/>
                </w:tcPr>
                <w:p w:rsidR="00B85F4E" w:rsidRPr="009742E0" w:rsidRDefault="00B85F4E" w:rsidP="00D06D68">
                  <w:pPr>
                    <w:spacing w:before="60" w:after="60"/>
                    <w:ind w:right="-30"/>
                    <w:rPr>
                      <w:rFonts w:ascii="Arial" w:hAnsi="Arial" w:cs="Arial"/>
                      <w:sz w:val="18"/>
                      <w:szCs w:val="18"/>
                    </w:rPr>
                  </w:pPr>
                  <w:r w:rsidRPr="009742E0">
                    <w:rPr>
                      <w:rFonts w:ascii="Arial" w:hAnsi="Arial" w:cs="Arial"/>
                      <w:b/>
                      <w:sz w:val="18"/>
                      <w:szCs w:val="18"/>
                    </w:rPr>
                    <w:t>All</w:t>
                  </w:r>
                  <w:r w:rsidRPr="009742E0">
                    <w:rPr>
                      <w:rFonts w:ascii="Arial" w:hAnsi="Arial" w:cs="Arial"/>
                      <w:sz w:val="18"/>
                      <w:szCs w:val="18"/>
                    </w:rPr>
                    <w:t xml:space="preserve"> non-exempt providers registered on the Commonwealth Register of Institutions and Courses for Overseas Students (CRICOS) at any time during </w:t>
                  </w:r>
                  <w:r w:rsidR="00763651">
                    <w:rPr>
                      <w:rFonts w:ascii="Arial" w:hAnsi="Arial" w:cs="Arial"/>
                      <w:sz w:val="18"/>
                      <w:szCs w:val="18"/>
                    </w:rPr>
                    <w:t>2011</w:t>
                  </w:r>
                  <w:r w:rsidRPr="009742E0">
                    <w:rPr>
                      <w:rFonts w:ascii="Arial" w:hAnsi="Arial" w:cs="Arial"/>
                      <w:sz w:val="18"/>
                      <w:szCs w:val="18"/>
                    </w:rPr>
                    <w:t>.</w:t>
                  </w:r>
                </w:p>
              </w:tc>
            </w:tr>
            <w:tr w:rsidR="00B85F4E" w:rsidRPr="00395F04" w:rsidTr="00567085">
              <w:trPr>
                <w:jc w:val="center"/>
              </w:trPr>
              <w:tc>
                <w:tcPr>
                  <w:tcW w:w="2004" w:type="dxa"/>
                  <w:tcBorders>
                    <w:top w:val="dotted" w:sz="4" w:space="0" w:color="auto"/>
                    <w:bottom w:val="single" w:sz="12" w:space="0" w:color="A32020"/>
                  </w:tcBorders>
                  <w:shd w:val="clear" w:color="auto" w:fill="A32020"/>
                </w:tcPr>
                <w:p w:rsidR="00B85F4E" w:rsidRPr="00567085" w:rsidRDefault="00B85F4E" w:rsidP="007236A4">
                  <w:pPr>
                    <w:spacing w:before="60" w:after="60"/>
                    <w:ind w:right="-30"/>
                    <w:rPr>
                      <w:rFonts w:ascii="Arial" w:hAnsi="Arial" w:cs="Arial"/>
                      <w:color w:val="FFFFFF"/>
                      <w:sz w:val="20"/>
                      <w:szCs w:val="20"/>
                    </w:rPr>
                  </w:pPr>
                  <w:r w:rsidRPr="00567085">
                    <w:rPr>
                      <w:rFonts w:ascii="Arial" w:hAnsi="Arial" w:cs="Arial"/>
                      <w:color w:val="FFFFFF"/>
                      <w:sz w:val="20"/>
                      <w:szCs w:val="20"/>
                    </w:rPr>
                    <w:t>Components of the Criteria:</w:t>
                  </w:r>
                </w:p>
              </w:tc>
              <w:tc>
                <w:tcPr>
                  <w:tcW w:w="6931" w:type="dxa"/>
                  <w:shd w:val="clear" w:color="auto" w:fill="auto"/>
                </w:tcPr>
                <w:p w:rsidR="00B85F4E" w:rsidRDefault="00B85F4E" w:rsidP="009742E0">
                  <w:pPr>
                    <w:numPr>
                      <w:ilvl w:val="0"/>
                      <w:numId w:val="12"/>
                    </w:numPr>
                    <w:spacing w:before="120"/>
                    <w:ind w:left="357" w:right="-28" w:hanging="357"/>
                    <w:rPr>
                      <w:rFonts w:ascii="Arial" w:hAnsi="Arial" w:cs="Arial"/>
                      <w:b/>
                      <w:i/>
                      <w:sz w:val="18"/>
                      <w:szCs w:val="18"/>
                    </w:rPr>
                  </w:pPr>
                  <w:r w:rsidRPr="009742E0">
                    <w:rPr>
                      <w:rFonts w:ascii="Arial" w:hAnsi="Arial" w:cs="Arial"/>
                      <w:b/>
                      <w:sz w:val="18"/>
                      <w:szCs w:val="18"/>
                    </w:rPr>
                    <w:t xml:space="preserve">Base Premium - </w:t>
                  </w:r>
                  <w:r w:rsidR="002323E8" w:rsidRPr="009742E0">
                    <w:rPr>
                      <w:rFonts w:ascii="Arial" w:hAnsi="Arial" w:cs="Arial"/>
                      <w:b/>
                      <w:i/>
                      <w:sz w:val="18"/>
                      <w:szCs w:val="18"/>
                    </w:rPr>
                    <w:t>$</w:t>
                  </w:r>
                  <w:r w:rsidR="00763651">
                    <w:rPr>
                      <w:rFonts w:ascii="Arial" w:hAnsi="Arial" w:cs="Arial"/>
                      <w:b/>
                      <w:i/>
                      <w:sz w:val="18"/>
                      <w:szCs w:val="18"/>
                    </w:rPr>
                    <w:t>6</w:t>
                  </w:r>
                  <w:r w:rsidR="002323E8" w:rsidRPr="009742E0">
                    <w:rPr>
                      <w:rFonts w:ascii="Arial" w:hAnsi="Arial" w:cs="Arial"/>
                      <w:b/>
                      <w:i/>
                      <w:sz w:val="18"/>
                      <w:szCs w:val="18"/>
                    </w:rPr>
                    <w:t>50</w:t>
                  </w:r>
                </w:p>
                <w:p w:rsidR="00A35298" w:rsidRPr="00A35298" w:rsidRDefault="00A35298" w:rsidP="00A35298">
                  <w:pPr>
                    <w:ind w:right="-28"/>
                    <w:rPr>
                      <w:rFonts w:ascii="Arial" w:hAnsi="Arial" w:cs="Arial"/>
                      <w:b/>
                      <w:i/>
                      <w:sz w:val="12"/>
                      <w:szCs w:val="12"/>
                    </w:rPr>
                  </w:pPr>
                </w:p>
                <w:p w:rsidR="00B85F4E" w:rsidRPr="009742E0" w:rsidRDefault="00B85F4E" w:rsidP="009742E0">
                  <w:pPr>
                    <w:numPr>
                      <w:ilvl w:val="0"/>
                      <w:numId w:val="12"/>
                    </w:numPr>
                    <w:spacing w:after="120"/>
                    <w:ind w:left="323" w:right="-28" w:hanging="323"/>
                    <w:rPr>
                      <w:rFonts w:ascii="Arial" w:hAnsi="Arial" w:cs="Arial"/>
                      <w:b/>
                      <w:i/>
                      <w:sz w:val="18"/>
                      <w:szCs w:val="18"/>
                    </w:rPr>
                  </w:pPr>
                  <w:r w:rsidRPr="009742E0">
                    <w:rPr>
                      <w:rFonts w:ascii="Arial" w:hAnsi="Arial" w:cs="Arial"/>
                      <w:b/>
                      <w:sz w:val="18"/>
                      <w:szCs w:val="18"/>
                    </w:rPr>
                    <w:t>Additional Premium</w:t>
                  </w:r>
                  <w:r w:rsidRPr="009742E0">
                    <w:rPr>
                      <w:rFonts w:ascii="Arial" w:hAnsi="Arial" w:cs="Arial"/>
                      <w:sz w:val="18"/>
                      <w:szCs w:val="18"/>
                    </w:rPr>
                    <w:t xml:space="preserve"> – </w:t>
                  </w:r>
                  <w:r w:rsidRPr="009742E0">
                    <w:rPr>
                      <w:rFonts w:ascii="Arial" w:hAnsi="Arial" w:cs="Arial"/>
                      <w:i/>
                      <w:sz w:val="18"/>
                      <w:szCs w:val="18"/>
                    </w:rPr>
                    <w:t>Applicable additional premium rate multiplied by annual overseas student fee income*</w:t>
                  </w:r>
                </w:p>
                <w:tbl>
                  <w:tblPr>
                    <w:tblW w:w="6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2131"/>
                  </w:tblGrid>
                  <w:tr w:rsidR="00B85F4E" w:rsidRPr="00567085" w:rsidTr="00567085">
                    <w:trPr>
                      <w:jc w:val="center"/>
                    </w:trPr>
                    <w:tc>
                      <w:tcPr>
                        <w:tcW w:w="4308" w:type="dxa"/>
                        <w:tcBorders>
                          <w:top w:val="single" w:sz="12" w:space="0" w:color="A32020"/>
                          <w:left w:val="single" w:sz="12" w:space="0" w:color="A32020"/>
                          <w:bottom w:val="single" w:sz="12" w:space="0" w:color="A32020"/>
                          <w:right w:val="nil"/>
                        </w:tcBorders>
                        <w:shd w:val="clear" w:color="auto" w:fill="A32020"/>
                      </w:tcPr>
                      <w:p w:rsidR="00B85F4E" w:rsidRPr="00567085" w:rsidRDefault="00B85F4E" w:rsidP="007236A4">
                        <w:pPr>
                          <w:pStyle w:val="Heading3"/>
                          <w:spacing w:before="60" w:after="60"/>
                          <w:ind w:right="-30"/>
                          <w:rPr>
                            <w:rFonts w:ascii="Arial" w:hAnsi="Arial" w:cs="Arial"/>
                            <w:color w:val="FFFFFF"/>
                            <w:sz w:val="18"/>
                            <w:szCs w:val="18"/>
                          </w:rPr>
                        </w:pPr>
                        <w:r w:rsidRPr="00567085">
                          <w:rPr>
                            <w:rFonts w:ascii="Arial" w:hAnsi="Arial" w:cs="Arial"/>
                            <w:color w:val="FFFFFF"/>
                            <w:sz w:val="18"/>
                            <w:szCs w:val="18"/>
                          </w:rPr>
                          <w:t>Primary Assurance Mechanism / Ministerial Exemption</w:t>
                        </w:r>
                      </w:p>
                    </w:tc>
                    <w:tc>
                      <w:tcPr>
                        <w:tcW w:w="2131" w:type="dxa"/>
                        <w:tcBorders>
                          <w:top w:val="single" w:sz="12" w:space="0" w:color="A32020"/>
                          <w:left w:val="nil"/>
                          <w:bottom w:val="single" w:sz="12" w:space="0" w:color="A32020"/>
                          <w:right w:val="single" w:sz="12" w:space="0" w:color="A32020"/>
                        </w:tcBorders>
                        <w:shd w:val="clear" w:color="auto" w:fill="A32020"/>
                      </w:tcPr>
                      <w:p w:rsidR="00B85F4E" w:rsidRPr="00567085" w:rsidRDefault="00D06D68" w:rsidP="007236A4">
                        <w:pPr>
                          <w:pStyle w:val="Heading3"/>
                          <w:spacing w:before="60" w:after="60"/>
                          <w:ind w:right="-30"/>
                          <w:jc w:val="center"/>
                          <w:rPr>
                            <w:rFonts w:ascii="Arial" w:hAnsi="Arial" w:cs="Arial"/>
                            <w:color w:val="FFFFFF"/>
                            <w:sz w:val="18"/>
                            <w:szCs w:val="18"/>
                          </w:rPr>
                        </w:pPr>
                        <w:r w:rsidRPr="00567085">
                          <w:rPr>
                            <w:rFonts w:ascii="Arial" w:hAnsi="Arial" w:cs="Arial"/>
                            <w:color w:val="FFFFFF"/>
                            <w:sz w:val="18"/>
                            <w:szCs w:val="18"/>
                          </w:rPr>
                          <w:t>Additional premium</w:t>
                        </w:r>
                        <w:r w:rsidR="002323E8" w:rsidRPr="00567085">
                          <w:rPr>
                            <w:rFonts w:ascii="Arial" w:hAnsi="Arial" w:cs="Arial"/>
                            <w:color w:val="FFFFFF"/>
                            <w:sz w:val="18"/>
                            <w:szCs w:val="18"/>
                          </w:rPr>
                          <w:t xml:space="preserve"> </w:t>
                        </w:r>
                        <w:r w:rsidR="00B85F4E" w:rsidRPr="00567085">
                          <w:rPr>
                            <w:rFonts w:ascii="Arial" w:hAnsi="Arial" w:cs="Arial"/>
                            <w:color w:val="FFFFFF"/>
                            <w:sz w:val="18"/>
                            <w:szCs w:val="18"/>
                          </w:rPr>
                          <w:t>rate</w:t>
                        </w:r>
                      </w:p>
                    </w:tc>
                  </w:tr>
                  <w:tr w:rsidR="00B85F4E" w:rsidRPr="009742E0" w:rsidTr="00567085">
                    <w:trPr>
                      <w:jc w:val="center"/>
                    </w:trPr>
                    <w:tc>
                      <w:tcPr>
                        <w:tcW w:w="4308" w:type="dxa"/>
                        <w:tcBorders>
                          <w:top w:val="single" w:sz="12" w:space="0" w:color="A32020"/>
                          <w:left w:val="dotted" w:sz="4" w:space="0" w:color="auto"/>
                          <w:bottom w:val="dotted" w:sz="4" w:space="0" w:color="auto"/>
                          <w:right w:val="dotted" w:sz="4" w:space="0" w:color="auto"/>
                        </w:tcBorders>
                        <w:shd w:val="clear" w:color="auto" w:fill="auto"/>
                      </w:tcPr>
                      <w:p w:rsidR="00B85F4E" w:rsidRPr="009742E0" w:rsidRDefault="00B85F4E" w:rsidP="007236A4">
                        <w:pPr>
                          <w:spacing w:before="60" w:after="60"/>
                          <w:ind w:right="-30"/>
                          <w:rPr>
                            <w:rFonts w:ascii="Arial" w:hAnsi="Arial" w:cs="Arial"/>
                            <w:sz w:val="18"/>
                            <w:szCs w:val="18"/>
                          </w:rPr>
                        </w:pPr>
                        <w:r w:rsidRPr="009742E0">
                          <w:rPr>
                            <w:rFonts w:ascii="Arial" w:hAnsi="Arial" w:cs="Arial"/>
                            <w:sz w:val="18"/>
                            <w:szCs w:val="18"/>
                          </w:rPr>
                          <w:t>Tuition Assurance Scheme member</w:t>
                        </w:r>
                        <w:r w:rsidR="009742E0">
                          <w:rPr>
                            <w:rFonts w:ascii="Arial" w:hAnsi="Arial" w:cs="Arial"/>
                            <w:sz w:val="18"/>
                            <w:szCs w:val="18"/>
                          </w:rPr>
                          <w:t xml:space="preserve"> (Base rate)</w:t>
                        </w:r>
                      </w:p>
                    </w:tc>
                    <w:tc>
                      <w:tcPr>
                        <w:tcW w:w="2131" w:type="dxa"/>
                        <w:tcBorders>
                          <w:top w:val="single" w:sz="12" w:space="0" w:color="A32020"/>
                          <w:left w:val="dotted" w:sz="4" w:space="0" w:color="auto"/>
                          <w:bottom w:val="dotted" w:sz="4" w:space="0" w:color="auto"/>
                          <w:right w:val="dotted" w:sz="4" w:space="0" w:color="auto"/>
                        </w:tcBorders>
                        <w:shd w:val="clear" w:color="auto" w:fill="auto"/>
                      </w:tcPr>
                      <w:p w:rsidR="00B85F4E" w:rsidRPr="000A4A42" w:rsidRDefault="00471E49" w:rsidP="00CE1D71">
                        <w:pPr>
                          <w:spacing w:before="60" w:after="60"/>
                          <w:ind w:right="-30"/>
                          <w:jc w:val="center"/>
                          <w:rPr>
                            <w:rFonts w:ascii="Arial" w:hAnsi="Arial" w:cs="Arial"/>
                            <w:sz w:val="18"/>
                            <w:szCs w:val="18"/>
                          </w:rPr>
                        </w:pPr>
                        <w:r w:rsidRPr="000A4A42">
                          <w:rPr>
                            <w:rFonts w:ascii="Arial" w:hAnsi="Arial" w:cs="Arial"/>
                            <w:sz w:val="18"/>
                            <w:szCs w:val="18"/>
                          </w:rPr>
                          <w:t>0.</w:t>
                        </w:r>
                        <w:r w:rsidR="000A4A42" w:rsidRPr="000A4A42">
                          <w:rPr>
                            <w:rFonts w:ascii="Arial" w:hAnsi="Arial" w:cs="Arial"/>
                            <w:sz w:val="18"/>
                            <w:szCs w:val="18"/>
                          </w:rPr>
                          <w:t>2</w:t>
                        </w:r>
                        <w:r w:rsidR="00CE1D71">
                          <w:rPr>
                            <w:rFonts w:ascii="Arial" w:hAnsi="Arial" w:cs="Arial"/>
                            <w:sz w:val="18"/>
                            <w:szCs w:val="18"/>
                          </w:rPr>
                          <w:t>60</w:t>
                        </w:r>
                        <w:r w:rsidR="00B85F4E" w:rsidRPr="000A4A42">
                          <w:rPr>
                            <w:rFonts w:ascii="Arial" w:hAnsi="Arial" w:cs="Arial"/>
                            <w:sz w:val="18"/>
                            <w:szCs w:val="18"/>
                          </w:rPr>
                          <w:t>%</w:t>
                        </w:r>
                      </w:p>
                    </w:tc>
                  </w:tr>
                  <w:tr w:rsidR="00B85F4E" w:rsidRPr="009742E0" w:rsidTr="00567085">
                    <w:trPr>
                      <w:jc w:val="center"/>
                    </w:trPr>
                    <w:tc>
                      <w:tcPr>
                        <w:tcW w:w="4308" w:type="dxa"/>
                        <w:tcBorders>
                          <w:top w:val="dotted" w:sz="4" w:space="0" w:color="auto"/>
                          <w:left w:val="dotted" w:sz="4" w:space="0" w:color="auto"/>
                          <w:bottom w:val="dotted" w:sz="4" w:space="0" w:color="auto"/>
                          <w:right w:val="dotted" w:sz="4" w:space="0" w:color="auto"/>
                        </w:tcBorders>
                        <w:shd w:val="clear" w:color="auto" w:fill="auto"/>
                      </w:tcPr>
                      <w:p w:rsidR="00B85F4E" w:rsidRPr="009742E0" w:rsidRDefault="00B85F4E" w:rsidP="007236A4">
                        <w:pPr>
                          <w:spacing w:before="60" w:after="60"/>
                          <w:ind w:right="-30"/>
                          <w:rPr>
                            <w:rFonts w:ascii="Arial" w:hAnsi="Arial" w:cs="Arial"/>
                            <w:sz w:val="18"/>
                            <w:szCs w:val="18"/>
                          </w:rPr>
                        </w:pPr>
                        <w:r w:rsidRPr="009742E0">
                          <w:rPr>
                            <w:rFonts w:ascii="Arial" w:hAnsi="Arial" w:cs="Arial"/>
                            <w:sz w:val="18"/>
                            <w:szCs w:val="18"/>
                          </w:rPr>
                          <w:t>Indemnity Agreement</w:t>
                        </w:r>
                        <w:r w:rsidR="009742E0">
                          <w:rPr>
                            <w:rFonts w:ascii="Arial" w:hAnsi="Arial" w:cs="Arial"/>
                            <w:sz w:val="18"/>
                            <w:szCs w:val="18"/>
                          </w:rPr>
                          <w:t xml:space="preserve"> (Base rate)</w:t>
                        </w:r>
                      </w:p>
                    </w:tc>
                    <w:tc>
                      <w:tcPr>
                        <w:tcW w:w="2131" w:type="dxa"/>
                        <w:tcBorders>
                          <w:top w:val="dotted" w:sz="4" w:space="0" w:color="auto"/>
                          <w:left w:val="dotted" w:sz="4" w:space="0" w:color="auto"/>
                          <w:bottom w:val="dotted" w:sz="4" w:space="0" w:color="auto"/>
                          <w:right w:val="dotted" w:sz="4" w:space="0" w:color="auto"/>
                        </w:tcBorders>
                        <w:shd w:val="clear" w:color="auto" w:fill="auto"/>
                      </w:tcPr>
                      <w:p w:rsidR="00B85F4E" w:rsidRPr="000A4A42" w:rsidRDefault="00471E49" w:rsidP="00CE1D71">
                        <w:pPr>
                          <w:spacing w:before="60" w:after="60"/>
                          <w:ind w:right="-30"/>
                          <w:jc w:val="center"/>
                          <w:rPr>
                            <w:rFonts w:ascii="Arial" w:hAnsi="Arial" w:cs="Arial"/>
                            <w:sz w:val="18"/>
                            <w:szCs w:val="18"/>
                          </w:rPr>
                        </w:pPr>
                        <w:r w:rsidRPr="000A4A42">
                          <w:rPr>
                            <w:rFonts w:ascii="Arial" w:hAnsi="Arial" w:cs="Arial"/>
                            <w:sz w:val="18"/>
                            <w:szCs w:val="18"/>
                          </w:rPr>
                          <w:t>0.</w:t>
                        </w:r>
                        <w:r w:rsidR="00763651">
                          <w:rPr>
                            <w:rFonts w:ascii="Arial" w:hAnsi="Arial" w:cs="Arial"/>
                            <w:sz w:val="18"/>
                            <w:szCs w:val="18"/>
                          </w:rPr>
                          <w:t>2</w:t>
                        </w:r>
                        <w:r w:rsidR="00CE1D71">
                          <w:rPr>
                            <w:rFonts w:ascii="Arial" w:hAnsi="Arial" w:cs="Arial"/>
                            <w:sz w:val="18"/>
                            <w:szCs w:val="18"/>
                          </w:rPr>
                          <w:t>60</w:t>
                        </w:r>
                        <w:r w:rsidR="00B85F4E" w:rsidRPr="000A4A42">
                          <w:rPr>
                            <w:rFonts w:ascii="Arial" w:hAnsi="Arial" w:cs="Arial"/>
                            <w:sz w:val="18"/>
                            <w:szCs w:val="18"/>
                          </w:rPr>
                          <w:t>%</w:t>
                        </w:r>
                      </w:p>
                    </w:tc>
                  </w:tr>
                  <w:tr w:rsidR="00B85F4E" w:rsidRPr="009742E0" w:rsidTr="00567085">
                    <w:trPr>
                      <w:jc w:val="center"/>
                    </w:trPr>
                    <w:tc>
                      <w:tcPr>
                        <w:tcW w:w="4308" w:type="dxa"/>
                        <w:tcBorders>
                          <w:top w:val="dotted" w:sz="4" w:space="0" w:color="auto"/>
                          <w:left w:val="dotted" w:sz="4" w:space="0" w:color="auto"/>
                          <w:bottom w:val="dotted" w:sz="4" w:space="0" w:color="auto"/>
                          <w:right w:val="dotted" w:sz="4" w:space="0" w:color="auto"/>
                        </w:tcBorders>
                        <w:shd w:val="clear" w:color="auto" w:fill="auto"/>
                      </w:tcPr>
                      <w:p w:rsidR="00B85F4E" w:rsidRPr="009742E0" w:rsidRDefault="00B85F4E" w:rsidP="007236A4">
                        <w:pPr>
                          <w:spacing w:before="60" w:after="60"/>
                          <w:ind w:right="-30"/>
                          <w:rPr>
                            <w:rFonts w:ascii="Arial" w:hAnsi="Arial" w:cs="Arial"/>
                            <w:sz w:val="18"/>
                            <w:szCs w:val="18"/>
                          </w:rPr>
                        </w:pPr>
                        <w:r w:rsidRPr="009742E0">
                          <w:rPr>
                            <w:rFonts w:ascii="Arial" w:hAnsi="Arial" w:cs="Arial"/>
                            <w:sz w:val="18"/>
                            <w:szCs w:val="18"/>
                          </w:rPr>
                          <w:t>Bank Guarantee</w:t>
                        </w:r>
                        <w:r w:rsidR="009742E0">
                          <w:rPr>
                            <w:rFonts w:ascii="Arial" w:hAnsi="Arial" w:cs="Arial"/>
                            <w:sz w:val="18"/>
                            <w:szCs w:val="18"/>
                          </w:rPr>
                          <w:t xml:space="preserve"> (Base rate)</w:t>
                        </w:r>
                      </w:p>
                    </w:tc>
                    <w:tc>
                      <w:tcPr>
                        <w:tcW w:w="2131" w:type="dxa"/>
                        <w:tcBorders>
                          <w:top w:val="dotted" w:sz="4" w:space="0" w:color="auto"/>
                          <w:left w:val="dotted" w:sz="4" w:space="0" w:color="auto"/>
                          <w:bottom w:val="dotted" w:sz="4" w:space="0" w:color="auto"/>
                          <w:right w:val="dotted" w:sz="4" w:space="0" w:color="auto"/>
                        </w:tcBorders>
                        <w:shd w:val="clear" w:color="auto" w:fill="auto"/>
                      </w:tcPr>
                      <w:p w:rsidR="00B85F4E" w:rsidRPr="000A4A42" w:rsidRDefault="00471E49" w:rsidP="007236A4">
                        <w:pPr>
                          <w:spacing w:before="60" w:after="60"/>
                          <w:ind w:right="-30"/>
                          <w:jc w:val="center"/>
                          <w:rPr>
                            <w:rFonts w:ascii="Arial" w:hAnsi="Arial" w:cs="Arial"/>
                            <w:sz w:val="18"/>
                            <w:szCs w:val="18"/>
                          </w:rPr>
                        </w:pPr>
                        <w:r w:rsidRPr="000A4A42">
                          <w:rPr>
                            <w:rFonts w:ascii="Arial" w:hAnsi="Arial" w:cs="Arial"/>
                            <w:sz w:val="18"/>
                            <w:szCs w:val="18"/>
                          </w:rPr>
                          <w:t>0.</w:t>
                        </w:r>
                        <w:r w:rsidR="00CE1D71">
                          <w:rPr>
                            <w:rFonts w:ascii="Arial" w:hAnsi="Arial" w:cs="Arial"/>
                            <w:sz w:val="18"/>
                            <w:szCs w:val="18"/>
                          </w:rPr>
                          <w:t>260</w:t>
                        </w:r>
                        <w:r w:rsidR="00B85F4E" w:rsidRPr="000A4A42">
                          <w:rPr>
                            <w:rFonts w:ascii="Arial" w:hAnsi="Arial" w:cs="Arial"/>
                            <w:sz w:val="18"/>
                            <w:szCs w:val="18"/>
                          </w:rPr>
                          <w:t>%</w:t>
                        </w:r>
                      </w:p>
                    </w:tc>
                  </w:tr>
                  <w:tr w:rsidR="00B85F4E" w:rsidRPr="009742E0" w:rsidTr="00567085">
                    <w:trPr>
                      <w:jc w:val="center"/>
                    </w:trPr>
                    <w:tc>
                      <w:tcPr>
                        <w:tcW w:w="4308" w:type="dxa"/>
                        <w:tcBorders>
                          <w:top w:val="dotted" w:sz="4" w:space="0" w:color="auto"/>
                          <w:left w:val="dotted" w:sz="4" w:space="0" w:color="auto"/>
                          <w:bottom w:val="dotted" w:sz="4" w:space="0" w:color="auto"/>
                          <w:right w:val="dotted" w:sz="4" w:space="0" w:color="auto"/>
                        </w:tcBorders>
                        <w:shd w:val="clear" w:color="auto" w:fill="auto"/>
                      </w:tcPr>
                      <w:p w:rsidR="00B85F4E" w:rsidRPr="009742E0" w:rsidRDefault="00B85F4E" w:rsidP="007236A4">
                        <w:pPr>
                          <w:spacing w:before="60" w:after="60"/>
                          <w:ind w:right="-30"/>
                          <w:rPr>
                            <w:rFonts w:ascii="Arial" w:hAnsi="Arial" w:cs="Arial"/>
                            <w:sz w:val="18"/>
                            <w:szCs w:val="18"/>
                          </w:rPr>
                        </w:pPr>
                        <w:r w:rsidRPr="009742E0">
                          <w:rPr>
                            <w:rFonts w:ascii="Arial" w:hAnsi="Arial" w:cs="Arial"/>
                            <w:sz w:val="18"/>
                            <w:szCs w:val="18"/>
                          </w:rPr>
                          <w:t>Ministerial Exemption</w:t>
                        </w:r>
                        <w:r w:rsidR="009742E0">
                          <w:rPr>
                            <w:rFonts w:ascii="Arial" w:hAnsi="Arial" w:cs="Arial"/>
                            <w:sz w:val="18"/>
                            <w:szCs w:val="18"/>
                          </w:rPr>
                          <w:t xml:space="preserve"> (Uncovered rate)</w:t>
                        </w:r>
                      </w:p>
                    </w:tc>
                    <w:tc>
                      <w:tcPr>
                        <w:tcW w:w="2131" w:type="dxa"/>
                        <w:tcBorders>
                          <w:top w:val="dotted" w:sz="4" w:space="0" w:color="auto"/>
                          <w:left w:val="dotted" w:sz="4" w:space="0" w:color="auto"/>
                          <w:bottom w:val="dotted" w:sz="4" w:space="0" w:color="auto"/>
                          <w:right w:val="dotted" w:sz="4" w:space="0" w:color="auto"/>
                        </w:tcBorders>
                        <w:shd w:val="clear" w:color="auto" w:fill="auto"/>
                      </w:tcPr>
                      <w:p w:rsidR="00B85F4E" w:rsidRPr="000A4A42" w:rsidRDefault="00CE1D71" w:rsidP="007236A4">
                        <w:pPr>
                          <w:spacing w:before="60" w:after="60"/>
                          <w:ind w:right="-30"/>
                          <w:jc w:val="center"/>
                          <w:rPr>
                            <w:rFonts w:ascii="Arial" w:hAnsi="Arial" w:cs="Arial"/>
                            <w:sz w:val="18"/>
                            <w:szCs w:val="18"/>
                          </w:rPr>
                        </w:pPr>
                        <w:r>
                          <w:rPr>
                            <w:rFonts w:ascii="Arial" w:hAnsi="Arial" w:cs="Arial"/>
                            <w:sz w:val="18"/>
                            <w:szCs w:val="18"/>
                          </w:rPr>
                          <w:t>2.60</w:t>
                        </w:r>
                        <w:r w:rsidR="000A4A42" w:rsidRPr="000A4A42">
                          <w:rPr>
                            <w:rFonts w:ascii="Arial" w:hAnsi="Arial" w:cs="Arial"/>
                            <w:sz w:val="18"/>
                            <w:szCs w:val="18"/>
                          </w:rPr>
                          <w:t xml:space="preserve">0 </w:t>
                        </w:r>
                        <w:r w:rsidR="00B85F4E" w:rsidRPr="000A4A42">
                          <w:rPr>
                            <w:rFonts w:ascii="Arial" w:hAnsi="Arial" w:cs="Arial"/>
                            <w:sz w:val="18"/>
                            <w:szCs w:val="18"/>
                          </w:rPr>
                          <w:t>%</w:t>
                        </w:r>
                      </w:p>
                    </w:tc>
                  </w:tr>
                </w:tbl>
                <w:p w:rsidR="00B85F4E" w:rsidRPr="009742E0" w:rsidRDefault="00B85F4E" w:rsidP="007236A4">
                  <w:pPr>
                    <w:ind w:right="-30"/>
                    <w:rPr>
                      <w:rFonts w:ascii="Arial" w:hAnsi="Arial" w:cs="Arial"/>
                      <w:sz w:val="18"/>
                      <w:szCs w:val="18"/>
                    </w:rPr>
                  </w:pPr>
                </w:p>
              </w:tc>
            </w:tr>
          </w:tbl>
          <w:p w:rsidR="00B85F4E" w:rsidRPr="00A76020" w:rsidRDefault="00B85F4E" w:rsidP="00A76020">
            <w:pPr>
              <w:ind w:right="-30"/>
              <w:rPr>
                <w:rFonts w:ascii="Arial" w:hAnsi="Arial" w:cs="Arial"/>
                <w:sz w:val="4"/>
                <w:szCs w:val="4"/>
              </w:rPr>
            </w:pPr>
          </w:p>
          <w:p w:rsidR="00D06D68" w:rsidRPr="00A76020" w:rsidRDefault="00B85F4E" w:rsidP="00A76020">
            <w:pPr>
              <w:pStyle w:val="Title"/>
              <w:ind w:right="-30"/>
              <w:jc w:val="left"/>
              <w:rPr>
                <w:rFonts w:ascii="Arial" w:hAnsi="Arial" w:cs="Arial"/>
                <w:b w:val="0"/>
                <w:i/>
                <w:sz w:val="16"/>
                <w:szCs w:val="16"/>
                <w:u w:val="single"/>
              </w:rPr>
            </w:pPr>
            <w:r w:rsidRPr="00A76020">
              <w:rPr>
                <w:rFonts w:ascii="Arial" w:hAnsi="Arial" w:cs="Arial"/>
                <w:sz w:val="16"/>
                <w:szCs w:val="16"/>
              </w:rPr>
              <w:tab/>
            </w:r>
            <w:r w:rsidR="00D06D68" w:rsidRPr="00A76020">
              <w:rPr>
                <w:rFonts w:ascii="Arial" w:hAnsi="Arial" w:cs="Arial"/>
                <w:sz w:val="16"/>
                <w:szCs w:val="16"/>
              </w:rPr>
              <w:t xml:space="preserve">     </w:t>
            </w:r>
            <w:r w:rsidR="00D06D68" w:rsidRPr="00A76020">
              <w:rPr>
                <w:rFonts w:ascii="Arial" w:hAnsi="Arial" w:cs="Arial"/>
                <w:b w:val="0"/>
                <w:i/>
                <w:sz w:val="16"/>
                <w:szCs w:val="16"/>
              </w:rPr>
              <w:t xml:space="preserve">   </w:t>
            </w:r>
            <w:r w:rsidRPr="00A76020">
              <w:rPr>
                <w:rFonts w:ascii="Arial" w:hAnsi="Arial" w:cs="Arial"/>
                <w:b w:val="0"/>
                <w:i/>
                <w:sz w:val="16"/>
                <w:szCs w:val="16"/>
              </w:rPr>
              <w:sym w:font="Symbol" w:char="F02A"/>
            </w:r>
            <w:r w:rsidRPr="00A76020">
              <w:rPr>
                <w:rFonts w:ascii="Arial" w:hAnsi="Arial" w:cs="Arial"/>
                <w:b w:val="0"/>
                <w:i/>
                <w:sz w:val="16"/>
                <w:szCs w:val="16"/>
              </w:rPr>
              <w:t xml:space="preserve"> The definition of overseas student fee income is per the definition of course money under </w:t>
            </w:r>
            <w:r w:rsidR="00D06D68" w:rsidRPr="00A76020">
              <w:rPr>
                <w:rFonts w:ascii="Arial" w:hAnsi="Arial" w:cs="Arial"/>
                <w:b w:val="0"/>
                <w:i/>
                <w:sz w:val="16"/>
                <w:szCs w:val="16"/>
              </w:rPr>
              <w:t>Section 7 of the ESOS Act.</w:t>
            </w:r>
          </w:p>
          <w:p w:rsidR="00B85F4E" w:rsidRPr="00A76020" w:rsidRDefault="00B85F4E" w:rsidP="00A76020">
            <w:pPr>
              <w:pStyle w:val="Title"/>
              <w:ind w:right="-30"/>
              <w:jc w:val="left"/>
              <w:rPr>
                <w:rFonts w:ascii="Arial" w:hAnsi="Arial" w:cs="Arial"/>
                <w:sz w:val="16"/>
                <w:szCs w:val="16"/>
                <w:u w:val="single"/>
              </w:rPr>
            </w:pPr>
          </w:p>
          <w:p w:rsidR="00B85F4E" w:rsidRPr="00A76020" w:rsidRDefault="00B85F4E" w:rsidP="00A76020">
            <w:pPr>
              <w:pStyle w:val="Title"/>
              <w:ind w:left="252" w:right="252"/>
              <w:jc w:val="left"/>
              <w:rPr>
                <w:rFonts w:ascii="Arial" w:hAnsi="Arial" w:cs="Arial"/>
                <w:b w:val="0"/>
                <w:sz w:val="18"/>
                <w:szCs w:val="18"/>
              </w:rPr>
            </w:pPr>
            <w:r w:rsidRPr="00A76020">
              <w:rPr>
                <w:rFonts w:ascii="Arial" w:hAnsi="Arial" w:cs="Arial"/>
                <w:b w:val="0"/>
                <w:sz w:val="18"/>
                <w:szCs w:val="18"/>
              </w:rPr>
              <w:t>Each provider’s contribution will be assessed based on their</w:t>
            </w:r>
            <w:r w:rsidRPr="00A76020">
              <w:rPr>
                <w:rFonts w:ascii="Arial" w:hAnsi="Arial" w:cs="Arial"/>
                <w:sz w:val="18"/>
                <w:szCs w:val="18"/>
              </w:rPr>
              <w:t xml:space="preserve"> estimated overseas student fee income</w:t>
            </w:r>
            <w:r w:rsidRPr="00A76020">
              <w:rPr>
                <w:rFonts w:ascii="Arial" w:hAnsi="Arial" w:cs="Arial"/>
                <w:b w:val="0"/>
                <w:sz w:val="18"/>
                <w:szCs w:val="18"/>
              </w:rPr>
              <w:t xml:space="preserve"> for the period </w:t>
            </w:r>
            <w:r w:rsidRPr="00A76020">
              <w:rPr>
                <w:rFonts w:ascii="Arial" w:hAnsi="Arial" w:cs="Arial"/>
                <w:sz w:val="18"/>
                <w:szCs w:val="18"/>
              </w:rPr>
              <w:t xml:space="preserve">1 January </w:t>
            </w:r>
            <w:r w:rsidR="00763651" w:rsidRPr="00A76020">
              <w:rPr>
                <w:rFonts w:ascii="Arial" w:hAnsi="Arial" w:cs="Arial"/>
                <w:sz w:val="18"/>
                <w:szCs w:val="18"/>
              </w:rPr>
              <w:t>2011</w:t>
            </w:r>
            <w:r w:rsidRPr="00A76020">
              <w:rPr>
                <w:rFonts w:ascii="Arial" w:hAnsi="Arial" w:cs="Arial"/>
                <w:sz w:val="18"/>
                <w:szCs w:val="18"/>
              </w:rPr>
              <w:t xml:space="preserve"> to 31 December </w:t>
            </w:r>
            <w:r w:rsidR="002323E8" w:rsidRPr="00A76020">
              <w:rPr>
                <w:rFonts w:ascii="Arial" w:hAnsi="Arial" w:cs="Arial"/>
                <w:sz w:val="18"/>
                <w:szCs w:val="18"/>
              </w:rPr>
              <w:t>201</w:t>
            </w:r>
            <w:r w:rsidR="00763651" w:rsidRPr="00A76020">
              <w:rPr>
                <w:rFonts w:ascii="Arial" w:hAnsi="Arial" w:cs="Arial"/>
                <w:sz w:val="18"/>
                <w:szCs w:val="18"/>
              </w:rPr>
              <w:t>1</w:t>
            </w:r>
            <w:r w:rsidRPr="00A76020">
              <w:rPr>
                <w:rFonts w:ascii="Arial" w:hAnsi="Arial" w:cs="Arial"/>
                <w:b w:val="0"/>
                <w:sz w:val="18"/>
                <w:szCs w:val="18"/>
              </w:rPr>
              <w:t xml:space="preserve">. For those providers who were liable to the ESOS Assurance Fund (the Fund) in the previous year, their </w:t>
            </w:r>
            <w:r w:rsidR="00763651" w:rsidRPr="00A76020">
              <w:rPr>
                <w:rFonts w:ascii="Arial" w:hAnsi="Arial" w:cs="Arial"/>
                <w:b w:val="0"/>
                <w:sz w:val="18"/>
                <w:szCs w:val="18"/>
              </w:rPr>
              <w:t>2011</w:t>
            </w:r>
            <w:r w:rsidRPr="00A76020">
              <w:rPr>
                <w:rFonts w:ascii="Arial" w:hAnsi="Arial" w:cs="Arial"/>
                <w:b w:val="0"/>
                <w:sz w:val="18"/>
                <w:szCs w:val="18"/>
              </w:rPr>
              <w:t xml:space="preserve"> contribution will also include an </w:t>
            </w:r>
            <w:r w:rsidRPr="00A76020">
              <w:rPr>
                <w:rFonts w:ascii="Arial" w:hAnsi="Arial" w:cs="Arial"/>
                <w:sz w:val="18"/>
                <w:szCs w:val="18"/>
              </w:rPr>
              <w:t>adjustment for any variances between their estimated and actual overseas</w:t>
            </w:r>
            <w:r w:rsidRPr="00A76020">
              <w:rPr>
                <w:rFonts w:ascii="Arial" w:hAnsi="Arial" w:cs="Arial"/>
                <w:b w:val="0"/>
                <w:sz w:val="18"/>
                <w:szCs w:val="18"/>
              </w:rPr>
              <w:t xml:space="preserve"> student fee income for the period </w:t>
            </w:r>
            <w:r w:rsidR="00763651" w:rsidRPr="00A76020">
              <w:rPr>
                <w:rFonts w:ascii="Arial" w:hAnsi="Arial" w:cs="Arial"/>
                <w:sz w:val="18"/>
                <w:szCs w:val="18"/>
              </w:rPr>
              <w:t>1 January 2010</w:t>
            </w:r>
            <w:r w:rsidRPr="00A76020">
              <w:rPr>
                <w:rFonts w:ascii="Arial" w:hAnsi="Arial" w:cs="Arial"/>
                <w:sz w:val="18"/>
                <w:szCs w:val="18"/>
              </w:rPr>
              <w:t xml:space="preserve"> to 31 December 20</w:t>
            </w:r>
            <w:r w:rsidR="00763651" w:rsidRPr="00A76020">
              <w:rPr>
                <w:rFonts w:ascii="Arial" w:hAnsi="Arial" w:cs="Arial"/>
                <w:sz w:val="18"/>
                <w:szCs w:val="18"/>
              </w:rPr>
              <w:t>10</w:t>
            </w:r>
            <w:r w:rsidRPr="00A76020">
              <w:rPr>
                <w:rFonts w:ascii="Arial" w:hAnsi="Arial" w:cs="Arial"/>
                <w:b w:val="0"/>
                <w:sz w:val="18"/>
                <w:szCs w:val="18"/>
              </w:rPr>
              <w:t>.</w:t>
            </w:r>
          </w:p>
          <w:p w:rsidR="00B85F4E" w:rsidRPr="00A76020" w:rsidRDefault="00B85F4E" w:rsidP="00A76020">
            <w:pPr>
              <w:pStyle w:val="Title"/>
              <w:ind w:right="-30"/>
              <w:jc w:val="left"/>
              <w:rPr>
                <w:rFonts w:ascii="Arial" w:hAnsi="Arial" w:cs="Arial"/>
                <w:b w:val="0"/>
                <w:sz w:val="12"/>
                <w:szCs w:val="12"/>
                <w:u w:val="single"/>
              </w:rPr>
            </w:pPr>
          </w:p>
          <w:p w:rsidR="00B85F4E" w:rsidRPr="00A76020" w:rsidRDefault="00B85F4E" w:rsidP="00A76020">
            <w:pPr>
              <w:pStyle w:val="Title"/>
              <w:ind w:right="-30"/>
              <w:rPr>
                <w:rFonts w:ascii="Arial" w:hAnsi="Arial" w:cs="Arial"/>
                <w:sz w:val="4"/>
                <w:szCs w:val="4"/>
                <w:u w:val="single"/>
              </w:rPr>
            </w:pPr>
          </w:p>
        </w:tc>
      </w:tr>
      <w:tr w:rsidR="00B85F4E" w:rsidRPr="00A76020" w:rsidTr="00567085">
        <w:tc>
          <w:tcPr>
            <w:tcW w:w="10620" w:type="dxa"/>
          </w:tcPr>
          <w:p w:rsidR="00B85F4E" w:rsidRPr="00A76020" w:rsidRDefault="00B85F4E" w:rsidP="00A76020">
            <w:pPr>
              <w:pStyle w:val="Title"/>
              <w:ind w:right="-30"/>
              <w:jc w:val="left"/>
              <w:rPr>
                <w:rFonts w:ascii="Arial" w:hAnsi="Arial" w:cs="Arial"/>
                <w:sz w:val="4"/>
                <w:szCs w:val="4"/>
                <w:u w:val="single"/>
              </w:rPr>
            </w:pPr>
          </w:p>
          <w:p w:rsidR="00B85F4E" w:rsidRPr="00567085" w:rsidRDefault="00B85F4E" w:rsidP="00A76020">
            <w:pPr>
              <w:pStyle w:val="Title"/>
              <w:ind w:right="-30"/>
              <w:jc w:val="left"/>
              <w:rPr>
                <w:rFonts w:ascii="Arial" w:hAnsi="Arial" w:cs="Arial"/>
                <w:color w:val="602320"/>
                <w:sz w:val="20"/>
                <w:szCs w:val="20"/>
                <w:u w:val="single"/>
              </w:rPr>
            </w:pPr>
            <w:r w:rsidRPr="00567085">
              <w:rPr>
                <w:rFonts w:ascii="Arial" w:hAnsi="Arial" w:cs="Arial"/>
                <w:color w:val="602320"/>
                <w:sz w:val="20"/>
                <w:szCs w:val="20"/>
                <w:u w:val="single"/>
              </w:rPr>
              <w:t>Non-submission of required information</w:t>
            </w:r>
          </w:p>
          <w:p w:rsidR="00B85F4E" w:rsidRPr="00A76020" w:rsidRDefault="00B85F4E" w:rsidP="00A76020">
            <w:pPr>
              <w:pStyle w:val="Title"/>
              <w:ind w:right="-30"/>
              <w:jc w:val="left"/>
              <w:rPr>
                <w:rFonts w:ascii="Arial" w:hAnsi="Arial" w:cs="Arial"/>
                <w:sz w:val="4"/>
                <w:szCs w:val="4"/>
                <w:u w:val="single"/>
              </w:rPr>
            </w:pPr>
          </w:p>
          <w:p w:rsidR="00B85F4E" w:rsidRPr="00A76020" w:rsidRDefault="00B85F4E" w:rsidP="00A76020">
            <w:pPr>
              <w:ind w:left="360" w:right="-30"/>
              <w:rPr>
                <w:rFonts w:ascii="Arial" w:hAnsi="Arial" w:cs="Arial"/>
                <w:sz w:val="18"/>
                <w:szCs w:val="18"/>
              </w:rPr>
            </w:pPr>
            <w:r w:rsidRPr="00A76020">
              <w:rPr>
                <w:rFonts w:ascii="Arial" w:hAnsi="Arial" w:cs="Arial"/>
                <w:sz w:val="18"/>
                <w:szCs w:val="18"/>
              </w:rPr>
              <w:t>Non-submission of the requested information in the timeframe specified by the Fund Manager will result in a contribution notice with the following components being issued:</w:t>
            </w:r>
          </w:p>
          <w:p w:rsidR="00B85F4E" w:rsidRPr="00A76020" w:rsidRDefault="00B85F4E" w:rsidP="00A76020">
            <w:pPr>
              <w:ind w:right="-30"/>
              <w:rPr>
                <w:rFonts w:ascii="Arial" w:hAnsi="Arial" w:cs="Arial"/>
                <w:sz w:val="12"/>
                <w:szCs w:val="12"/>
              </w:rPr>
            </w:pPr>
          </w:p>
          <w:tbl>
            <w:tblPr>
              <w:tblW w:w="0" w:type="auto"/>
              <w:jc w:val="center"/>
              <w:tblBorders>
                <w:top w:val="single" w:sz="12" w:space="0" w:color="A32020"/>
                <w:left w:val="single" w:sz="12" w:space="0" w:color="A32020"/>
                <w:bottom w:val="single" w:sz="12" w:space="0" w:color="A32020"/>
                <w:right w:val="single" w:sz="12" w:space="0" w:color="A32020"/>
                <w:insideH w:val="single" w:sz="12" w:space="0" w:color="A32020"/>
                <w:insideV w:val="single" w:sz="12" w:space="0" w:color="A32020"/>
              </w:tblBorders>
              <w:tblLook w:val="0000"/>
            </w:tblPr>
            <w:tblGrid>
              <w:gridCol w:w="2049"/>
              <w:gridCol w:w="7055"/>
            </w:tblGrid>
            <w:tr w:rsidR="00B85F4E" w:rsidRPr="00395F04" w:rsidTr="00567085">
              <w:trPr>
                <w:jc w:val="center"/>
              </w:trPr>
              <w:tc>
                <w:tcPr>
                  <w:tcW w:w="2049" w:type="dxa"/>
                  <w:shd w:val="clear" w:color="auto" w:fill="A32020"/>
                </w:tcPr>
                <w:p w:rsidR="00B85F4E" w:rsidRPr="00567085" w:rsidRDefault="00B85F4E" w:rsidP="007236A4">
                  <w:pPr>
                    <w:spacing w:before="60" w:after="60"/>
                    <w:ind w:right="-30"/>
                    <w:rPr>
                      <w:rFonts w:ascii="Arial" w:hAnsi="Arial" w:cs="Arial"/>
                      <w:color w:val="FFFFFF"/>
                      <w:sz w:val="20"/>
                      <w:szCs w:val="20"/>
                    </w:rPr>
                  </w:pPr>
                  <w:r w:rsidRPr="00567085">
                    <w:rPr>
                      <w:rFonts w:ascii="Arial" w:hAnsi="Arial" w:cs="Arial"/>
                      <w:color w:val="FFFFFF"/>
                      <w:sz w:val="20"/>
                      <w:szCs w:val="20"/>
                    </w:rPr>
                    <w:t>Components of the Criteria:</w:t>
                  </w:r>
                </w:p>
              </w:tc>
              <w:tc>
                <w:tcPr>
                  <w:tcW w:w="7055" w:type="dxa"/>
                </w:tcPr>
                <w:p w:rsidR="00B85F4E" w:rsidRDefault="00B85F4E" w:rsidP="009742E0">
                  <w:pPr>
                    <w:numPr>
                      <w:ilvl w:val="0"/>
                      <w:numId w:val="12"/>
                    </w:numPr>
                    <w:spacing w:before="120"/>
                    <w:ind w:left="357" w:right="-28" w:hanging="357"/>
                    <w:rPr>
                      <w:rFonts w:ascii="Arial" w:hAnsi="Arial" w:cs="Arial"/>
                      <w:b/>
                      <w:i/>
                      <w:sz w:val="20"/>
                      <w:szCs w:val="20"/>
                    </w:rPr>
                  </w:pPr>
                  <w:r w:rsidRPr="00D75500">
                    <w:rPr>
                      <w:rFonts w:ascii="Arial" w:hAnsi="Arial" w:cs="Arial"/>
                      <w:b/>
                      <w:sz w:val="20"/>
                      <w:szCs w:val="20"/>
                    </w:rPr>
                    <w:t xml:space="preserve">Base Premium - </w:t>
                  </w:r>
                  <w:r w:rsidR="002323E8">
                    <w:rPr>
                      <w:rFonts w:ascii="Arial" w:hAnsi="Arial" w:cs="Arial"/>
                      <w:b/>
                      <w:i/>
                      <w:sz w:val="20"/>
                      <w:szCs w:val="20"/>
                    </w:rPr>
                    <w:t>$</w:t>
                  </w:r>
                  <w:r w:rsidR="00763651">
                    <w:rPr>
                      <w:rFonts w:ascii="Arial" w:hAnsi="Arial" w:cs="Arial"/>
                      <w:b/>
                      <w:i/>
                      <w:sz w:val="20"/>
                      <w:szCs w:val="20"/>
                    </w:rPr>
                    <w:t>6</w:t>
                  </w:r>
                  <w:r w:rsidR="002323E8">
                    <w:rPr>
                      <w:rFonts w:ascii="Arial" w:hAnsi="Arial" w:cs="Arial"/>
                      <w:b/>
                      <w:i/>
                      <w:sz w:val="20"/>
                      <w:szCs w:val="20"/>
                    </w:rPr>
                    <w:t>50</w:t>
                  </w:r>
                </w:p>
                <w:p w:rsidR="00A35298" w:rsidRPr="00A35298" w:rsidRDefault="00A35298" w:rsidP="00A35298">
                  <w:pPr>
                    <w:ind w:right="-28"/>
                    <w:rPr>
                      <w:rFonts w:ascii="Arial" w:hAnsi="Arial" w:cs="Arial"/>
                      <w:b/>
                      <w:i/>
                      <w:sz w:val="12"/>
                      <w:szCs w:val="12"/>
                    </w:rPr>
                  </w:pPr>
                </w:p>
                <w:p w:rsidR="00B85F4E" w:rsidRDefault="00B85F4E" w:rsidP="007236A4">
                  <w:pPr>
                    <w:numPr>
                      <w:ilvl w:val="0"/>
                      <w:numId w:val="12"/>
                    </w:numPr>
                    <w:ind w:right="-30"/>
                    <w:rPr>
                      <w:rFonts w:ascii="Arial" w:hAnsi="Arial" w:cs="Arial"/>
                      <w:b/>
                      <w:i/>
                      <w:sz w:val="20"/>
                      <w:szCs w:val="20"/>
                    </w:rPr>
                  </w:pPr>
                  <w:r>
                    <w:rPr>
                      <w:rFonts w:ascii="Arial" w:hAnsi="Arial" w:cs="Arial"/>
                      <w:b/>
                      <w:sz w:val="20"/>
                      <w:szCs w:val="20"/>
                    </w:rPr>
                    <w:t>Non-refundable Administration Fee -</w:t>
                  </w:r>
                  <w:r>
                    <w:rPr>
                      <w:rFonts w:ascii="Arial" w:hAnsi="Arial" w:cs="Arial"/>
                      <w:b/>
                      <w:i/>
                      <w:sz w:val="20"/>
                      <w:szCs w:val="20"/>
                    </w:rPr>
                    <w:t xml:space="preserve"> </w:t>
                  </w:r>
                  <w:r w:rsidR="00763651">
                    <w:rPr>
                      <w:rFonts w:ascii="Arial" w:hAnsi="Arial" w:cs="Arial"/>
                      <w:b/>
                      <w:i/>
                      <w:sz w:val="20"/>
                      <w:szCs w:val="20"/>
                    </w:rPr>
                    <w:t>$37</w:t>
                  </w:r>
                  <w:r w:rsidR="002323E8">
                    <w:rPr>
                      <w:rFonts w:ascii="Arial" w:hAnsi="Arial" w:cs="Arial"/>
                      <w:b/>
                      <w:i/>
                      <w:sz w:val="20"/>
                      <w:szCs w:val="20"/>
                    </w:rPr>
                    <w:t>0</w:t>
                  </w:r>
                </w:p>
                <w:p w:rsidR="00A35298" w:rsidRPr="00A35298" w:rsidRDefault="00A35298" w:rsidP="00A35298">
                  <w:pPr>
                    <w:ind w:right="-28"/>
                    <w:rPr>
                      <w:rFonts w:ascii="Arial" w:hAnsi="Arial" w:cs="Arial"/>
                      <w:b/>
                      <w:i/>
                      <w:sz w:val="12"/>
                      <w:szCs w:val="12"/>
                    </w:rPr>
                  </w:pPr>
                </w:p>
                <w:p w:rsidR="00B85F4E" w:rsidRPr="00CB6DDA" w:rsidRDefault="00B85F4E" w:rsidP="009742E0">
                  <w:pPr>
                    <w:numPr>
                      <w:ilvl w:val="0"/>
                      <w:numId w:val="12"/>
                    </w:numPr>
                    <w:spacing w:after="120"/>
                    <w:ind w:left="2472" w:right="-28" w:hanging="2472"/>
                    <w:rPr>
                      <w:rFonts w:ascii="Arial" w:hAnsi="Arial" w:cs="Arial"/>
                      <w:b/>
                      <w:i/>
                      <w:sz w:val="20"/>
                      <w:szCs w:val="20"/>
                    </w:rPr>
                  </w:pPr>
                  <w:r w:rsidRPr="00395F04">
                    <w:rPr>
                      <w:rFonts w:ascii="Arial" w:hAnsi="Arial" w:cs="Arial"/>
                      <w:b/>
                      <w:sz w:val="20"/>
                      <w:szCs w:val="20"/>
                    </w:rPr>
                    <w:t>Additional Premium</w:t>
                  </w:r>
                  <w:r w:rsidRPr="00395F04">
                    <w:rPr>
                      <w:rFonts w:ascii="Arial" w:hAnsi="Arial" w:cs="Arial"/>
                      <w:sz w:val="20"/>
                      <w:szCs w:val="20"/>
                    </w:rPr>
                    <w:t xml:space="preserve"> </w:t>
                  </w:r>
                </w:p>
                <w:p w:rsidR="00B85F4E" w:rsidRPr="00D75500" w:rsidRDefault="00B85F4E" w:rsidP="007236A4">
                  <w:pPr>
                    <w:ind w:right="-30"/>
                    <w:rPr>
                      <w:rFonts w:ascii="Arial" w:hAnsi="Arial" w:cs="Arial"/>
                      <w:b/>
                      <w:i/>
                      <w:sz w:val="4"/>
                      <w:szCs w:val="4"/>
                    </w:rPr>
                  </w:pPr>
                </w:p>
                <w:tbl>
                  <w:tblPr>
                    <w:tblW w:w="6336"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
                    <w:gridCol w:w="5305"/>
                  </w:tblGrid>
                  <w:tr w:rsidR="00B85F4E" w:rsidRPr="00567085" w:rsidTr="00567085">
                    <w:trPr>
                      <w:jc w:val="center"/>
                    </w:trPr>
                    <w:tc>
                      <w:tcPr>
                        <w:tcW w:w="1031" w:type="dxa"/>
                        <w:tcBorders>
                          <w:top w:val="nil"/>
                          <w:left w:val="nil"/>
                          <w:bottom w:val="single" w:sz="12" w:space="0" w:color="A32020"/>
                          <w:right w:val="dotted" w:sz="4" w:space="0" w:color="auto"/>
                        </w:tcBorders>
                        <w:shd w:val="clear" w:color="auto" w:fill="A32020"/>
                      </w:tcPr>
                      <w:p w:rsidR="00B85F4E" w:rsidRPr="00567085" w:rsidRDefault="00B85F4E" w:rsidP="007236A4">
                        <w:pPr>
                          <w:pStyle w:val="Heading3"/>
                          <w:spacing w:before="60" w:after="60"/>
                          <w:ind w:right="-30"/>
                          <w:rPr>
                            <w:rFonts w:ascii="Arial" w:hAnsi="Arial" w:cs="Arial"/>
                            <w:color w:val="FFFFFF"/>
                            <w:sz w:val="16"/>
                            <w:szCs w:val="16"/>
                          </w:rPr>
                        </w:pPr>
                      </w:p>
                    </w:tc>
                    <w:tc>
                      <w:tcPr>
                        <w:tcW w:w="5305" w:type="dxa"/>
                        <w:tcBorders>
                          <w:top w:val="nil"/>
                          <w:left w:val="dotted" w:sz="4" w:space="0" w:color="auto"/>
                          <w:bottom w:val="single" w:sz="12" w:space="0" w:color="A32020"/>
                          <w:right w:val="nil"/>
                        </w:tcBorders>
                        <w:shd w:val="clear" w:color="auto" w:fill="A32020"/>
                      </w:tcPr>
                      <w:p w:rsidR="00B85F4E" w:rsidRPr="00567085" w:rsidRDefault="00B85F4E" w:rsidP="007236A4">
                        <w:pPr>
                          <w:pStyle w:val="Heading3"/>
                          <w:spacing w:before="60" w:after="60"/>
                          <w:ind w:right="-30"/>
                          <w:jc w:val="center"/>
                          <w:rPr>
                            <w:rFonts w:ascii="Arial" w:hAnsi="Arial" w:cs="Arial"/>
                            <w:color w:val="FFFFFF"/>
                            <w:sz w:val="16"/>
                            <w:szCs w:val="16"/>
                          </w:rPr>
                        </w:pPr>
                        <w:r w:rsidRPr="00567085">
                          <w:rPr>
                            <w:rFonts w:ascii="Arial" w:hAnsi="Arial" w:cs="Arial"/>
                            <w:color w:val="FFFFFF"/>
                            <w:sz w:val="16"/>
                            <w:szCs w:val="16"/>
                          </w:rPr>
                          <w:t>Additional premium calculation</w:t>
                        </w:r>
                      </w:p>
                    </w:tc>
                  </w:tr>
                  <w:tr w:rsidR="00B85F4E" w:rsidRPr="00272E51" w:rsidTr="00567085">
                    <w:trPr>
                      <w:jc w:val="center"/>
                    </w:trPr>
                    <w:tc>
                      <w:tcPr>
                        <w:tcW w:w="1031" w:type="dxa"/>
                        <w:tcBorders>
                          <w:top w:val="single" w:sz="12" w:space="0" w:color="A32020"/>
                          <w:left w:val="dotted" w:sz="4" w:space="0" w:color="auto"/>
                          <w:bottom w:val="dotted" w:sz="4" w:space="0" w:color="auto"/>
                          <w:right w:val="dotted" w:sz="4" w:space="0" w:color="auto"/>
                        </w:tcBorders>
                      </w:tcPr>
                      <w:p w:rsidR="00B85F4E" w:rsidRPr="00272E51" w:rsidRDefault="00B85F4E" w:rsidP="007236A4">
                        <w:pPr>
                          <w:spacing w:before="60" w:after="60"/>
                          <w:ind w:right="-30"/>
                          <w:rPr>
                            <w:rFonts w:ascii="Arial" w:hAnsi="Arial" w:cs="Arial"/>
                            <w:sz w:val="16"/>
                            <w:szCs w:val="16"/>
                          </w:rPr>
                        </w:pPr>
                        <w:r>
                          <w:rPr>
                            <w:rFonts w:ascii="Arial" w:hAnsi="Arial" w:cs="Arial"/>
                            <w:sz w:val="16"/>
                            <w:szCs w:val="16"/>
                          </w:rPr>
                          <w:t>Non – responsive in 1 year</w:t>
                        </w:r>
                      </w:p>
                    </w:tc>
                    <w:tc>
                      <w:tcPr>
                        <w:tcW w:w="5305" w:type="dxa"/>
                        <w:tcBorders>
                          <w:top w:val="single" w:sz="12" w:space="0" w:color="A32020"/>
                          <w:left w:val="dotted" w:sz="4" w:space="0" w:color="auto"/>
                          <w:bottom w:val="dotted" w:sz="4" w:space="0" w:color="auto"/>
                          <w:right w:val="dotted" w:sz="4" w:space="0" w:color="auto"/>
                        </w:tcBorders>
                      </w:tcPr>
                      <w:p w:rsidR="00B85F4E" w:rsidRPr="00CB6DDA" w:rsidRDefault="00B85F4E" w:rsidP="007236A4">
                        <w:pPr>
                          <w:ind w:right="-30"/>
                          <w:rPr>
                            <w:rFonts w:ascii="Arial" w:hAnsi="Arial" w:cs="Arial"/>
                            <w:sz w:val="16"/>
                            <w:szCs w:val="16"/>
                          </w:rPr>
                        </w:pPr>
                        <w:r>
                          <w:rPr>
                            <w:rFonts w:ascii="Arial" w:hAnsi="Arial" w:cs="Arial"/>
                            <w:sz w:val="16"/>
                            <w:szCs w:val="16"/>
                          </w:rPr>
                          <w:t>T</w:t>
                        </w:r>
                        <w:r w:rsidRPr="00CB6DDA">
                          <w:rPr>
                            <w:rFonts w:ascii="Arial" w:hAnsi="Arial" w:cs="Arial"/>
                            <w:sz w:val="16"/>
                            <w:szCs w:val="16"/>
                          </w:rPr>
                          <w:t>he greater of either:</w:t>
                        </w:r>
                      </w:p>
                      <w:p w:rsidR="00B85F4E" w:rsidRDefault="00B85F4E" w:rsidP="007236A4">
                        <w:pPr>
                          <w:numPr>
                            <w:ilvl w:val="1"/>
                            <w:numId w:val="5"/>
                          </w:numPr>
                          <w:tabs>
                            <w:tab w:val="clear" w:pos="1440"/>
                            <w:tab w:val="num" w:pos="252"/>
                          </w:tabs>
                          <w:ind w:left="252" w:right="-30" w:hanging="252"/>
                          <w:rPr>
                            <w:rFonts w:ascii="Arial" w:hAnsi="Arial" w:cs="Arial"/>
                            <w:sz w:val="16"/>
                            <w:szCs w:val="16"/>
                          </w:rPr>
                        </w:pPr>
                        <w:r>
                          <w:rPr>
                            <w:rFonts w:ascii="Arial" w:hAnsi="Arial" w:cs="Arial"/>
                            <w:sz w:val="16"/>
                            <w:szCs w:val="16"/>
                          </w:rPr>
                          <w:t xml:space="preserve">the provider’s </w:t>
                        </w:r>
                        <w:r w:rsidR="00763651">
                          <w:rPr>
                            <w:rFonts w:ascii="Arial" w:hAnsi="Arial" w:cs="Arial"/>
                            <w:sz w:val="16"/>
                            <w:szCs w:val="16"/>
                          </w:rPr>
                          <w:t>2010</w:t>
                        </w:r>
                        <w:r w:rsidRPr="00CB6DDA">
                          <w:rPr>
                            <w:rFonts w:ascii="Arial" w:hAnsi="Arial" w:cs="Arial"/>
                            <w:sz w:val="16"/>
                            <w:szCs w:val="16"/>
                          </w:rPr>
                          <w:t xml:space="preserve"> estimated overseas student fee income increased by a </w:t>
                        </w:r>
                        <w:r w:rsidRPr="00CB6DDA">
                          <w:rPr>
                            <w:rFonts w:ascii="Arial" w:hAnsi="Arial" w:cs="Arial"/>
                            <w:b/>
                            <w:sz w:val="16"/>
                            <w:szCs w:val="16"/>
                          </w:rPr>
                          <w:t>20% uplift factor</w:t>
                        </w:r>
                        <w:r w:rsidRPr="00CB6DDA">
                          <w:rPr>
                            <w:rFonts w:ascii="Arial" w:hAnsi="Arial" w:cs="Arial"/>
                            <w:sz w:val="16"/>
                            <w:szCs w:val="16"/>
                          </w:rPr>
                          <w:t>, multiplied by the applicable Additional Premium rate, or</w:t>
                        </w:r>
                      </w:p>
                      <w:p w:rsidR="00B85F4E" w:rsidRPr="00272E51" w:rsidRDefault="00B85F4E" w:rsidP="00763651">
                        <w:pPr>
                          <w:numPr>
                            <w:ilvl w:val="1"/>
                            <w:numId w:val="5"/>
                          </w:numPr>
                          <w:tabs>
                            <w:tab w:val="clear" w:pos="1440"/>
                            <w:tab w:val="num" w:pos="252"/>
                          </w:tabs>
                          <w:ind w:left="252" w:right="-30" w:hanging="252"/>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provider’s </w:t>
                        </w:r>
                        <w:r w:rsidR="002323E8">
                          <w:rPr>
                            <w:rFonts w:ascii="Arial" w:hAnsi="Arial" w:cs="Arial"/>
                            <w:sz w:val="16"/>
                            <w:szCs w:val="16"/>
                          </w:rPr>
                          <w:t>20</w:t>
                        </w:r>
                        <w:r w:rsidR="00763651">
                          <w:rPr>
                            <w:rFonts w:ascii="Arial" w:hAnsi="Arial" w:cs="Arial"/>
                            <w:sz w:val="16"/>
                            <w:szCs w:val="16"/>
                          </w:rPr>
                          <w:t>10</w:t>
                        </w:r>
                        <w:r w:rsidRPr="00CB6DDA">
                          <w:rPr>
                            <w:rFonts w:ascii="Arial" w:hAnsi="Arial" w:cs="Arial"/>
                            <w:sz w:val="16"/>
                            <w:szCs w:val="16"/>
                          </w:rPr>
                          <w:t xml:space="preserve"> estimated overseas student fee income multiplied by the applicable Additional Premium rate plus a </w:t>
                        </w:r>
                        <w:r w:rsidR="00763651">
                          <w:rPr>
                            <w:rFonts w:ascii="Arial" w:hAnsi="Arial" w:cs="Arial"/>
                            <w:b/>
                            <w:sz w:val="16"/>
                            <w:szCs w:val="16"/>
                          </w:rPr>
                          <w:t>$255</w:t>
                        </w:r>
                        <w:r w:rsidRPr="00CB6DDA">
                          <w:rPr>
                            <w:rFonts w:ascii="Arial" w:hAnsi="Arial" w:cs="Arial"/>
                            <w:b/>
                            <w:sz w:val="16"/>
                            <w:szCs w:val="16"/>
                          </w:rPr>
                          <w:t xml:space="preserve"> surcharge</w:t>
                        </w:r>
                        <w:r w:rsidRPr="00CB6DDA">
                          <w:rPr>
                            <w:rFonts w:ascii="Arial" w:hAnsi="Arial" w:cs="Arial"/>
                            <w:sz w:val="16"/>
                            <w:szCs w:val="16"/>
                          </w:rPr>
                          <w:t>.</w:t>
                        </w:r>
                      </w:p>
                    </w:tc>
                  </w:tr>
                  <w:tr w:rsidR="00B85F4E" w:rsidRPr="00272E51" w:rsidTr="001E1F58">
                    <w:trPr>
                      <w:jc w:val="center"/>
                    </w:trPr>
                    <w:tc>
                      <w:tcPr>
                        <w:tcW w:w="1031" w:type="dxa"/>
                        <w:tcBorders>
                          <w:top w:val="dotted" w:sz="4" w:space="0" w:color="auto"/>
                          <w:left w:val="dotted" w:sz="4" w:space="0" w:color="auto"/>
                          <w:bottom w:val="dotted" w:sz="4" w:space="0" w:color="auto"/>
                          <w:right w:val="dotted" w:sz="4" w:space="0" w:color="auto"/>
                        </w:tcBorders>
                      </w:tcPr>
                      <w:p w:rsidR="00B85F4E" w:rsidRPr="00272E51" w:rsidRDefault="00B85F4E" w:rsidP="007236A4">
                        <w:pPr>
                          <w:spacing w:before="60" w:after="60"/>
                          <w:ind w:right="-30"/>
                          <w:rPr>
                            <w:rFonts w:ascii="Arial" w:hAnsi="Arial" w:cs="Arial"/>
                            <w:sz w:val="16"/>
                            <w:szCs w:val="16"/>
                          </w:rPr>
                        </w:pPr>
                        <w:r>
                          <w:rPr>
                            <w:rFonts w:ascii="Arial" w:hAnsi="Arial" w:cs="Arial"/>
                            <w:sz w:val="16"/>
                            <w:szCs w:val="16"/>
                          </w:rPr>
                          <w:t>Non- responsive in 2 or more consecutive years</w:t>
                        </w:r>
                      </w:p>
                    </w:tc>
                    <w:tc>
                      <w:tcPr>
                        <w:tcW w:w="5305" w:type="dxa"/>
                        <w:tcBorders>
                          <w:top w:val="dotted" w:sz="4" w:space="0" w:color="auto"/>
                          <w:left w:val="dotted" w:sz="4" w:space="0" w:color="auto"/>
                          <w:bottom w:val="dotted" w:sz="4" w:space="0" w:color="auto"/>
                          <w:right w:val="dotted" w:sz="4" w:space="0" w:color="auto"/>
                        </w:tcBorders>
                      </w:tcPr>
                      <w:p w:rsidR="00B85F4E" w:rsidRPr="00CB6DDA" w:rsidRDefault="00B85F4E" w:rsidP="007236A4">
                        <w:pPr>
                          <w:ind w:right="-30"/>
                          <w:rPr>
                            <w:rFonts w:ascii="Arial" w:hAnsi="Arial" w:cs="Arial"/>
                            <w:sz w:val="16"/>
                            <w:szCs w:val="16"/>
                          </w:rPr>
                        </w:pPr>
                        <w:r>
                          <w:rPr>
                            <w:rFonts w:ascii="Arial" w:hAnsi="Arial" w:cs="Arial"/>
                            <w:sz w:val="16"/>
                            <w:szCs w:val="16"/>
                          </w:rPr>
                          <w:t>T</w:t>
                        </w:r>
                        <w:r w:rsidRPr="00CB6DDA">
                          <w:rPr>
                            <w:rFonts w:ascii="Arial" w:hAnsi="Arial" w:cs="Arial"/>
                            <w:sz w:val="16"/>
                            <w:szCs w:val="16"/>
                          </w:rPr>
                          <w:t>he greater of either:</w:t>
                        </w:r>
                      </w:p>
                      <w:p w:rsidR="00B85F4E" w:rsidRDefault="00056D28" w:rsidP="007236A4">
                        <w:pPr>
                          <w:numPr>
                            <w:ilvl w:val="1"/>
                            <w:numId w:val="5"/>
                          </w:numPr>
                          <w:tabs>
                            <w:tab w:val="clear" w:pos="1440"/>
                            <w:tab w:val="num" w:pos="252"/>
                          </w:tabs>
                          <w:ind w:left="252" w:right="-30" w:hanging="252"/>
                          <w:rPr>
                            <w:rFonts w:ascii="Arial" w:hAnsi="Arial" w:cs="Arial"/>
                            <w:sz w:val="16"/>
                            <w:szCs w:val="16"/>
                          </w:rPr>
                        </w:pPr>
                        <w:r>
                          <w:rPr>
                            <w:rFonts w:ascii="Arial" w:hAnsi="Arial" w:cs="Arial"/>
                            <w:sz w:val="16"/>
                            <w:szCs w:val="16"/>
                          </w:rPr>
                          <w:t xml:space="preserve">the provider’s </w:t>
                        </w:r>
                        <w:r w:rsidR="002323E8">
                          <w:rPr>
                            <w:rFonts w:ascii="Arial" w:hAnsi="Arial" w:cs="Arial"/>
                            <w:sz w:val="16"/>
                            <w:szCs w:val="16"/>
                          </w:rPr>
                          <w:t>20</w:t>
                        </w:r>
                        <w:r w:rsidR="00763651">
                          <w:rPr>
                            <w:rFonts w:ascii="Arial" w:hAnsi="Arial" w:cs="Arial"/>
                            <w:sz w:val="16"/>
                            <w:szCs w:val="16"/>
                          </w:rPr>
                          <w:t>10</w:t>
                        </w:r>
                        <w:r w:rsidR="00B85F4E" w:rsidRPr="00CB6DDA">
                          <w:rPr>
                            <w:rFonts w:ascii="Arial" w:hAnsi="Arial" w:cs="Arial"/>
                            <w:sz w:val="16"/>
                            <w:szCs w:val="16"/>
                          </w:rPr>
                          <w:t xml:space="preserve"> estimated overseas student fee income increased by a </w:t>
                        </w:r>
                        <w:r w:rsidR="00B85F4E" w:rsidRPr="00CB6DDA">
                          <w:rPr>
                            <w:rFonts w:ascii="Arial" w:hAnsi="Arial" w:cs="Arial"/>
                            <w:b/>
                            <w:sz w:val="16"/>
                            <w:szCs w:val="16"/>
                          </w:rPr>
                          <w:t>20% uplift factor</w:t>
                        </w:r>
                        <w:r w:rsidR="00B85F4E" w:rsidRPr="00CB6DDA">
                          <w:rPr>
                            <w:rFonts w:ascii="Arial" w:hAnsi="Arial" w:cs="Arial"/>
                            <w:sz w:val="16"/>
                            <w:szCs w:val="16"/>
                          </w:rPr>
                          <w:t>, multiplied by the applicable Additional Premium rate</w:t>
                        </w:r>
                        <w:r w:rsidR="00B85F4E">
                          <w:rPr>
                            <w:rFonts w:ascii="Arial" w:hAnsi="Arial" w:cs="Arial"/>
                            <w:sz w:val="16"/>
                            <w:szCs w:val="16"/>
                          </w:rPr>
                          <w:t xml:space="preserve"> </w:t>
                        </w:r>
                        <w:r w:rsidR="00B85F4E" w:rsidRPr="00CB6DDA">
                          <w:rPr>
                            <w:rFonts w:ascii="Arial" w:hAnsi="Arial" w:cs="Arial"/>
                            <w:b/>
                            <w:sz w:val="16"/>
                            <w:szCs w:val="16"/>
                          </w:rPr>
                          <w:t>multiplied by a factor of 10</w:t>
                        </w:r>
                        <w:r w:rsidR="00B85F4E" w:rsidRPr="00CB6DDA">
                          <w:rPr>
                            <w:rFonts w:ascii="Arial" w:hAnsi="Arial" w:cs="Arial"/>
                            <w:sz w:val="16"/>
                            <w:szCs w:val="16"/>
                          </w:rPr>
                          <w:t>, or</w:t>
                        </w:r>
                      </w:p>
                      <w:p w:rsidR="00B85F4E" w:rsidRPr="00272E51" w:rsidRDefault="00056D28" w:rsidP="00763651">
                        <w:pPr>
                          <w:numPr>
                            <w:ilvl w:val="1"/>
                            <w:numId w:val="5"/>
                          </w:numPr>
                          <w:tabs>
                            <w:tab w:val="clear" w:pos="1440"/>
                            <w:tab w:val="num" w:pos="252"/>
                          </w:tabs>
                          <w:ind w:left="252" w:right="-30" w:hanging="252"/>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provider’s </w:t>
                        </w:r>
                        <w:r w:rsidR="002323E8">
                          <w:rPr>
                            <w:rFonts w:ascii="Arial" w:hAnsi="Arial" w:cs="Arial"/>
                            <w:sz w:val="16"/>
                            <w:szCs w:val="16"/>
                          </w:rPr>
                          <w:t>20</w:t>
                        </w:r>
                        <w:r w:rsidR="00763651">
                          <w:rPr>
                            <w:rFonts w:ascii="Arial" w:hAnsi="Arial" w:cs="Arial"/>
                            <w:sz w:val="16"/>
                            <w:szCs w:val="16"/>
                          </w:rPr>
                          <w:t>1</w:t>
                        </w:r>
                        <w:r w:rsidR="002323E8">
                          <w:rPr>
                            <w:rFonts w:ascii="Arial" w:hAnsi="Arial" w:cs="Arial"/>
                            <w:sz w:val="16"/>
                            <w:szCs w:val="16"/>
                          </w:rPr>
                          <w:t>0</w:t>
                        </w:r>
                        <w:r w:rsidR="00B85F4E" w:rsidRPr="00CB6DDA">
                          <w:rPr>
                            <w:rFonts w:ascii="Arial" w:hAnsi="Arial" w:cs="Arial"/>
                            <w:sz w:val="16"/>
                            <w:szCs w:val="16"/>
                          </w:rPr>
                          <w:t xml:space="preserve"> estimated overseas student fee income multiplied by the applicable Additional Premium rate </w:t>
                        </w:r>
                        <w:r w:rsidR="00B85F4E" w:rsidRPr="00CB6DDA">
                          <w:rPr>
                            <w:rFonts w:ascii="Arial" w:hAnsi="Arial" w:cs="Arial"/>
                            <w:b/>
                            <w:sz w:val="16"/>
                            <w:szCs w:val="16"/>
                          </w:rPr>
                          <w:t>multiplied by a factor of 10</w:t>
                        </w:r>
                        <w:r w:rsidR="00B85F4E">
                          <w:rPr>
                            <w:rFonts w:ascii="Arial" w:hAnsi="Arial" w:cs="Arial"/>
                            <w:b/>
                            <w:sz w:val="16"/>
                            <w:szCs w:val="16"/>
                          </w:rPr>
                          <w:t xml:space="preserve"> </w:t>
                        </w:r>
                        <w:r w:rsidR="00B85F4E" w:rsidRPr="00CB6DDA">
                          <w:rPr>
                            <w:rFonts w:ascii="Arial" w:hAnsi="Arial" w:cs="Arial"/>
                            <w:sz w:val="16"/>
                            <w:szCs w:val="16"/>
                          </w:rPr>
                          <w:t xml:space="preserve">plus a </w:t>
                        </w:r>
                        <w:r w:rsidR="002323E8">
                          <w:rPr>
                            <w:rFonts w:ascii="Arial" w:hAnsi="Arial" w:cs="Arial"/>
                            <w:b/>
                            <w:sz w:val="16"/>
                            <w:szCs w:val="16"/>
                          </w:rPr>
                          <w:t>$2</w:t>
                        </w:r>
                        <w:r w:rsidR="00763651">
                          <w:rPr>
                            <w:rFonts w:ascii="Arial" w:hAnsi="Arial" w:cs="Arial"/>
                            <w:b/>
                            <w:sz w:val="16"/>
                            <w:szCs w:val="16"/>
                          </w:rPr>
                          <w:t>55</w:t>
                        </w:r>
                        <w:r w:rsidR="00B85F4E" w:rsidRPr="00CB6DDA">
                          <w:rPr>
                            <w:rFonts w:ascii="Arial" w:hAnsi="Arial" w:cs="Arial"/>
                            <w:b/>
                            <w:sz w:val="16"/>
                            <w:szCs w:val="16"/>
                          </w:rPr>
                          <w:t xml:space="preserve"> surcharge</w:t>
                        </w:r>
                        <w:r w:rsidR="00B85F4E" w:rsidRPr="00CB6DDA">
                          <w:rPr>
                            <w:rFonts w:ascii="Arial" w:hAnsi="Arial" w:cs="Arial"/>
                            <w:sz w:val="16"/>
                            <w:szCs w:val="16"/>
                          </w:rPr>
                          <w:t>.</w:t>
                        </w:r>
                      </w:p>
                    </w:tc>
                  </w:tr>
                </w:tbl>
                <w:p w:rsidR="00B85F4E" w:rsidRPr="00D75500" w:rsidRDefault="00B85F4E" w:rsidP="007236A4">
                  <w:pPr>
                    <w:ind w:right="-30" w:firstLine="378"/>
                    <w:rPr>
                      <w:rFonts w:ascii="Arial" w:hAnsi="Arial" w:cs="Arial"/>
                      <w:b/>
                      <w:i/>
                      <w:sz w:val="4"/>
                      <w:szCs w:val="4"/>
                    </w:rPr>
                  </w:pPr>
                </w:p>
                <w:p w:rsidR="00B85F4E" w:rsidRDefault="00B85F4E" w:rsidP="007236A4">
                  <w:pPr>
                    <w:ind w:right="-30"/>
                    <w:rPr>
                      <w:rFonts w:ascii="Arial" w:hAnsi="Arial" w:cs="Arial"/>
                      <w:sz w:val="4"/>
                      <w:szCs w:val="4"/>
                    </w:rPr>
                  </w:pPr>
                </w:p>
                <w:p w:rsidR="00B85F4E" w:rsidRPr="00D75500" w:rsidRDefault="00B85F4E" w:rsidP="007236A4">
                  <w:pPr>
                    <w:ind w:right="-30"/>
                    <w:rPr>
                      <w:rFonts w:ascii="Arial" w:hAnsi="Arial" w:cs="Arial"/>
                      <w:sz w:val="4"/>
                      <w:szCs w:val="4"/>
                    </w:rPr>
                  </w:pPr>
                </w:p>
              </w:tc>
            </w:tr>
          </w:tbl>
          <w:p w:rsidR="00B85F4E" w:rsidRPr="00A76020" w:rsidRDefault="00B85F4E" w:rsidP="00A76020">
            <w:pPr>
              <w:ind w:right="-30"/>
              <w:rPr>
                <w:rFonts w:ascii="Arial" w:hAnsi="Arial" w:cs="Arial"/>
                <w:sz w:val="12"/>
                <w:szCs w:val="12"/>
              </w:rPr>
            </w:pPr>
          </w:p>
          <w:p w:rsidR="00B85F4E" w:rsidRPr="00A76020" w:rsidRDefault="00B85F4E" w:rsidP="00A76020">
            <w:pPr>
              <w:pStyle w:val="Title"/>
              <w:ind w:left="360" w:right="458"/>
              <w:jc w:val="left"/>
              <w:rPr>
                <w:rFonts w:ascii="Arial" w:hAnsi="Arial" w:cs="Arial"/>
                <w:sz w:val="18"/>
                <w:szCs w:val="18"/>
              </w:rPr>
            </w:pPr>
          </w:p>
        </w:tc>
      </w:tr>
      <w:tr w:rsidR="00D06D68" w:rsidRPr="00A76020" w:rsidTr="00567085">
        <w:trPr>
          <w:trHeight w:val="2387"/>
        </w:trPr>
        <w:tc>
          <w:tcPr>
            <w:tcW w:w="10620" w:type="dxa"/>
          </w:tcPr>
          <w:p w:rsidR="00D06D68" w:rsidRPr="00567085" w:rsidRDefault="00D06D68" w:rsidP="00A76020">
            <w:pPr>
              <w:pStyle w:val="BodyText"/>
              <w:ind w:right="-30"/>
              <w:rPr>
                <w:rFonts w:ascii="Arial" w:hAnsi="Arial" w:cs="Arial"/>
                <w:color w:val="602320"/>
                <w:sz w:val="20"/>
                <w:szCs w:val="20"/>
                <w:u w:val="single"/>
              </w:rPr>
            </w:pPr>
            <w:r w:rsidRPr="00567085">
              <w:rPr>
                <w:rFonts w:ascii="Arial" w:hAnsi="Arial" w:cs="Arial"/>
                <w:color w:val="602320"/>
                <w:sz w:val="20"/>
                <w:szCs w:val="20"/>
                <w:u w:val="single"/>
              </w:rPr>
              <w:t>Providers with a Ministerial Exemption (ME) that covers greater than $1 million in overseas student fee income</w:t>
            </w:r>
          </w:p>
          <w:p w:rsidR="00D06D68" w:rsidRPr="00A76020" w:rsidRDefault="00D06D68" w:rsidP="00A76020">
            <w:pPr>
              <w:ind w:right="-30"/>
              <w:rPr>
                <w:rFonts w:ascii="Arial" w:hAnsi="Arial" w:cs="Arial"/>
                <w:b/>
                <w:bCs/>
                <w:sz w:val="4"/>
                <w:szCs w:val="4"/>
              </w:rPr>
            </w:pPr>
          </w:p>
          <w:p w:rsidR="00D06D68" w:rsidRPr="00A76020" w:rsidRDefault="00D06D68" w:rsidP="00A76020">
            <w:pPr>
              <w:pStyle w:val="BlockText"/>
              <w:spacing w:before="0" w:after="0"/>
              <w:ind w:left="0" w:right="-30" w:firstLine="360"/>
              <w:rPr>
                <w:rFonts w:ascii="Arial" w:hAnsi="Arial" w:cs="Arial"/>
                <w:sz w:val="12"/>
                <w:szCs w:val="12"/>
              </w:rPr>
            </w:pPr>
          </w:p>
          <w:tbl>
            <w:tblPr>
              <w:tblW w:w="0" w:type="auto"/>
              <w:jc w:val="center"/>
              <w:tblBorders>
                <w:top w:val="single" w:sz="12" w:space="0" w:color="A32020"/>
                <w:left w:val="single" w:sz="12" w:space="0" w:color="A32020"/>
                <w:bottom w:val="single" w:sz="12" w:space="0" w:color="A32020"/>
                <w:right w:val="single" w:sz="12" w:space="0" w:color="A32020"/>
                <w:insideH w:val="single" w:sz="12" w:space="0" w:color="A32020"/>
                <w:insideV w:val="single" w:sz="12" w:space="0" w:color="A32020"/>
              </w:tblBorders>
              <w:tblLook w:val="0000"/>
            </w:tblPr>
            <w:tblGrid>
              <w:gridCol w:w="1992"/>
              <w:gridCol w:w="7250"/>
            </w:tblGrid>
            <w:tr w:rsidR="00D06D68" w:rsidRPr="00395F04" w:rsidTr="00567085">
              <w:trPr>
                <w:jc w:val="center"/>
              </w:trPr>
              <w:tc>
                <w:tcPr>
                  <w:tcW w:w="1992" w:type="dxa"/>
                  <w:shd w:val="clear" w:color="auto" w:fill="A32020"/>
                </w:tcPr>
                <w:p w:rsidR="00D06D68" w:rsidRPr="00567085" w:rsidRDefault="00D06D68" w:rsidP="00263711">
                  <w:pPr>
                    <w:spacing w:before="60" w:after="60"/>
                    <w:ind w:right="-30"/>
                    <w:rPr>
                      <w:rFonts w:ascii="Arial" w:hAnsi="Arial" w:cs="Arial"/>
                      <w:color w:val="FFFFFF"/>
                      <w:sz w:val="20"/>
                      <w:szCs w:val="20"/>
                    </w:rPr>
                  </w:pPr>
                  <w:r w:rsidRPr="00567085">
                    <w:rPr>
                      <w:rFonts w:ascii="Arial" w:hAnsi="Arial" w:cs="Arial"/>
                      <w:color w:val="FFFFFF"/>
                      <w:sz w:val="20"/>
                      <w:szCs w:val="20"/>
                    </w:rPr>
                    <w:t>Components of the Criteria:</w:t>
                  </w:r>
                </w:p>
              </w:tc>
              <w:tc>
                <w:tcPr>
                  <w:tcW w:w="7250" w:type="dxa"/>
                </w:tcPr>
                <w:p w:rsidR="00D06D68" w:rsidRPr="00D75500" w:rsidRDefault="00D06D68" w:rsidP="00263711">
                  <w:pPr>
                    <w:ind w:right="-30"/>
                    <w:rPr>
                      <w:rFonts w:ascii="Arial" w:hAnsi="Arial" w:cs="Arial"/>
                      <w:b/>
                      <w:i/>
                      <w:sz w:val="12"/>
                      <w:szCs w:val="12"/>
                    </w:rPr>
                  </w:pPr>
                </w:p>
                <w:p w:rsidR="00D06D68" w:rsidRDefault="00D06D68" w:rsidP="00263711">
                  <w:pPr>
                    <w:numPr>
                      <w:ilvl w:val="0"/>
                      <w:numId w:val="12"/>
                    </w:numPr>
                    <w:ind w:right="-30"/>
                    <w:rPr>
                      <w:rFonts w:ascii="Arial" w:hAnsi="Arial" w:cs="Arial"/>
                      <w:b/>
                      <w:i/>
                      <w:sz w:val="20"/>
                      <w:szCs w:val="20"/>
                    </w:rPr>
                  </w:pPr>
                  <w:r w:rsidRPr="00D75500">
                    <w:rPr>
                      <w:rFonts w:ascii="Arial" w:hAnsi="Arial" w:cs="Arial"/>
                      <w:b/>
                      <w:sz w:val="20"/>
                      <w:szCs w:val="20"/>
                    </w:rPr>
                    <w:t xml:space="preserve">Base Premium - </w:t>
                  </w:r>
                  <w:r>
                    <w:rPr>
                      <w:rFonts w:ascii="Arial" w:hAnsi="Arial" w:cs="Arial"/>
                      <w:b/>
                      <w:i/>
                      <w:sz w:val="20"/>
                      <w:szCs w:val="20"/>
                    </w:rPr>
                    <w:t>$</w:t>
                  </w:r>
                  <w:r w:rsidR="00763651">
                    <w:rPr>
                      <w:rFonts w:ascii="Arial" w:hAnsi="Arial" w:cs="Arial"/>
                      <w:b/>
                      <w:i/>
                      <w:sz w:val="20"/>
                      <w:szCs w:val="20"/>
                    </w:rPr>
                    <w:t>6</w:t>
                  </w:r>
                  <w:r>
                    <w:rPr>
                      <w:rFonts w:ascii="Arial" w:hAnsi="Arial" w:cs="Arial"/>
                      <w:b/>
                      <w:i/>
                      <w:sz w:val="20"/>
                      <w:szCs w:val="20"/>
                    </w:rPr>
                    <w:t>50</w:t>
                  </w:r>
                </w:p>
                <w:p w:rsidR="00D06D68" w:rsidRPr="00C55310" w:rsidRDefault="00D06D68" w:rsidP="00263711">
                  <w:pPr>
                    <w:ind w:right="-30"/>
                    <w:rPr>
                      <w:rFonts w:ascii="Arial" w:hAnsi="Arial" w:cs="Arial"/>
                      <w:b/>
                      <w:i/>
                      <w:sz w:val="12"/>
                      <w:szCs w:val="12"/>
                    </w:rPr>
                  </w:pPr>
                </w:p>
                <w:p w:rsidR="00D06D68" w:rsidRDefault="00D06D68" w:rsidP="00263711">
                  <w:pPr>
                    <w:numPr>
                      <w:ilvl w:val="0"/>
                      <w:numId w:val="12"/>
                    </w:numPr>
                    <w:ind w:right="-30"/>
                    <w:rPr>
                      <w:rFonts w:ascii="Arial" w:hAnsi="Arial" w:cs="Arial"/>
                      <w:b/>
                      <w:i/>
                      <w:sz w:val="20"/>
                      <w:szCs w:val="20"/>
                    </w:rPr>
                  </w:pPr>
                  <w:r>
                    <w:rPr>
                      <w:rFonts w:ascii="Arial" w:hAnsi="Arial" w:cs="Arial"/>
                      <w:b/>
                      <w:sz w:val="20"/>
                      <w:szCs w:val="20"/>
                    </w:rPr>
                    <w:t xml:space="preserve">Additional Base Fee - </w:t>
                  </w:r>
                  <w:r>
                    <w:rPr>
                      <w:rFonts w:ascii="Arial" w:hAnsi="Arial" w:cs="Arial"/>
                      <w:b/>
                      <w:i/>
                      <w:sz w:val="20"/>
                      <w:szCs w:val="20"/>
                    </w:rPr>
                    <w:t>$</w:t>
                  </w:r>
                  <w:r w:rsidR="00763651">
                    <w:rPr>
                      <w:rFonts w:ascii="Arial" w:hAnsi="Arial" w:cs="Arial"/>
                      <w:b/>
                      <w:i/>
                      <w:sz w:val="20"/>
                      <w:szCs w:val="20"/>
                    </w:rPr>
                    <w:t>2,045</w:t>
                  </w:r>
                </w:p>
                <w:p w:rsidR="00D06D68" w:rsidRPr="00C55310" w:rsidRDefault="00D06D68" w:rsidP="00263711">
                  <w:pPr>
                    <w:ind w:right="-30"/>
                    <w:rPr>
                      <w:rFonts w:ascii="Arial" w:hAnsi="Arial" w:cs="Arial"/>
                      <w:b/>
                      <w:i/>
                      <w:sz w:val="12"/>
                      <w:szCs w:val="12"/>
                    </w:rPr>
                  </w:pPr>
                </w:p>
                <w:p w:rsidR="00D06D68" w:rsidRPr="00C54C69" w:rsidRDefault="00D06D68" w:rsidP="00263711">
                  <w:pPr>
                    <w:numPr>
                      <w:ilvl w:val="0"/>
                      <w:numId w:val="12"/>
                    </w:numPr>
                    <w:tabs>
                      <w:tab w:val="clear" w:pos="360"/>
                      <w:tab w:val="num" w:pos="371"/>
                    </w:tabs>
                    <w:ind w:left="385" w:right="-30" w:hanging="385"/>
                    <w:rPr>
                      <w:rFonts w:ascii="Arial" w:hAnsi="Arial" w:cs="Arial"/>
                      <w:b/>
                      <w:i/>
                      <w:sz w:val="20"/>
                      <w:szCs w:val="20"/>
                    </w:rPr>
                  </w:pPr>
                  <w:r w:rsidRPr="000A4A42">
                    <w:rPr>
                      <w:rFonts w:ascii="Arial" w:hAnsi="Arial" w:cs="Arial"/>
                      <w:b/>
                      <w:sz w:val="20"/>
                      <w:szCs w:val="20"/>
                    </w:rPr>
                    <w:t>Additional Premium Uncovered Rate</w:t>
                  </w:r>
                  <w:r w:rsidRPr="000A4A42">
                    <w:rPr>
                      <w:rFonts w:ascii="Arial" w:hAnsi="Arial" w:cs="Arial"/>
                      <w:sz w:val="20"/>
                      <w:szCs w:val="20"/>
                    </w:rPr>
                    <w:t xml:space="preserve">– </w:t>
                  </w:r>
                  <w:r w:rsidR="000A4A42" w:rsidRPr="000A4A42">
                    <w:rPr>
                      <w:rFonts w:ascii="Arial" w:hAnsi="Arial" w:cs="Arial"/>
                      <w:b/>
                      <w:i/>
                      <w:sz w:val="18"/>
                      <w:szCs w:val="18"/>
                    </w:rPr>
                    <w:t>2.</w:t>
                  </w:r>
                  <w:r w:rsidR="00CE1D71">
                    <w:rPr>
                      <w:rFonts w:ascii="Arial" w:hAnsi="Arial" w:cs="Arial"/>
                      <w:b/>
                      <w:i/>
                      <w:sz w:val="18"/>
                      <w:szCs w:val="18"/>
                    </w:rPr>
                    <w:t>60</w:t>
                  </w:r>
                  <w:r w:rsidR="000A4A42" w:rsidRPr="000A4A42">
                    <w:rPr>
                      <w:rFonts w:ascii="Arial" w:hAnsi="Arial" w:cs="Arial"/>
                      <w:b/>
                      <w:i/>
                      <w:sz w:val="18"/>
                      <w:szCs w:val="18"/>
                    </w:rPr>
                    <w:t>0</w:t>
                  </w:r>
                  <w:r w:rsidRPr="000A4A42">
                    <w:rPr>
                      <w:rFonts w:ascii="Arial" w:hAnsi="Arial" w:cs="Arial"/>
                      <w:b/>
                      <w:i/>
                      <w:sz w:val="18"/>
                      <w:szCs w:val="18"/>
                    </w:rPr>
                    <w:t>%</w:t>
                  </w:r>
                  <w:r w:rsidRPr="000A4A42">
                    <w:rPr>
                      <w:rFonts w:ascii="Arial" w:hAnsi="Arial" w:cs="Arial"/>
                      <w:sz w:val="18"/>
                      <w:szCs w:val="18"/>
                    </w:rPr>
                    <w:t xml:space="preserve"> </w:t>
                  </w:r>
                  <w:r w:rsidRPr="000A4A42">
                    <w:rPr>
                      <w:rFonts w:ascii="Arial" w:hAnsi="Arial" w:cs="Arial"/>
                      <w:i/>
                      <w:sz w:val="18"/>
                      <w:szCs w:val="18"/>
                    </w:rPr>
                    <w:t>of tot</w:t>
                  </w:r>
                  <w:r w:rsidRPr="00C54C69">
                    <w:rPr>
                      <w:rFonts w:ascii="Arial" w:hAnsi="Arial" w:cs="Arial"/>
                      <w:i/>
                      <w:sz w:val="18"/>
                      <w:szCs w:val="18"/>
                    </w:rPr>
                    <w:t>al overseas student fee income covered by ME.</w:t>
                  </w:r>
                </w:p>
                <w:p w:rsidR="00D06D68" w:rsidRPr="00D75500" w:rsidRDefault="00D06D68" w:rsidP="00263711">
                  <w:pPr>
                    <w:ind w:right="-30"/>
                    <w:rPr>
                      <w:rFonts w:ascii="Arial" w:hAnsi="Arial" w:cs="Arial"/>
                      <w:sz w:val="4"/>
                      <w:szCs w:val="4"/>
                    </w:rPr>
                  </w:pPr>
                </w:p>
              </w:tc>
            </w:tr>
          </w:tbl>
          <w:p w:rsidR="00D06D68" w:rsidRPr="00A76020" w:rsidRDefault="00D06D68" w:rsidP="00A76020">
            <w:pPr>
              <w:pStyle w:val="BlockText"/>
              <w:spacing w:before="0" w:after="80"/>
              <w:ind w:left="0" w:right="-28"/>
              <w:rPr>
                <w:rFonts w:ascii="Arial" w:hAnsi="Arial" w:cs="Arial"/>
                <w:sz w:val="4"/>
                <w:szCs w:val="4"/>
                <w:u w:val="single"/>
              </w:rPr>
            </w:pPr>
          </w:p>
          <w:p w:rsidR="001E1F58" w:rsidRPr="00A76020" w:rsidRDefault="001E1F58" w:rsidP="00A76020">
            <w:pPr>
              <w:pStyle w:val="BlockText"/>
              <w:spacing w:before="0" w:after="80"/>
              <w:ind w:left="360" w:right="-28"/>
              <w:rPr>
                <w:rFonts w:ascii="Arial" w:hAnsi="Arial" w:cs="Arial"/>
                <w:sz w:val="18"/>
                <w:szCs w:val="18"/>
              </w:rPr>
            </w:pPr>
            <w:r w:rsidRPr="00A76020">
              <w:rPr>
                <w:rFonts w:ascii="Arial" w:hAnsi="Arial" w:cs="Arial"/>
                <w:sz w:val="18"/>
                <w:szCs w:val="18"/>
              </w:rPr>
              <w:t>In addition the provider is requested to pursue one of three alternatives set out below, which may result in an adjustment to their initial contribution.</w:t>
            </w:r>
          </w:p>
          <w:p w:rsidR="001E1F58" w:rsidRPr="00A76020" w:rsidRDefault="001E1F58" w:rsidP="00A76020">
            <w:pPr>
              <w:pStyle w:val="BlockText"/>
              <w:spacing w:before="0" w:after="80"/>
              <w:ind w:left="0" w:right="-28"/>
              <w:rPr>
                <w:rFonts w:ascii="Arial" w:hAnsi="Arial" w:cs="Arial"/>
                <w:sz w:val="4"/>
                <w:szCs w:val="4"/>
                <w:u w:val="single"/>
              </w:rPr>
            </w:pPr>
          </w:p>
        </w:tc>
      </w:tr>
    </w:tbl>
    <w:p w:rsidR="001E1F58" w:rsidRDefault="001E1F58" w:rsidP="007236A4">
      <w:pPr>
        <w:pStyle w:val="BodyText"/>
        <w:ind w:right="-30"/>
        <w:rPr>
          <w:rFonts w:ascii="Arial" w:hAnsi="Arial" w:cs="Arial"/>
          <w:sz w:val="4"/>
          <w:szCs w:val="4"/>
        </w:rPr>
        <w:sectPr w:rsidR="001E1F58" w:rsidSect="00D06D68">
          <w:footerReference w:type="default" r:id="rId7"/>
          <w:pgSz w:w="11906" w:h="16838"/>
          <w:pgMar w:top="540" w:right="1140" w:bottom="0" w:left="1440" w:header="709" w:footer="437" w:gutter="0"/>
          <w:cols w:space="708"/>
          <w:docGrid w:linePitch="360"/>
        </w:sectPr>
      </w:pPr>
    </w:p>
    <w:tbl>
      <w:tblPr>
        <w:tblW w:w="10620" w:type="dxa"/>
        <w:tblInd w:w="-792" w:type="dxa"/>
        <w:tblBorders>
          <w:top w:val="single" w:sz="12" w:space="0" w:color="A32020"/>
          <w:left w:val="single" w:sz="12" w:space="0" w:color="A32020"/>
          <w:bottom w:val="single" w:sz="12" w:space="0" w:color="A32020"/>
          <w:right w:val="single" w:sz="12" w:space="0" w:color="A32020"/>
          <w:insideH w:val="single" w:sz="12" w:space="0" w:color="A32020"/>
          <w:insideV w:val="single" w:sz="12" w:space="0" w:color="A32020"/>
        </w:tblBorders>
        <w:tblLook w:val="01E0"/>
      </w:tblPr>
      <w:tblGrid>
        <w:gridCol w:w="10620"/>
      </w:tblGrid>
      <w:tr w:rsidR="00B85F4E" w:rsidRPr="00A76020" w:rsidTr="00567085">
        <w:tc>
          <w:tcPr>
            <w:tcW w:w="10620" w:type="dxa"/>
          </w:tcPr>
          <w:p w:rsidR="00B85F4E" w:rsidRPr="00A76020" w:rsidRDefault="00B85F4E" w:rsidP="00A76020">
            <w:pPr>
              <w:pStyle w:val="BodyText"/>
              <w:ind w:right="-30"/>
              <w:rPr>
                <w:rFonts w:ascii="Arial" w:hAnsi="Arial" w:cs="Arial"/>
                <w:sz w:val="4"/>
                <w:szCs w:val="4"/>
              </w:rPr>
            </w:pPr>
          </w:p>
          <w:p w:rsidR="001E1F58" w:rsidRPr="00A76020" w:rsidRDefault="001E1F58" w:rsidP="00A76020">
            <w:pPr>
              <w:pStyle w:val="BodyText"/>
              <w:ind w:right="-30"/>
              <w:rPr>
                <w:rFonts w:ascii="Arial" w:hAnsi="Arial" w:cs="Arial"/>
                <w:sz w:val="4"/>
                <w:szCs w:val="4"/>
              </w:rPr>
            </w:pPr>
          </w:p>
          <w:tbl>
            <w:tblPr>
              <w:tblW w:w="9203"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000"/>
            </w:tblPr>
            <w:tblGrid>
              <w:gridCol w:w="1179"/>
              <w:gridCol w:w="4385"/>
              <w:gridCol w:w="3639"/>
            </w:tblGrid>
            <w:tr w:rsidR="00B85F4E" w:rsidRPr="00021C03" w:rsidTr="00567085">
              <w:trPr>
                <w:jc w:val="center"/>
              </w:trPr>
              <w:tc>
                <w:tcPr>
                  <w:tcW w:w="1179" w:type="dxa"/>
                  <w:tcBorders>
                    <w:top w:val="single" w:sz="12" w:space="0" w:color="A32020"/>
                    <w:left w:val="single" w:sz="12" w:space="0" w:color="A32020"/>
                    <w:bottom w:val="single" w:sz="12" w:space="0" w:color="A32020"/>
                    <w:right w:val="single" w:sz="12" w:space="0" w:color="A32020"/>
                  </w:tcBorders>
                  <w:shd w:val="clear" w:color="auto" w:fill="A32020"/>
                </w:tcPr>
                <w:p w:rsidR="00B85F4E" w:rsidRPr="00567085" w:rsidRDefault="001E1F58" w:rsidP="00056D28">
                  <w:pPr>
                    <w:pStyle w:val="BlockText"/>
                    <w:spacing w:before="120" w:after="120"/>
                    <w:ind w:left="0" w:right="-28"/>
                    <w:rPr>
                      <w:rFonts w:ascii="Arial" w:hAnsi="Arial" w:cs="Arial"/>
                      <w:i/>
                      <w:color w:val="FFFFFF"/>
                      <w:sz w:val="4"/>
                      <w:szCs w:val="4"/>
                      <w:u w:val="single"/>
                    </w:rPr>
                  </w:pPr>
                  <w:r w:rsidRPr="00567085">
                    <w:rPr>
                      <w:rFonts w:ascii="Arial" w:hAnsi="Arial" w:cs="Arial"/>
                      <w:i/>
                      <w:color w:val="FFFFFF"/>
                      <w:sz w:val="18"/>
                      <w:szCs w:val="18"/>
                      <w:u w:val="single"/>
                    </w:rPr>
                    <w:t>A</w:t>
                  </w:r>
                  <w:r w:rsidR="00B85F4E" w:rsidRPr="00567085">
                    <w:rPr>
                      <w:rFonts w:ascii="Arial" w:hAnsi="Arial" w:cs="Arial"/>
                      <w:i/>
                      <w:color w:val="FFFFFF"/>
                      <w:sz w:val="18"/>
                      <w:szCs w:val="18"/>
                      <w:u w:val="single"/>
                    </w:rPr>
                    <w:t>lternatives</w:t>
                  </w:r>
                  <w:r w:rsidR="00056D28" w:rsidRPr="00567085">
                    <w:rPr>
                      <w:rFonts w:ascii="Arial" w:hAnsi="Arial" w:cs="Arial"/>
                      <w:i/>
                      <w:color w:val="FFFFFF"/>
                      <w:sz w:val="18"/>
                      <w:szCs w:val="18"/>
                      <w:u w:val="single"/>
                    </w:rPr>
                    <w:t>:</w:t>
                  </w:r>
                </w:p>
              </w:tc>
              <w:tc>
                <w:tcPr>
                  <w:tcW w:w="4385" w:type="dxa"/>
                  <w:tcBorders>
                    <w:top w:val="single" w:sz="12" w:space="0" w:color="A32020"/>
                    <w:left w:val="single" w:sz="12" w:space="0" w:color="A32020"/>
                    <w:bottom w:val="single" w:sz="12" w:space="0" w:color="A32020"/>
                    <w:right w:val="single" w:sz="12" w:space="0" w:color="A32020"/>
                  </w:tcBorders>
                  <w:shd w:val="clear" w:color="auto" w:fill="A32020"/>
                </w:tcPr>
                <w:p w:rsidR="00B85F4E" w:rsidRPr="00567085" w:rsidRDefault="00B85F4E" w:rsidP="00056D28">
                  <w:pPr>
                    <w:pStyle w:val="BlockText"/>
                    <w:spacing w:before="120" w:after="120"/>
                    <w:ind w:left="0" w:right="-28"/>
                    <w:rPr>
                      <w:rFonts w:ascii="Arial" w:hAnsi="Arial" w:cs="Arial"/>
                      <w:b/>
                      <w:i/>
                      <w:color w:val="FFFFFF"/>
                      <w:sz w:val="16"/>
                      <w:szCs w:val="16"/>
                      <w:u w:val="single"/>
                    </w:rPr>
                  </w:pPr>
                  <w:r w:rsidRPr="00567085">
                    <w:rPr>
                      <w:rFonts w:ascii="Arial" w:hAnsi="Arial" w:cs="Arial"/>
                      <w:i/>
                      <w:color w:val="FFFFFF"/>
                      <w:sz w:val="18"/>
                      <w:szCs w:val="18"/>
                      <w:u w:val="single"/>
                    </w:rPr>
                    <w:t>Description</w:t>
                  </w:r>
                </w:p>
              </w:tc>
              <w:tc>
                <w:tcPr>
                  <w:tcW w:w="3639" w:type="dxa"/>
                  <w:tcBorders>
                    <w:top w:val="single" w:sz="12" w:space="0" w:color="A32020"/>
                    <w:left w:val="single" w:sz="12" w:space="0" w:color="A32020"/>
                    <w:bottom w:val="single" w:sz="12" w:space="0" w:color="A32020"/>
                    <w:right w:val="single" w:sz="12" w:space="0" w:color="A32020"/>
                  </w:tcBorders>
                  <w:shd w:val="clear" w:color="auto" w:fill="A32020"/>
                </w:tcPr>
                <w:p w:rsidR="00B85F4E" w:rsidRPr="00567085" w:rsidRDefault="00B85F4E" w:rsidP="00056D28">
                  <w:pPr>
                    <w:pStyle w:val="BlockText"/>
                    <w:spacing w:before="120" w:after="120"/>
                    <w:ind w:left="0" w:right="-28"/>
                    <w:rPr>
                      <w:rFonts w:ascii="Arial" w:hAnsi="Arial" w:cs="Arial"/>
                      <w:b/>
                      <w:i/>
                      <w:color w:val="FFFFFF"/>
                      <w:sz w:val="16"/>
                      <w:szCs w:val="16"/>
                      <w:u w:val="single"/>
                    </w:rPr>
                  </w:pPr>
                  <w:r w:rsidRPr="00567085">
                    <w:rPr>
                      <w:rFonts w:ascii="Arial" w:hAnsi="Arial" w:cs="Arial"/>
                      <w:i/>
                      <w:color w:val="FFFFFF"/>
                      <w:sz w:val="18"/>
                      <w:szCs w:val="18"/>
                      <w:u w:val="single"/>
                    </w:rPr>
                    <w:t>Adjustment to contribution</w:t>
                  </w:r>
                </w:p>
              </w:tc>
            </w:tr>
            <w:tr w:rsidR="00B85F4E" w:rsidRPr="00395F04" w:rsidTr="00567085">
              <w:trPr>
                <w:jc w:val="center"/>
              </w:trPr>
              <w:tc>
                <w:tcPr>
                  <w:tcW w:w="1179" w:type="dxa"/>
                  <w:tcBorders>
                    <w:top w:val="single" w:sz="12" w:space="0" w:color="A32020"/>
                    <w:left w:val="single" w:sz="12" w:space="0" w:color="A32020"/>
                    <w:bottom w:val="single" w:sz="12" w:space="0" w:color="A32020"/>
                    <w:right w:val="single" w:sz="12" w:space="0" w:color="A32020"/>
                  </w:tcBorders>
                  <w:shd w:val="clear" w:color="auto" w:fill="A32020"/>
                </w:tcPr>
                <w:p w:rsidR="00B85F4E" w:rsidRPr="00567085" w:rsidRDefault="00B85F4E" w:rsidP="007236A4">
                  <w:pPr>
                    <w:pStyle w:val="BlockText"/>
                    <w:spacing w:before="0" w:after="80"/>
                    <w:ind w:left="0" w:right="-28"/>
                    <w:jc w:val="center"/>
                    <w:rPr>
                      <w:rFonts w:ascii="Arial" w:hAnsi="Arial" w:cs="Arial"/>
                      <w:i/>
                      <w:color w:val="FFFFFF"/>
                      <w:u w:val="single"/>
                    </w:rPr>
                  </w:pPr>
                  <w:r w:rsidRPr="00567085">
                    <w:rPr>
                      <w:rFonts w:ascii="Arial" w:hAnsi="Arial" w:cs="Arial"/>
                      <w:i/>
                      <w:color w:val="FFFFFF"/>
                      <w:u w:val="single"/>
                    </w:rPr>
                    <w:t>1</w:t>
                  </w:r>
                </w:p>
                <w:p w:rsidR="00B85F4E" w:rsidRPr="00567085" w:rsidRDefault="00B85F4E" w:rsidP="007236A4">
                  <w:pPr>
                    <w:spacing w:before="60" w:after="60"/>
                    <w:ind w:right="-30"/>
                    <w:jc w:val="center"/>
                    <w:rPr>
                      <w:rFonts w:ascii="Arial" w:hAnsi="Arial" w:cs="Arial"/>
                      <w:color w:val="FFFFFF"/>
                    </w:rPr>
                  </w:pPr>
                </w:p>
              </w:tc>
              <w:tc>
                <w:tcPr>
                  <w:tcW w:w="4385" w:type="dxa"/>
                  <w:tcBorders>
                    <w:top w:val="single" w:sz="12" w:space="0" w:color="A32020"/>
                    <w:left w:val="single" w:sz="12" w:space="0" w:color="A32020"/>
                    <w:right w:val="single" w:sz="12" w:space="0" w:color="A32020"/>
                  </w:tcBorders>
                </w:tcPr>
                <w:p w:rsidR="00B85F4E" w:rsidRDefault="00B85F4E" w:rsidP="007236A4">
                  <w:pPr>
                    <w:pStyle w:val="BlockText"/>
                    <w:spacing w:before="0" w:after="80"/>
                    <w:ind w:left="0" w:right="-28"/>
                    <w:rPr>
                      <w:rFonts w:ascii="Arial" w:hAnsi="Arial" w:cs="Arial"/>
                      <w:sz w:val="4"/>
                      <w:szCs w:val="4"/>
                    </w:rPr>
                  </w:pPr>
                </w:p>
                <w:p w:rsidR="00B85F4E" w:rsidRPr="00C54C69" w:rsidRDefault="00B85F4E" w:rsidP="007236A4">
                  <w:pPr>
                    <w:pStyle w:val="BlockText"/>
                    <w:spacing w:before="0" w:after="80"/>
                    <w:ind w:left="0" w:right="-28"/>
                    <w:rPr>
                      <w:rFonts w:ascii="Arial" w:hAnsi="Arial" w:cs="Arial"/>
                      <w:sz w:val="16"/>
                      <w:szCs w:val="16"/>
                    </w:rPr>
                  </w:pPr>
                  <w:r w:rsidRPr="00C54C69">
                    <w:rPr>
                      <w:rFonts w:ascii="Arial" w:hAnsi="Arial" w:cs="Arial"/>
                      <w:sz w:val="16"/>
                      <w:szCs w:val="16"/>
                    </w:rPr>
                    <w:t xml:space="preserve">Obtain coverage under one of the options listed below for all or part of their overseas student fee income covered by ME to reduce their exposure to the Fund and their contribution fees: </w:t>
                  </w:r>
                </w:p>
                <w:p w:rsidR="00B85F4E" w:rsidRPr="00C54C69" w:rsidRDefault="00B85F4E" w:rsidP="007236A4">
                  <w:pPr>
                    <w:numPr>
                      <w:ilvl w:val="0"/>
                      <w:numId w:val="13"/>
                    </w:numPr>
                    <w:tabs>
                      <w:tab w:val="clear" w:pos="720"/>
                      <w:tab w:val="num" w:pos="429"/>
                      <w:tab w:val="num" w:pos="1995"/>
                    </w:tabs>
                    <w:spacing w:before="60" w:after="60"/>
                    <w:ind w:right="-28" w:hanging="651"/>
                    <w:rPr>
                      <w:rFonts w:ascii="Arial" w:hAnsi="Arial" w:cs="Arial"/>
                      <w:sz w:val="16"/>
                      <w:szCs w:val="16"/>
                    </w:rPr>
                  </w:pPr>
                  <w:r w:rsidRPr="00C54C69">
                    <w:rPr>
                      <w:rFonts w:ascii="Arial" w:hAnsi="Arial" w:cs="Arial"/>
                      <w:sz w:val="16"/>
                      <w:szCs w:val="16"/>
                    </w:rPr>
                    <w:t xml:space="preserve">insurance coverage </w:t>
                  </w:r>
                </w:p>
                <w:p w:rsidR="00B85F4E" w:rsidRPr="00C54C69" w:rsidRDefault="00B85F4E" w:rsidP="007236A4">
                  <w:pPr>
                    <w:numPr>
                      <w:ilvl w:val="0"/>
                      <w:numId w:val="13"/>
                    </w:numPr>
                    <w:tabs>
                      <w:tab w:val="clear" w:pos="720"/>
                      <w:tab w:val="num" w:pos="429"/>
                      <w:tab w:val="num" w:pos="1995"/>
                    </w:tabs>
                    <w:spacing w:before="60" w:after="60"/>
                    <w:ind w:right="-28" w:hanging="651"/>
                    <w:rPr>
                      <w:rFonts w:ascii="Arial" w:hAnsi="Arial" w:cs="Arial"/>
                      <w:sz w:val="16"/>
                      <w:szCs w:val="16"/>
                    </w:rPr>
                  </w:pPr>
                  <w:r w:rsidRPr="00C54C69">
                    <w:rPr>
                      <w:rFonts w:ascii="Arial" w:hAnsi="Arial" w:cs="Arial"/>
                      <w:sz w:val="16"/>
                      <w:szCs w:val="16"/>
                    </w:rPr>
                    <w:t>bank guarantee</w:t>
                  </w:r>
                </w:p>
                <w:p w:rsidR="00B85F4E" w:rsidRPr="00624A6F" w:rsidRDefault="00B85F4E" w:rsidP="007236A4">
                  <w:pPr>
                    <w:numPr>
                      <w:ilvl w:val="0"/>
                      <w:numId w:val="13"/>
                    </w:numPr>
                    <w:tabs>
                      <w:tab w:val="clear" w:pos="720"/>
                      <w:tab w:val="num" w:pos="429"/>
                      <w:tab w:val="num" w:pos="1995"/>
                    </w:tabs>
                    <w:spacing w:before="60" w:after="60"/>
                    <w:ind w:right="-28" w:hanging="651"/>
                    <w:rPr>
                      <w:rFonts w:ascii="Arial" w:hAnsi="Arial" w:cs="Arial"/>
                      <w:sz w:val="16"/>
                      <w:szCs w:val="16"/>
                    </w:rPr>
                  </w:pPr>
                  <w:r w:rsidRPr="00624A6F">
                    <w:rPr>
                      <w:rFonts w:ascii="Arial" w:hAnsi="Arial" w:cs="Arial"/>
                      <w:sz w:val="16"/>
                      <w:szCs w:val="16"/>
                    </w:rPr>
                    <w:t>their courses to be covered by one or more TASs</w:t>
                  </w:r>
                </w:p>
                <w:p w:rsidR="00B85F4E" w:rsidRPr="00624A6F" w:rsidRDefault="00B85F4E" w:rsidP="007236A4">
                  <w:pPr>
                    <w:numPr>
                      <w:ilvl w:val="0"/>
                      <w:numId w:val="13"/>
                    </w:numPr>
                    <w:tabs>
                      <w:tab w:val="clear" w:pos="720"/>
                      <w:tab w:val="num" w:pos="429"/>
                      <w:tab w:val="num" w:pos="1995"/>
                    </w:tabs>
                    <w:spacing w:before="60" w:after="60"/>
                    <w:ind w:left="444" w:right="-28" w:hanging="375"/>
                    <w:rPr>
                      <w:rFonts w:ascii="Arial" w:hAnsi="Arial" w:cs="Arial"/>
                      <w:sz w:val="16"/>
                      <w:szCs w:val="16"/>
                    </w:rPr>
                  </w:pPr>
                  <w:r w:rsidRPr="00624A6F">
                    <w:rPr>
                      <w:rFonts w:ascii="Arial" w:hAnsi="Arial" w:cs="Arial"/>
                      <w:sz w:val="16"/>
                      <w:szCs w:val="16"/>
                    </w:rPr>
                    <w:t>suitable assets over which the Fund can obtain security</w:t>
                  </w:r>
                </w:p>
                <w:p w:rsidR="00B85F4E" w:rsidRPr="00624A6F" w:rsidRDefault="00B85F4E" w:rsidP="007236A4">
                  <w:pPr>
                    <w:numPr>
                      <w:ilvl w:val="0"/>
                      <w:numId w:val="13"/>
                    </w:numPr>
                    <w:tabs>
                      <w:tab w:val="clear" w:pos="720"/>
                      <w:tab w:val="num" w:pos="429"/>
                      <w:tab w:val="num" w:pos="1995"/>
                    </w:tabs>
                    <w:spacing w:before="60" w:after="60"/>
                    <w:ind w:left="429" w:right="-28"/>
                    <w:rPr>
                      <w:rFonts w:ascii="Arial" w:hAnsi="Arial" w:cs="Arial"/>
                      <w:sz w:val="16"/>
                      <w:szCs w:val="16"/>
                    </w:rPr>
                  </w:pPr>
                  <w:r w:rsidRPr="00624A6F">
                    <w:rPr>
                      <w:rFonts w:ascii="Arial" w:hAnsi="Arial" w:cs="Arial"/>
                      <w:sz w:val="16"/>
                      <w:szCs w:val="16"/>
                    </w:rPr>
                    <w:t>enter into a legally-binding agreement with an alternative provider approved by the Fund Manager, where the agreement provides that should the first provider cease to be able to provide a course of study, the alternative provider will offer to enrol students of the first provider in a course leading to the same or a comparable qualification, with full credit for the units of study completed, and at no additional cost to the student for the part of the course for which course money has been paid to the original provider</w:t>
                  </w:r>
                </w:p>
                <w:p w:rsidR="00B85F4E" w:rsidRPr="00624A6F" w:rsidRDefault="00B85F4E" w:rsidP="007236A4">
                  <w:pPr>
                    <w:numPr>
                      <w:ilvl w:val="0"/>
                      <w:numId w:val="13"/>
                    </w:numPr>
                    <w:tabs>
                      <w:tab w:val="clear" w:pos="720"/>
                      <w:tab w:val="num" w:pos="429"/>
                      <w:tab w:val="num" w:pos="1995"/>
                    </w:tabs>
                    <w:spacing w:before="60" w:after="60"/>
                    <w:ind w:left="429" w:right="-28"/>
                    <w:rPr>
                      <w:rFonts w:ascii="Arial" w:hAnsi="Arial" w:cs="Arial"/>
                      <w:sz w:val="16"/>
                      <w:szCs w:val="16"/>
                    </w:rPr>
                  </w:pPr>
                  <w:proofErr w:type="gramStart"/>
                  <w:r w:rsidRPr="00624A6F">
                    <w:rPr>
                      <w:rFonts w:ascii="Arial" w:hAnsi="Arial" w:cs="Arial"/>
                      <w:sz w:val="16"/>
                      <w:szCs w:val="16"/>
                    </w:rPr>
                    <w:t>any</w:t>
                  </w:r>
                  <w:proofErr w:type="gramEnd"/>
                  <w:r w:rsidRPr="00624A6F">
                    <w:rPr>
                      <w:rFonts w:ascii="Arial" w:hAnsi="Arial" w:cs="Arial"/>
                      <w:sz w:val="16"/>
                      <w:szCs w:val="16"/>
                    </w:rPr>
                    <w:t xml:space="preserve"> combination of the above.</w:t>
                  </w:r>
                </w:p>
              </w:tc>
              <w:tc>
                <w:tcPr>
                  <w:tcW w:w="3639" w:type="dxa"/>
                  <w:tcBorders>
                    <w:top w:val="single" w:sz="12" w:space="0" w:color="A32020"/>
                    <w:left w:val="single" w:sz="12" w:space="0" w:color="A32020"/>
                    <w:right w:val="single" w:sz="12" w:space="0" w:color="A32020"/>
                  </w:tcBorders>
                </w:tcPr>
                <w:p w:rsidR="00B85F4E" w:rsidRPr="000A4A42" w:rsidRDefault="00B85F4E" w:rsidP="007236A4">
                  <w:pPr>
                    <w:pStyle w:val="BlockText"/>
                    <w:spacing w:before="0" w:after="80"/>
                    <w:ind w:left="0" w:right="-28"/>
                    <w:rPr>
                      <w:rFonts w:ascii="Arial" w:hAnsi="Arial" w:cs="Arial"/>
                      <w:sz w:val="4"/>
                      <w:szCs w:val="4"/>
                    </w:rPr>
                  </w:pPr>
                </w:p>
                <w:p w:rsidR="00B85F4E" w:rsidRPr="000A4A42" w:rsidRDefault="00B85F4E" w:rsidP="007236A4">
                  <w:pPr>
                    <w:pStyle w:val="BlockText"/>
                    <w:spacing w:before="0" w:after="80"/>
                    <w:ind w:left="224" w:right="-28" w:hanging="224"/>
                    <w:rPr>
                      <w:rFonts w:ascii="Arial" w:hAnsi="Arial" w:cs="Arial"/>
                      <w:sz w:val="16"/>
                      <w:szCs w:val="16"/>
                    </w:rPr>
                  </w:pPr>
                  <w:r w:rsidRPr="000A4A42">
                    <w:rPr>
                      <w:rFonts w:ascii="Arial" w:hAnsi="Arial" w:cs="Arial"/>
                      <w:sz w:val="16"/>
                      <w:szCs w:val="16"/>
                    </w:rPr>
                    <w:t>Where this coverage is obtained for:</w:t>
                  </w:r>
                </w:p>
                <w:p w:rsidR="00B85F4E" w:rsidRPr="000A4A42" w:rsidRDefault="00B85F4E" w:rsidP="007236A4">
                  <w:pPr>
                    <w:pStyle w:val="BlockText"/>
                    <w:numPr>
                      <w:ilvl w:val="0"/>
                      <w:numId w:val="14"/>
                    </w:numPr>
                    <w:tabs>
                      <w:tab w:val="clear" w:pos="720"/>
                      <w:tab w:val="num" w:pos="252"/>
                    </w:tabs>
                    <w:spacing w:before="0" w:after="80"/>
                    <w:ind w:left="252" w:right="-28" w:hanging="180"/>
                    <w:rPr>
                      <w:rFonts w:ascii="Arial" w:hAnsi="Arial" w:cs="Arial"/>
                      <w:sz w:val="16"/>
                      <w:szCs w:val="16"/>
                    </w:rPr>
                  </w:pPr>
                  <w:r w:rsidRPr="000A4A42">
                    <w:rPr>
                      <w:rFonts w:ascii="Arial" w:hAnsi="Arial" w:cs="Arial"/>
                      <w:sz w:val="16"/>
                      <w:szCs w:val="16"/>
                    </w:rPr>
                    <w:t>the provider’s entire overseas student fee income covered by ME, then the Additional Premium portion of the provider’s contribution w</w:t>
                  </w:r>
                  <w:r w:rsidR="00DD549A" w:rsidRPr="000A4A42">
                    <w:rPr>
                      <w:rFonts w:ascii="Arial" w:hAnsi="Arial" w:cs="Arial"/>
                      <w:sz w:val="16"/>
                      <w:szCs w:val="16"/>
                    </w:rPr>
                    <w:t xml:space="preserve">ill be adjusted based on </w:t>
                  </w:r>
                  <w:r w:rsidR="00471E49" w:rsidRPr="000A4A42">
                    <w:rPr>
                      <w:rFonts w:ascii="Arial" w:hAnsi="Arial" w:cs="Arial"/>
                      <w:sz w:val="16"/>
                      <w:szCs w:val="16"/>
                    </w:rPr>
                    <w:t>0.</w:t>
                  </w:r>
                  <w:r w:rsidR="000A4A42" w:rsidRPr="000A4A42">
                    <w:rPr>
                      <w:rFonts w:ascii="Arial" w:hAnsi="Arial" w:cs="Arial"/>
                      <w:sz w:val="16"/>
                      <w:szCs w:val="16"/>
                    </w:rPr>
                    <w:t>2</w:t>
                  </w:r>
                  <w:r w:rsidR="00CE1D71">
                    <w:rPr>
                      <w:rFonts w:ascii="Arial" w:hAnsi="Arial" w:cs="Arial"/>
                      <w:sz w:val="16"/>
                      <w:szCs w:val="16"/>
                    </w:rPr>
                    <w:t>60</w:t>
                  </w:r>
                  <w:r w:rsidRPr="000A4A42">
                    <w:rPr>
                      <w:rFonts w:ascii="Arial" w:hAnsi="Arial" w:cs="Arial"/>
                      <w:sz w:val="16"/>
                      <w:szCs w:val="16"/>
                    </w:rPr>
                    <w:t>% of their overseas income,</w:t>
                  </w:r>
                </w:p>
                <w:p w:rsidR="00B85F4E" w:rsidRPr="000A4A42" w:rsidRDefault="00B85F4E" w:rsidP="007236A4">
                  <w:pPr>
                    <w:pStyle w:val="BlockText"/>
                    <w:numPr>
                      <w:ilvl w:val="0"/>
                      <w:numId w:val="14"/>
                    </w:numPr>
                    <w:tabs>
                      <w:tab w:val="clear" w:pos="720"/>
                      <w:tab w:val="num" w:pos="252"/>
                    </w:tabs>
                    <w:spacing w:before="0" w:after="80"/>
                    <w:ind w:left="252" w:right="-28" w:hanging="180"/>
                    <w:rPr>
                      <w:rFonts w:ascii="Arial" w:hAnsi="Arial" w:cs="Arial"/>
                      <w:sz w:val="16"/>
                      <w:szCs w:val="16"/>
                    </w:rPr>
                  </w:pPr>
                  <w:r w:rsidRPr="000A4A42">
                    <w:rPr>
                      <w:rFonts w:ascii="Arial" w:hAnsi="Arial" w:cs="Arial"/>
                      <w:sz w:val="16"/>
                      <w:szCs w:val="16"/>
                    </w:rPr>
                    <w:t>the portion of the provider’s overseas student fee income covered by ME above $1 million, then the Additional Premium portion of the provider’s contribution will be adjusted based on:</w:t>
                  </w:r>
                </w:p>
                <w:p w:rsidR="00B85F4E" w:rsidRPr="000A4A42" w:rsidRDefault="000A4A42" w:rsidP="007236A4">
                  <w:pPr>
                    <w:numPr>
                      <w:ilvl w:val="0"/>
                      <w:numId w:val="15"/>
                    </w:numPr>
                    <w:tabs>
                      <w:tab w:val="clear" w:pos="720"/>
                      <w:tab w:val="num" w:pos="612"/>
                    </w:tabs>
                    <w:spacing w:before="60" w:after="60"/>
                    <w:ind w:left="612" w:right="-28" w:hanging="252"/>
                    <w:rPr>
                      <w:rFonts w:ascii="Arial" w:hAnsi="Arial" w:cs="Arial"/>
                      <w:sz w:val="16"/>
                      <w:szCs w:val="16"/>
                    </w:rPr>
                  </w:pPr>
                  <w:r w:rsidRPr="000A4A42">
                    <w:rPr>
                      <w:rFonts w:ascii="Arial" w:hAnsi="Arial" w:cs="Arial"/>
                      <w:sz w:val="16"/>
                      <w:szCs w:val="16"/>
                    </w:rPr>
                    <w:t>2.</w:t>
                  </w:r>
                  <w:r w:rsidR="00CE1D71">
                    <w:rPr>
                      <w:rFonts w:ascii="Arial" w:hAnsi="Arial" w:cs="Arial"/>
                      <w:sz w:val="16"/>
                      <w:szCs w:val="16"/>
                    </w:rPr>
                    <w:t>60</w:t>
                  </w:r>
                  <w:r w:rsidRPr="000A4A42">
                    <w:rPr>
                      <w:rFonts w:ascii="Arial" w:hAnsi="Arial" w:cs="Arial"/>
                      <w:sz w:val="16"/>
                      <w:szCs w:val="16"/>
                    </w:rPr>
                    <w:t>0</w:t>
                  </w:r>
                  <w:r w:rsidR="00B85F4E" w:rsidRPr="000A4A42">
                    <w:rPr>
                      <w:rFonts w:ascii="Arial" w:hAnsi="Arial" w:cs="Arial"/>
                      <w:sz w:val="16"/>
                      <w:szCs w:val="16"/>
                    </w:rPr>
                    <w:t>% of overseas income with ME (up to a maximum of $1 million), plus</w:t>
                  </w:r>
                </w:p>
                <w:p w:rsidR="00B85F4E" w:rsidRPr="000A4A42" w:rsidRDefault="000A4A42" w:rsidP="00763651">
                  <w:pPr>
                    <w:numPr>
                      <w:ilvl w:val="0"/>
                      <w:numId w:val="15"/>
                    </w:numPr>
                    <w:tabs>
                      <w:tab w:val="clear" w:pos="720"/>
                      <w:tab w:val="num" w:pos="612"/>
                    </w:tabs>
                    <w:spacing w:before="60" w:after="60"/>
                    <w:ind w:left="612" w:right="-28" w:hanging="252"/>
                    <w:rPr>
                      <w:rFonts w:ascii="Arial" w:hAnsi="Arial" w:cs="Arial"/>
                      <w:sz w:val="16"/>
                      <w:szCs w:val="16"/>
                    </w:rPr>
                  </w:pPr>
                  <w:r w:rsidRPr="000A4A42">
                    <w:rPr>
                      <w:rFonts w:ascii="Arial" w:hAnsi="Arial" w:cs="Arial"/>
                      <w:sz w:val="16"/>
                      <w:szCs w:val="16"/>
                    </w:rPr>
                    <w:t>0.2</w:t>
                  </w:r>
                  <w:r w:rsidR="00CE1D71">
                    <w:rPr>
                      <w:rFonts w:ascii="Arial" w:hAnsi="Arial" w:cs="Arial"/>
                      <w:sz w:val="16"/>
                      <w:szCs w:val="16"/>
                    </w:rPr>
                    <w:t>60</w:t>
                  </w:r>
                  <w:r w:rsidR="00B85F4E" w:rsidRPr="000A4A42">
                    <w:rPr>
                      <w:rFonts w:ascii="Arial" w:hAnsi="Arial" w:cs="Arial"/>
                      <w:sz w:val="16"/>
                      <w:szCs w:val="16"/>
                    </w:rPr>
                    <w:t>% of overseas income with PAM coverage.</w:t>
                  </w:r>
                </w:p>
              </w:tc>
            </w:tr>
            <w:tr w:rsidR="00B85F4E" w:rsidRPr="00395F04" w:rsidTr="00567085">
              <w:trPr>
                <w:jc w:val="center"/>
              </w:trPr>
              <w:tc>
                <w:tcPr>
                  <w:tcW w:w="1179" w:type="dxa"/>
                  <w:tcBorders>
                    <w:top w:val="single" w:sz="12" w:space="0" w:color="A32020"/>
                    <w:left w:val="single" w:sz="12" w:space="0" w:color="A32020"/>
                    <w:bottom w:val="single" w:sz="12" w:space="0" w:color="A32020"/>
                    <w:right w:val="single" w:sz="12" w:space="0" w:color="A32020"/>
                  </w:tcBorders>
                  <w:shd w:val="clear" w:color="auto" w:fill="A32020"/>
                </w:tcPr>
                <w:p w:rsidR="00B85F4E" w:rsidRPr="00567085" w:rsidRDefault="00B85F4E" w:rsidP="007236A4">
                  <w:pPr>
                    <w:pStyle w:val="BlockText"/>
                    <w:spacing w:before="0" w:after="80"/>
                    <w:ind w:left="0" w:right="-28"/>
                    <w:jc w:val="center"/>
                    <w:rPr>
                      <w:rFonts w:ascii="Arial" w:hAnsi="Arial" w:cs="Arial"/>
                      <w:i/>
                      <w:color w:val="FFFFFF"/>
                      <w:u w:val="single"/>
                    </w:rPr>
                  </w:pPr>
                  <w:r w:rsidRPr="00567085">
                    <w:rPr>
                      <w:rFonts w:ascii="Arial" w:hAnsi="Arial" w:cs="Arial"/>
                      <w:i/>
                      <w:color w:val="FFFFFF"/>
                      <w:u w:val="single"/>
                    </w:rPr>
                    <w:t>2</w:t>
                  </w:r>
                </w:p>
              </w:tc>
              <w:tc>
                <w:tcPr>
                  <w:tcW w:w="4385" w:type="dxa"/>
                  <w:tcBorders>
                    <w:left w:val="single" w:sz="12" w:space="0" w:color="A32020"/>
                    <w:right w:val="single" w:sz="12" w:space="0" w:color="A32020"/>
                  </w:tcBorders>
                </w:tcPr>
                <w:p w:rsidR="00B85F4E" w:rsidRDefault="00B85F4E" w:rsidP="007236A4">
                  <w:pPr>
                    <w:pStyle w:val="BlockText"/>
                    <w:tabs>
                      <w:tab w:val="left" w:pos="1440"/>
                    </w:tabs>
                    <w:spacing w:before="0" w:after="80"/>
                    <w:ind w:left="0" w:right="-28"/>
                    <w:rPr>
                      <w:rFonts w:ascii="Arial" w:hAnsi="Arial" w:cs="Arial"/>
                      <w:sz w:val="4"/>
                      <w:szCs w:val="4"/>
                    </w:rPr>
                  </w:pPr>
                </w:p>
                <w:p w:rsidR="00B85F4E" w:rsidRPr="00A6627B" w:rsidRDefault="00B85F4E" w:rsidP="007236A4">
                  <w:pPr>
                    <w:pStyle w:val="BlockText"/>
                    <w:tabs>
                      <w:tab w:val="left" w:pos="1440"/>
                    </w:tabs>
                    <w:spacing w:before="0" w:after="80"/>
                    <w:ind w:left="0" w:right="-28"/>
                    <w:rPr>
                      <w:rFonts w:ascii="Arial" w:hAnsi="Arial" w:cs="Arial"/>
                      <w:sz w:val="4"/>
                      <w:szCs w:val="4"/>
                    </w:rPr>
                  </w:pPr>
                  <w:r w:rsidRPr="00C54C69">
                    <w:rPr>
                      <w:rFonts w:ascii="Arial" w:hAnsi="Arial" w:cs="Arial"/>
                      <w:sz w:val="16"/>
                      <w:szCs w:val="16"/>
                    </w:rPr>
                    <w:t>Establish a trust account, at the provider’s own cost. All overseas student fee income will need to be deposited into the trust account, which is required to be managed by an external party. All payments from the trust account will be managed in accordance with a trust deed agreed between the provider and the Fund Manager. The trust arrangements will aim to ensure that the risk to the Fund is mitigated to an extent equivalent to a P</w:t>
                  </w:r>
                  <w:r w:rsidR="0080142A">
                    <w:rPr>
                      <w:rFonts w:ascii="Arial" w:hAnsi="Arial" w:cs="Arial"/>
                      <w:sz w:val="16"/>
                      <w:szCs w:val="16"/>
                    </w:rPr>
                    <w:t xml:space="preserve">rimary </w:t>
                  </w:r>
                  <w:r w:rsidRPr="00C54C69">
                    <w:rPr>
                      <w:rFonts w:ascii="Arial" w:hAnsi="Arial" w:cs="Arial"/>
                      <w:sz w:val="16"/>
                      <w:szCs w:val="16"/>
                    </w:rPr>
                    <w:t>A</w:t>
                  </w:r>
                  <w:r w:rsidR="0080142A">
                    <w:rPr>
                      <w:rFonts w:ascii="Arial" w:hAnsi="Arial" w:cs="Arial"/>
                      <w:sz w:val="16"/>
                      <w:szCs w:val="16"/>
                    </w:rPr>
                    <w:t>ssurance Mechanism</w:t>
                  </w:r>
                  <w:r w:rsidRPr="00C54C69">
                    <w:rPr>
                      <w:rFonts w:ascii="Arial" w:hAnsi="Arial" w:cs="Arial"/>
                      <w:sz w:val="16"/>
                      <w:szCs w:val="16"/>
                    </w:rPr>
                    <w:t>.</w:t>
                  </w:r>
                </w:p>
              </w:tc>
              <w:tc>
                <w:tcPr>
                  <w:tcW w:w="3639" w:type="dxa"/>
                  <w:tcBorders>
                    <w:left w:val="single" w:sz="12" w:space="0" w:color="A32020"/>
                    <w:right w:val="single" w:sz="12" w:space="0" w:color="A32020"/>
                  </w:tcBorders>
                </w:tcPr>
                <w:p w:rsidR="00B85F4E" w:rsidRPr="000A4A42" w:rsidRDefault="00B85F4E" w:rsidP="007236A4">
                  <w:pPr>
                    <w:pStyle w:val="BlockText"/>
                    <w:tabs>
                      <w:tab w:val="left" w:pos="1440"/>
                    </w:tabs>
                    <w:spacing w:before="0" w:after="80"/>
                    <w:ind w:left="0" w:right="-28"/>
                    <w:rPr>
                      <w:rFonts w:ascii="Arial" w:hAnsi="Arial" w:cs="Arial"/>
                      <w:sz w:val="4"/>
                      <w:szCs w:val="4"/>
                    </w:rPr>
                  </w:pPr>
                </w:p>
                <w:p w:rsidR="00B85F4E" w:rsidRPr="000A4A42" w:rsidRDefault="00B85F4E" w:rsidP="00CE1D71">
                  <w:pPr>
                    <w:pStyle w:val="BlockText"/>
                    <w:tabs>
                      <w:tab w:val="left" w:pos="1440"/>
                    </w:tabs>
                    <w:spacing w:before="0" w:after="80"/>
                    <w:ind w:left="0" w:right="-28"/>
                    <w:rPr>
                      <w:rFonts w:ascii="Arial" w:hAnsi="Arial" w:cs="Arial"/>
                      <w:sz w:val="16"/>
                      <w:szCs w:val="16"/>
                    </w:rPr>
                  </w:pPr>
                  <w:r w:rsidRPr="000A4A42">
                    <w:rPr>
                      <w:rFonts w:ascii="Arial" w:hAnsi="Arial" w:cs="Arial"/>
                      <w:sz w:val="16"/>
                      <w:szCs w:val="16"/>
                    </w:rPr>
                    <w:t xml:space="preserve">The provider’s Additional Premium will be adjusted based on a rate between </w:t>
                  </w:r>
                  <w:r w:rsidR="00471E49" w:rsidRPr="000A4A42">
                    <w:rPr>
                      <w:rFonts w:ascii="Arial" w:hAnsi="Arial" w:cs="Arial"/>
                      <w:sz w:val="16"/>
                      <w:szCs w:val="16"/>
                    </w:rPr>
                    <w:t>0.</w:t>
                  </w:r>
                  <w:r w:rsidR="00763651">
                    <w:rPr>
                      <w:rFonts w:ascii="Arial" w:hAnsi="Arial" w:cs="Arial"/>
                      <w:sz w:val="16"/>
                      <w:szCs w:val="16"/>
                    </w:rPr>
                    <w:t>2</w:t>
                  </w:r>
                  <w:r w:rsidR="00CE1D71">
                    <w:rPr>
                      <w:rFonts w:ascii="Arial" w:hAnsi="Arial" w:cs="Arial"/>
                      <w:sz w:val="16"/>
                      <w:szCs w:val="16"/>
                    </w:rPr>
                    <w:t>60</w:t>
                  </w:r>
                  <w:r w:rsidR="00DD549A" w:rsidRPr="000A4A42">
                    <w:rPr>
                      <w:rFonts w:ascii="Arial" w:hAnsi="Arial" w:cs="Arial"/>
                      <w:sz w:val="16"/>
                      <w:szCs w:val="16"/>
                    </w:rPr>
                    <w:t xml:space="preserve">% and </w:t>
                  </w:r>
                  <w:r w:rsidR="000A4A42" w:rsidRPr="000A4A42">
                    <w:rPr>
                      <w:rFonts w:ascii="Arial" w:hAnsi="Arial" w:cs="Arial"/>
                      <w:sz w:val="16"/>
                      <w:szCs w:val="16"/>
                    </w:rPr>
                    <w:t>2.</w:t>
                  </w:r>
                  <w:r w:rsidR="00CE1D71">
                    <w:rPr>
                      <w:rFonts w:ascii="Arial" w:hAnsi="Arial" w:cs="Arial"/>
                      <w:sz w:val="16"/>
                      <w:szCs w:val="16"/>
                    </w:rPr>
                    <w:t>60</w:t>
                  </w:r>
                  <w:r w:rsidR="000A4A42" w:rsidRPr="000A4A42">
                    <w:rPr>
                      <w:rFonts w:ascii="Arial" w:hAnsi="Arial" w:cs="Arial"/>
                      <w:sz w:val="16"/>
                      <w:szCs w:val="16"/>
                    </w:rPr>
                    <w:t xml:space="preserve">0 </w:t>
                  </w:r>
                  <w:r w:rsidRPr="000A4A42">
                    <w:rPr>
                      <w:rFonts w:ascii="Arial" w:hAnsi="Arial" w:cs="Arial"/>
                      <w:sz w:val="16"/>
                      <w:szCs w:val="16"/>
                    </w:rPr>
                    <w:t>% (the final percentage to be determined by the Fund Manager) of their overseas student fee income covered by the trust account arrangement.</w:t>
                  </w:r>
                </w:p>
              </w:tc>
            </w:tr>
            <w:tr w:rsidR="00B85F4E" w:rsidRPr="00395F04" w:rsidTr="00567085">
              <w:trPr>
                <w:jc w:val="center"/>
              </w:trPr>
              <w:tc>
                <w:tcPr>
                  <w:tcW w:w="1179" w:type="dxa"/>
                  <w:tcBorders>
                    <w:top w:val="single" w:sz="12" w:space="0" w:color="A32020"/>
                    <w:left w:val="single" w:sz="12" w:space="0" w:color="A32020"/>
                    <w:bottom w:val="single" w:sz="12" w:space="0" w:color="A32020"/>
                    <w:right w:val="single" w:sz="12" w:space="0" w:color="A32020"/>
                  </w:tcBorders>
                  <w:shd w:val="clear" w:color="auto" w:fill="A32020"/>
                </w:tcPr>
                <w:p w:rsidR="00B85F4E" w:rsidRPr="00567085" w:rsidRDefault="00B85F4E" w:rsidP="007236A4">
                  <w:pPr>
                    <w:pStyle w:val="BlockText"/>
                    <w:spacing w:before="0" w:after="80"/>
                    <w:ind w:left="0" w:right="-28"/>
                    <w:jc w:val="center"/>
                    <w:rPr>
                      <w:rFonts w:ascii="Arial" w:hAnsi="Arial" w:cs="Arial"/>
                      <w:i/>
                      <w:color w:val="FFFFFF"/>
                      <w:u w:val="single"/>
                    </w:rPr>
                  </w:pPr>
                  <w:r w:rsidRPr="00567085">
                    <w:rPr>
                      <w:rFonts w:ascii="Arial" w:hAnsi="Arial" w:cs="Arial"/>
                      <w:i/>
                      <w:color w:val="FFFFFF"/>
                      <w:u w:val="single"/>
                    </w:rPr>
                    <w:t>3</w:t>
                  </w:r>
                </w:p>
              </w:tc>
              <w:tc>
                <w:tcPr>
                  <w:tcW w:w="4385" w:type="dxa"/>
                  <w:tcBorders>
                    <w:left w:val="single" w:sz="12" w:space="0" w:color="A32020"/>
                    <w:bottom w:val="single" w:sz="12" w:space="0" w:color="A32020"/>
                    <w:right w:val="single" w:sz="12" w:space="0" w:color="A32020"/>
                  </w:tcBorders>
                </w:tcPr>
                <w:p w:rsidR="00B85F4E" w:rsidRDefault="00B85F4E" w:rsidP="007236A4">
                  <w:pPr>
                    <w:pStyle w:val="BlockText"/>
                    <w:spacing w:before="0" w:after="80"/>
                    <w:ind w:left="0" w:right="-28"/>
                    <w:rPr>
                      <w:rFonts w:ascii="Arial" w:hAnsi="Arial" w:cs="Arial"/>
                      <w:sz w:val="4"/>
                      <w:szCs w:val="4"/>
                    </w:rPr>
                  </w:pPr>
                </w:p>
                <w:p w:rsidR="00B85F4E" w:rsidRPr="00A6627B" w:rsidRDefault="00B85F4E" w:rsidP="007236A4">
                  <w:pPr>
                    <w:pStyle w:val="BlockText"/>
                    <w:spacing w:before="0" w:after="80"/>
                    <w:ind w:left="0" w:right="-28"/>
                    <w:rPr>
                      <w:rFonts w:ascii="Arial" w:hAnsi="Arial" w:cs="Arial"/>
                      <w:sz w:val="4"/>
                      <w:szCs w:val="4"/>
                    </w:rPr>
                  </w:pPr>
                  <w:r w:rsidRPr="00A6627B">
                    <w:rPr>
                      <w:rFonts w:ascii="Arial" w:hAnsi="Arial" w:cs="Arial"/>
                      <w:sz w:val="16"/>
                      <w:szCs w:val="16"/>
                    </w:rPr>
                    <w:t>Discuss with the Fund Manager alternative ways of mitigating the risk to the Fund.</w:t>
                  </w:r>
                </w:p>
              </w:tc>
              <w:tc>
                <w:tcPr>
                  <w:tcW w:w="3639" w:type="dxa"/>
                  <w:tcBorders>
                    <w:left w:val="single" w:sz="12" w:space="0" w:color="A32020"/>
                    <w:bottom w:val="single" w:sz="12" w:space="0" w:color="A32020"/>
                    <w:right w:val="single" w:sz="12" w:space="0" w:color="A32020"/>
                  </w:tcBorders>
                </w:tcPr>
                <w:p w:rsidR="00B85F4E" w:rsidRPr="000A4A42" w:rsidRDefault="00B85F4E" w:rsidP="007236A4">
                  <w:pPr>
                    <w:pStyle w:val="BlockText"/>
                    <w:spacing w:before="0" w:after="80"/>
                    <w:ind w:left="0" w:right="-28"/>
                    <w:rPr>
                      <w:rFonts w:ascii="Arial" w:hAnsi="Arial" w:cs="Arial"/>
                      <w:sz w:val="4"/>
                      <w:szCs w:val="4"/>
                    </w:rPr>
                  </w:pPr>
                </w:p>
                <w:p w:rsidR="00B85F4E" w:rsidRPr="000A4A42" w:rsidRDefault="00B85F4E" w:rsidP="00A40470">
                  <w:pPr>
                    <w:pStyle w:val="BlockText"/>
                    <w:spacing w:before="0" w:after="80"/>
                    <w:ind w:left="0" w:right="-28"/>
                    <w:rPr>
                      <w:rFonts w:ascii="Arial" w:hAnsi="Arial" w:cs="Arial"/>
                      <w:sz w:val="16"/>
                      <w:szCs w:val="16"/>
                    </w:rPr>
                  </w:pPr>
                  <w:r w:rsidRPr="000A4A42">
                    <w:rPr>
                      <w:rFonts w:ascii="Arial" w:hAnsi="Arial" w:cs="Arial"/>
                      <w:sz w:val="16"/>
                      <w:szCs w:val="16"/>
                    </w:rPr>
                    <w:t xml:space="preserve">The provider’s Additional Premium will be adjusted at the Fund Manager’s discretion which may include a rate greater or less than </w:t>
                  </w:r>
                  <w:r w:rsidR="000A4A42" w:rsidRPr="000A4A42">
                    <w:rPr>
                      <w:rFonts w:ascii="Arial" w:hAnsi="Arial" w:cs="Arial"/>
                      <w:sz w:val="16"/>
                      <w:szCs w:val="16"/>
                    </w:rPr>
                    <w:t>2.</w:t>
                  </w:r>
                  <w:r w:rsidR="00A40470">
                    <w:rPr>
                      <w:rFonts w:ascii="Arial" w:hAnsi="Arial" w:cs="Arial"/>
                      <w:sz w:val="16"/>
                      <w:szCs w:val="16"/>
                    </w:rPr>
                    <w:t>60</w:t>
                  </w:r>
                  <w:r w:rsidR="000A4A42" w:rsidRPr="000A4A42">
                    <w:rPr>
                      <w:rFonts w:ascii="Arial" w:hAnsi="Arial" w:cs="Arial"/>
                      <w:sz w:val="16"/>
                      <w:szCs w:val="16"/>
                    </w:rPr>
                    <w:t>0</w:t>
                  </w:r>
                  <w:r w:rsidRPr="000A4A42">
                    <w:rPr>
                      <w:rFonts w:ascii="Arial" w:hAnsi="Arial" w:cs="Arial"/>
                      <w:sz w:val="16"/>
                      <w:szCs w:val="16"/>
                    </w:rPr>
                    <w:t>% of overseas student income depending on the circumstances.</w:t>
                  </w:r>
                </w:p>
              </w:tc>
            </w:tr>
          </w:tbl>
          <w:p w:rsidR="00B85F4E" w:rsidRPr="00A76020" w:rsidRDefault="00B85F4E" w:rsidP="00A76020">
            <w:pPr>
              <w:pStyle w:val="BlockText"/>
              <w:spacing w:before="0" w:after="80"/>
              <w:ind w:left="0" w:right="-28"/>
              <w:rPr>
                <w:rFonts w:ascii="Arial" w:hAnsi="Arial" w:cs="Arial"/>
                <w:sz w:val="4"/>
                <w:szCs w:val="4"/>
              </w:rPr>
            </w:pPr>
          </w:p>
          <w:p w:rsidR="00B85F4E" w:rsidRPr="00A76020" w:rsidRDefault="00B85F4E" w:rsidP="00A76020">
            <w:pPr>
              <w:pStyle w:val="BlockText"/>
              <w:spacing w:before="0" w:after="0"/>
              <w:ind w:left="360" w:right="-30"/>
              <w:rPr>
                <w:rFonts w:ascii="Arial" w:hAnsi="Arial" w:cs="Arial"/>
                <w:sz w:val="18"/>
                <w:szCs w:val="18"/>
              </w:rPr>
            </w:pPr>
            <w:r w:rsidRPr="00A76020">
              <w:rPr>
                <w:rFonts w:ascii="Arial" w:hAnsi="Arial" w:cs="Arial"/>
                <w:sz w:val="18"/>
                <w:szCs w:val="18"/>
              </w:rPr>
              <w:t xml:space="preserve">Where providers fail to obtain one of the alternatives listed above within 6 months of advising the Fund Manager </w:t>
            </w:r>
          </w:p>
          <w:p w:rsidR="00B85F4E" w:rsidRPr="00A76020" w:rsidRDefault="00B85F4E" w:rsidP="00A76020">
            <w:pPr>
              <w:pStyle w:val="BlockText"/>
              <w:spacing w:before="0" w:after="0"/>
              <w:ind w:left="360" w:right="-30"/>
              <w:rPr>
                <w:rFonts w:ascii="Arial" w:hAnsi="Arial" w:cs="Arial"/>
                <w:sz w:val="18"/>
                <w:szCs w:val="18"/>
              </w:rPr>
            </w:pPr>
            <w:proofErr w:type="gramStart"/>
            <w:r w:rsidRPr="00A76020">
              <w:rPr>
                <w:rFonts w:ascii="Arial" w:hAnsi="Arial" w:cs="Arial"/>
                <w:sz w:val="18"/>
                <w:szCs w:val="18"/>
              </w:rPr>
              <w:t>of</w:t>
            </w:r>
            <w:proofErr w:type="gramEnd"/>
            <w:r w:rsidRPr="00A76020">
              <w:rPr>
                <w:rFonts w:ascii="Arial" w:hAnsi="Arial" w:cs="Arial"/>
                <w:sz w:val="18"/>
                <w:szCs w:val="18"/>
              </w:rPr>
              <w:t xml:space="preserve"> their overseas fee income, the Fund Manager will automatically apply Alternative 3.</w:t>
            </w:r>
          </w:p>
          <w:p w:rsidR="001E1F58" w:rsidRPr="00A76020" w:rsidRDefault="001E1F58" w:rsidP="00A76020">
            <w:pPr>
              <w:pStyle w:val="BodyText"/>
              <w:ind w:left="360" w:right="278"/>
              <w:rPr>
                <w:rFonts w:ascii="Arial" w:hAnsi="Arial" w:cs="Arial"/>
                <w:b w:val="0"/>
                <w:sz w:val="12"/>
                <w:szCs w:val="12"/>
              </w:rPr>
            </w:pPr>
          </w:p>
          <w:p w:rsidR="00B85F4E" w:rsidRPr="00A76020" w:rsidRDefault="00B85F4E" w:rsidP="00A76020">
            <w:pPr>
              <w:pStyle w:val="BlockText"/>
              <w:spacing w:before="0" w:after="0"/>
              <w:ind w:left="360" w:right="-30"/>
              <w:rPr>
                <w:rFonts w:ascii="Arial" w:hAnsi="Arial" w:cs="Arial"/>
                <w:sz w:val="4"/>
                <w:szCs w:val="4"/>
              </w:rPr>
            </w:pPr>
          </w:p>
        </w:tc>
      </w:tr>
      <w:tr w:rsidR="00B85F4E" w:rsidRPr="00A76020" w:rsidTr="00567085">
        <w:tc>
          <w:tcPr>
            <w:tcW w:w="10620" w:type="dxa"/>
          </w:tcPr>
          <w:p w:rsidR="00B85F4E" w:rsidRPr="00A76020" w:rsidRDefault="00B85F4E" w:rsidP="00A76020">
            <w:pPr>
              <w:pStyle w:val="Title"/>
              <w:ind w:right="-30"/>
              <w:jc w:val="left"/>
              <w:rPr>
                <w:rFonts w:ascii="Arial" w:hAnsi="Arial" w:cs="Arial"/>
                <w:sz w:val="4"/>
                <w:szCs w:val="4"/>
                <w:u w:val="single"/>
              </w:rPr>
            </w:pPr>
          </w:p>
          <w:p w:rsidR="00B331EF" w:rsidRPr="00A76020" w:rsidRDefault="00B331EF" w:rsidP="00A76020">
            <w:pPr>
              <w:pStyle w:val="BodyText"/>
              <w:ind w:right="-30"/>
              <w:rPr>
                <w:rFonts w:ascii="Arial" w:hAnsi="Arial" w:cs="Arial"/>
                <w:sz w:val="18"/>
                <w:szCs w:val="18"/>
                <w:u w:val="single"/>
              </w:rPr>
            </w:pPr>
          </w:p>
          <w:p w:rsidR="00B85F4E" w:rsidRPr="00567085" w:rsidRDefault="00B85F4E" w:rsidP="00A76020">
            <w:pPr>
              <w:pStyle w:val="BodyText"/>
              <w:ind w:right="-30"/>
              <w:rPr>
                <w:rFonts w:ascii="Arial" w:hAnsi="Arial" w:cs="Arial"/>
                <w:color w:val="602320"/>
                <w:sz w:val="18"/>
                <w:szCs w:val="18"/>
                <w:u w:val="single"/>
              </w:rPr>
            </w:pPr>
            <w:r w:rsidRPr="00567085">
              <w:rPr>
                <w:rFonts w:ascii="Arial" w:hAnsi="Arial" w:cs="Arial"/>
                <w:color w:val="602320"/>
                <w:sz w:val="18"/>
                <w:szCs w:val="18"/>
                <w:u w:val="single"/>
              </w:rPr>
              <w:t>Providers not covered by a Primary Assurance Mechanism (PAM) or a Ministerial Exemption (ME)</w:t>
            </w:r>
          </w:p>
          <w:p w:rsidR="00B85F4E" w:rsidRPr="00A76020" w:rsidRDefault="00B85F4E" w:rsidP="00A76020">
            <w:pPr>
              <w:pStyle w:val="BodyText"/>
              <w:ind w:right="-30"/>
              <w:rPr>
                <w:rFonts w:ascii="Arial" w:hAnsi="Arial" w:cs="Arial"/>
                <w:b w:val="0"/>
                <w:sz w:val="4"/>
                <w:szCs w:val="4"/>
              </w:rPr>
            </w:pPr>
          </w:p>
          <w:p w:rsidR="002323E8" w:rsidRPr="00A76020" w:rsidRDefault="002323E8" w:rsidP="00A76020">
            <w:pPr>
              <w:pStyle w:val="BodyText"/>
              <w:ind w:left="360" w:right="278"/>
              <w:rPr>
                <w:rFonts w:ascii="Arial" w:hAnsi="Arial" w:cs="Arial"/>
                <w:b w:val="0"/>
                <w:sz w:val="18"/>
                <w:szCs w:val="18"/>
              </w:rPr>
            </w:pPr>
            <w:r w:rsidRPr="00A76020">
              <w:rPr>
                <w:rFonts w:ascii="Arial" w:hAnsi="Arial" w:cs="Arial"/>
                <w:b w:val="0"/>
                <w:sz w:val="18"/>
                <w:szCs w:val="18"/>
              </w:rPr>
              <w:t xml:space="preserve">Should the situation occur where a provider is, for a period of time, for whatever reason, without a PAM or ME, the provider must inform the Fund Manager as soon as practicable, and the provider’s contribution will be adjusted, based on the uncovered Additional Premium rate, for the period during which the provider is without coverage, plus </w:t>
            </w:r>
            <w:r w:rsidR="00763651" w:rsidRPr="00A76020">
              <w:rPr>
                <w:rFonts w:ascii="Arial" w:hAnsi="Arial" w:cs="Arial"/>
                <w:b w:val="0"/>
                <w:sz w:val="18"/>
                <w:szCs w:val="18"/>
              </w:rPr>
              <w:t>an administration fee of $37</w:t>
            </w:r>
            <w:r w:rsidRPr="00A76020">
              <w:rPr>
                <w:rFonts w:ascii="Arial" w:hAnsi="Arial" w:cs="Arial"/>
                <w:b w:val="0"/>
                <w:sz w:val="18"/>
                <w:szCs w:val="18"/>
              </w:rPr>
              <w:t xml:space="preserve">0. </w:t>
            </w:r>
          </w:p>
          <w:p w:rsidR="00B85F4E" w:rsidRPr="00A76020" w:rsidRDefault="00B85F4E" w:rsidP="00A76020">
            <w:pPr>
              <w:pStyle w:val="BodyText"/>
              <w:ind w:right="278"/>
              <w:rPr>
                <w:rFonts w:ascii="Arial" w:hAnsi="Arial" w:cs="Arial"/>
                <w:b w:val="0"/>
                <w:sz w:val="12"/>
                <w:szCs w:val="12"/>
              </w:rPr>
            </w:pPr>
          </w:p>
          <w:p w:rsidR="00B85F4E" w:rsidRPr="00A76020" w:rsidRDefault="00B85F4E" w:rsidP="00A76020">
            <w:pPr>
              <w:pStyle w:val="BodyText"/>
              <w:ind w:left="360" w:right="278"/>
              <w:rPr>
                <w:rFonts w:ascii="Arial" w:hAnsi="Arial" w:cs="Arial"/>
                <w:b w:val="0"/>
                <w:sz w:val="18"/>
                <w:szCs w:val="18"/>
              </w:rPr>
            </w:pPr>
            <w:r w:rsidRPr="00A76020">
              <w:rPr>
                <w:rFonts w:ascii="Arial" w:hAnsi="Arial" w:cs="Arial"/>
                <w:b w:val="0"/>
                <w:sz w:val="18"/>
                <w:szCs w:val="18"/>
              </w:rPr>
              <w:t xml:space="preserve">In addition, if the provider’s overseas fee income is in excess of $1 million, the provider will be requested to comply with alternative 1 or 2 in the above section of the </w:t>
            </w:r>
            <w:r w:rsidR="000247F7" w:rsidRPr="00A76020">
              <w:rPr>
                <w:rFonts w:ascii="Arial" w:hAnsi="Arial" w:cs="Arial"/>
                <w:b w:val="0"/>
                <w:sz w:val="18"/>
                <w:szCs w:val="18"/>
              </w:rPr>
              <w:t>Contributions Criteria</w:t>
            </w:r>
            <w:r w:rsidRPr="00A76020">
              <w:rPr>
                <w:rFonts w:ascii="Arial" w:hAnsi="Arial" w:cs="Arial"/>
                <w:b w:val="0"/>
                <w:sz w:val="18"/>
                <w:szCs w:val="18"/>
              </w:rPr>
              <w:t xml:space="preserve">. </w:t>
            </w:r>
          </w:p>
          <w:p w:rsidR="00B85F4E" w:rsidRPr="00A76020" w:rsidRDefault="00B85F4E" w:rsidP="00A76020">
            <w:pPr>
              <w:pStyle w:val="BodyText"/>
              <w:ind w:left="360" w:right="278"/>
              <w:rPr>
                <w:rFonts w:ascii="Arial" w:hAnsi="Arial" w:cs="Arial"/>
                <w:b w:val="0"/>
                <w:sz w:val="12"/>
                <w:szCs w:val="12"/>
              </w:rPr>
            </w:pPr>
          </w:p>
          <w:p w:rsidR="002323E8" w:rsidRPr="00A76020" w:rsidRDefault="00B85F4E" w:rsidP="00A76020">
            <w:pPr>
              <w:pStyle w:val="BodyText"/>
              <w:ind w:left="360" w:right="278"/>
              <w:rPr>
                <w:rFonts w:ascii="Arial" w:hAnsi="Arial" w:cs="Arial"/>
                <w:b w:val="0"/>
                <w:sz w:val="18"/>
                <w:szCs w:val="18"/>
              </w:rPr>
            </w:pPr>
            <w:r w:rsidRPr="00A76020">
              <w:rPr>
                <w:rFonts w:ascii="Arial" w:hAnsi="Arial" w:cs="Arial"/>
                <w:b w:val="0"/>
                <w:sz w:val="18"/>
                <w:szCs w:val="18"/>
              </w:rPr>
              <w:t xml:space="preserve">Should the provider subsequently secure a PAM </w:t>
            </w:r>
            <w:r w:rsidR="0080142A" w:rsidRPr="00A76020">
              <w:rPr>
                <w:rFonts w:ascii="Arial" w:hAnsi="Arial" w:cs="Arial"/>
                <w:b w:val="0"/>
                <w:sz w:val="18"/>
                <w:szCs w:val="18"/>
              </w:rPr>
              <w:t>or</w:t>
            </w:r>
            <w:r w:rsidRPr="00A76020">
              <w:rPr>
                <w:rFonts w:ascii="Arial" w:hAnsi="Arial" w:cs="Arial"/>
                <w:b w:val="0"/>
                <w:sz w:val="18"/>
                <w:szCs w:val="18"/>
              </w:rPr>
              <w:t xml:space="preserve"> ME (along with an additional form of coverage listed under alternative 1 or 2, where required) then the provider’s contribution will be adjusted accordingly.</w:t>
            </w:r>
          </w:p>
          <w:p w:rsidR="00B85F4E" w:rsidRPr="00A76020" w:rsidRDefault="00B85F4E" w:rsidP="00A76020">
            <w:pPr>
              <w:pStyle w:val="BodyText"/>
              <w:ind w:right="-30"/>
              <w:rPr>
                <w:rFonts w:ascii="Arial" w:hAnsi="Arial" w:cs="Arial"/>
                <w:b w:val="0"/>
                <w:sz w:val="4"/>
                <w:szCs w:val="4"/>
              </w:rPr>
            </w:pPr>
          </w:p>
        </w:tc>
      </w:tr>
      <w:tr w:rsidR="00B85F4E" w:rsidRPr="00A76020" w:rsidTr="00567085">
        <w:tc>
          <w:tcPr>
            <w:tcW w:w="10620" w:type="dxa"/>
          </w:tcPr>
          <w:p w:rsidR="00B331EF" w:rsidRPr="00A76020" w:rsidRDefault="00B331EF" w:rsidP="00A76020">
            <w:pPr>
              <w:pStyle w:val="Title"/>
              <w:ind w:right="-30"/>
              <w:jc w:val="left"/>
              <w:rPr>
                <w:rFonts w:ascii="Arial" w:hAnsi="Arial" w:cs="Arial"/>
                <w:sz w:val="20"/>
                <w:szCs w:val="20"/>
                <w:u w:val="single"/>
              </w:rPr>
            </w:pPr>
          </w:p>
          <w:p w:rsidR="00B85F4E" w:rsidRPr="00567085" w:rsidRDefault="00B85F4E" w:rsidP="00A76020">
            <w:pPr>
              <w:pStyle w:val="Title"/>
              <w:ind w:right="-30"/>
              <w:jc w:val="left"/>
              <w:rPr>
                <w:rFonts w:ascii="Arial" w:hAnsi="Arial" w:cs="Arial"/>
                <w:color w:val="602320"/>
                <w:sz w:val="20"/>
                <w:szCs w:val="20"/>
                <w:u w:val="single"/>
              </w:rPr>
            </w:pPr>
            <w:r w:rsidRPr="00567085">
              <w:rPr>
                <w:rFonts w:ascii="Arial" w:hAnsi="Arial" w:cs="Arial"/>
                <w:color w:val="602320"/>
                <w:sz w:val="20"/>
                <w:szCs w:val="20"/>
                <w:u w:val="single"/>
              </w:rPr>
              <w:t>Security over Assets</w:t>
            </w:r>
          </w:p>
          <w:p w:rsidR="00B85F4E" w:rsidRPr="00A76020" w:rsidRDefault="00B85F4E" w:rsidP="00A76020">
            <w:pPr>
              <w:pStyle w:val="Title"/>
              <w:ind w:right="-30"/>
              <w:jc w:val="left"/>
              <w:rPr>
                <w:rFonts w:ascii="Arial" w:hAnsi="Arial" w:cs="Arial"/>
                <w:sz w:val="4"/>
                <w:szCs w:val="4"/>
                <w:u w:val="single"/>
              </w:rPr>
            </w:pPr>
          </w:p>
          <w:p w:rsidR="00B85F4E" w:rsidRPr="00A76020" w:rsidRDefault="00B85F4E" w:rsidP="00A76020">
            <w:pPr>
              <w:pStyle w:val="Title"/>
              <w:ind w:left="360" w:right="458"/>
              <w:jc w:val="left"/>
              <w:rPr>
                <w:rFonts w:ascii="Arial" w:hAnsi="Arial" w:cs="Arial"/>
                <w:b w:val="0"/>
                <w:sz w:val="18"/>
                <w:szCs w:val="18"/>
              </w:rPr>
            </w:pPr>
            <w:r w:rsidRPr="00A76020">
              <w:rPr>
                <w:rFonts w:ascii="Arial" w:hAnsi="Arial" w:cs="Arial"/>
                <w:b w:val="0"/>
                <w:sz w:val="18"/>
                <w:szCs w:val="18"/>
              </w:rPr>
              <w:t xml:space="preserve">Providers can request (and will be assessed on a case-by-case basis) that the Fund Manager take a security over </w:t>
            </w:r>
            <w:r w:rsidR="0080142A" w:rsidRPr="00A76020">
              <w:rPr>
                <w:rFonts w:ascii="Arial" w:hAnsi="Arial" w:cs="Arial"/>
                <w:b w:val="0"/>
                <w:sz w:val="18"/>
                <w:szCs w:val="18"/>
              </w:rPr>
              <w:t xml:space="preserve">their </w:t>
            </w:r>
            <w:r w:rsidRPr="00A76020">
              <w:rPr>
                <w:rFonts w:ascii="Arial" w:hAnsi="Arial" w:cs="Arial"/>
                <w:b w:val="0"/>
                <w:sz w:val="18"/>
                <w:szCs w:val="18"/>
              </w:rPr>
              <w:t xml:space="preserve">suitable assets. </w:t>
            </w:r>
            <w:r w:rsidR="0080142A" w:rsidRPr="00A76020">
              <w:rPr>
                <w:rFonts w:ascii="Arial" w:hAnsi="Arial" w:cs="Arial"/>
                <w:b w:val="0"/>
                <w:sz w:val="18"/>
                <w:szCs w:val="18"/>
              </w:rPr>
              <w:t>If a security is taken over a provider’s assets, t</w:t>
            </w:r>
            <w:r w:rsidRPr="00A76020">
              <w:rPr>
                <w:rFonts w:ascii="Arial" w:hAnsi="Arial" w:cs="Arial"/>
                <w:b w:val="0"/>
                <w:sz w:val="18"/>
                <w:szCs w:val="18"/>
              </w:rPr>
              <w:t>his will result in a reduction in the provider’s annual Fund contribution.</w:t>
            </w:r>
          </w:p>
        </w:tc>
      </w:tr>
      <w:tr w:rsidR="001E1F58" w:rsidRPr="00A76020" w:rsidTr="00567085">
        <w:tc>
          <w:tcPr>
            <w:tcW w:w="10620" w:type="dxa"/>
          </w:tcPr>
          <w:p w:rsidR="00B331EF" w:rsidRPr="00A76020" w:rsidRDefault="00B331EF" w:rsidP="00A76020">
            <w:pPr>
              <w:pStyle w:val="Title"/>
              <w:ind w:right="-30"/>
              <w:jc w:val="left"/>
              <w:rPr>
                <w:rFonts w:ascii="Arial" w:hAnsi="Arial" w:cs="Arial"/>
                <w:sz w:val="20"/>
                <w:szCs w:val="20"/>
                <w:u w:val="single"/>
              </w:rPr>
            </w:pPr>
          </w:p>
          <w:p w:rsidR="001E1F58" w:rsidRPr="00567085" w:rsidRDefault="001E1F58" w:rsidP="00A76020">
            <w:pPr>
              <w:pStyle w:val="Title"/>
              <w:ind w:right="-30"/>
              <w:jc w:val="left"/>
              <w:rPr>
                <w:rFonts w:ascii="Arial" w:hAnsi="Arial" w:cs="Arial"/>
                <w:color w:val="602320"/>
                <w:sz w:val="20"/>
                <w:szCs w:val="20"/>
                <w:u w:val="single"/>
              </w:rPr>
            </w:pPr>
            <w:r w:rsidRPr="00567085">
              <w:rPr>
                <w:rFonts w:ascii="Arial" w:hAnsi="Arial" w:cs="Arial"/>
                <w:color w:val="602320"/>
                <w:sz w:val="20"/>
                <w:szCs w:val="20"/>
                <w:u w:val="single"/>
              </w:rPr>
              <w:t>Providers operating overcapacity</w:t>
            </w:r>
          </w:p>
          <w:p w:rsidR="001E1F58" w:rsidRPr="00A76020" w:rsidRDefault="001E1F58" w:rsidP="00A76020">
            <w:pPr>
              <w:pStyle w:val="Title"/>
              <w:ind w:right="-30"/>
              <w:jc w:val="left"/>
              <w:rPr>
                <w:rFonts w:ascii="Arial" w:hAnsi="Arial" w:cs="Arial"/>
                <w:sz w:val="4"/>
                <w:szCs w:val="4"/>
                <w:u w:val="single"/>
              </w:rPr>
            </w:pPr>
          </w:p>
          <w:p w:rsidR="001E1F58" w:rsidRPr="00A76020" w:rsidRDefault="001E1F58" w:rsidP="00A76020">
            <w:pPr>
              <w:pStyle w:val="Title"/>
              <w:ind w:left="360" w:right="458"/>
              <w:jc w:val="left"/>
              <w:rPr>
                <w:rFonts w:ascii="Arial" w:hAnsi="Arial" w:cs="Arial"/>
                <w:b w:val="0"/>
                <w:sz w:val="18"/>
                <w:szCs w:val="18"/>
              </w:rPr>
            </w:pPr>
            <w:r w:rsidRPr="00A76020">
              <w:rPr>
                <w:rFonts w:ascii="Arial" w:hAnsi="Arial" w:cs="Arial"/>
                <w:b w:val="0"/>
                <w:sz w:val="18"/>
                <w:szCs w:val="18"/>
              </w:rPr>
              <w:t xml:space="preserve">Should the situation occur where a provider’s student enrolment numbers exceed their approved capacity, by more than 10%, the provider’s contribution will be adjusted. The adjustment will result in the component of their overseas fee income that relates to enrolments above the approved capacity being invoiced at the uncovered rate in order to reflect the additional risk on the Fund. </w:t>
            </w:r>
          </w:p>
          <w:p w:rsidR="001E1F58" w:rsidRPr="00A76020" w:rsidRDefault="001E1F58" w:rsidP="00A76020">
            <w:pPr>
              <w:autoSpaceDE w:val="0"/>
              <w:autoSpaceDN w:val="0"/>
              <w:adjustRightInd w:val="0"/>
              <w:rPr>
                <w:rFonts w:ascii="Arial" w:hAnsi="Arial" w:cs="Arial"/>
                <w:sz w:val="12"/>
                <w:szCs w:val="12"/>
                <w:lang w:eastAsia="en-AU"/>
              </w:rPr>
            </w:pPr>
          </w:p>
          <w:p w:rsidR="001E1F58" w:rsidRPr="00A76020" w:rsidRDefault="001E1F58" w:rsidP="00A76020">
            <w:pPr>
              <w:pStyle w:val="Title"/>
              <w:ind w:left="360" w:right="458"/>
              <w:jc w:val="left"/>
              <w:rPr>
                <w:rFonts w:ascii="Arial" w:hAnsi="Arial" w:cs="Arial"/>
                <w:b w:val="0"/>
                <w:sz w:val="18"/>
                <w:szCs w:val="18"/>
              </w:rPr>
            </w:pPr>
            <w:r w:rsidRPr="00A76020">
              <w:rPr>
                <w:rFonts w:ascii="Arial" w:hAnsi="Arial" w:cs="Arial"/>
                <w:b w:val="0"/>
                <w:sz w:val="18"/>
                <w:szCs w:val="18"/>
              </w:rPr>
              <w:t xml:space="preserve">The Fund Manager will obtain overcapacity data from the Department of Education, Employment and Workplace Relations (DEEWR). The overcapacity rate applicable to your contribution </w:t>
            </w:r>
            <w:r w:rsidR="00E9052C" w:rsidRPr="00A76020">
              <w:rPr>
                <w:rFonts w:ascii="Arial" w:hAnsi="Arial" w:cs="Arial"/>
                <w:b w:val="0"/>
                <w:sz w:val="18"/>
                <w:szCs w:val="18"/>
              </w:rPr>
              <w:t>will initially be based on a</w:t>
            </w:r>
            <w:r w:rsidRPr="00A76020">
              <w:rPr>
                <w:rFonts w:ascii="Arial" w:hAnsi="Arial" w:cs="Arial"/>
                <w:b w:val="0"/>
                <w:sz w:val="18"/>
                <w:szCs w:val="18"/>
              </w:rPr>
              <w:t xml:space="preserve"> point in time. However, the Fund Manager will make an adjustment to the overcapacity rate in the following year based on the </w:t>
            </w:r>
            <w:r w:rsidR="00E9052C" w:rsidRPr="00A76020">
              <w:rPr>
                <w:rFonts w:ascii="Arial" w:hAnsi="Arial" w:cs="Arial"/>
                <w:b w:val="0"/>
                <w:sz w:val="18"/>
                <w:szCs w:val="18"/>
              </w:rPr>
              <w:t>actual average overcapacity</w:t>
            </w:r>
            <w:r w:rsidRPr="00A76020">
              <w:rPr>
                <w:rFonts w:ascii="Arial" w:hAnsi="Arial" w:cs="Arial"/>
                <w:b w:val="0"/>
                <w:sz w:val="18"/>
                <w:szCs w:val="18"/>
              </w:rPr>
              <w:t xml:space="preserve"> for the prior year. </w:t>
            </w:r>
          </w:p>
        </w:tc>
      </w:tr>
    </w:tbl>
    <w:p w:rsidR="00F11046" w:rsidRPr="007236A4" w:rsidRDefault="00F11046" w:rsidP="00A35298">
      <w:pPr>
        <w:pStyle w:val="Title"/>
        <w:ind w:right="-30"/>
        <w:jc w:val="left"/>
      </w:pPr>
    </w:p>
    <w:sectPr w:rsidR="00F11046" w:rsidRPr="007236A4" w:rsidSect="00D06D68">
      <w:pgSz w:w="11906" w:h="16838"/>
      <w:pgMar w:top="540" w:right="1140" w:bottom="0" w:left="1440"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70" w:rsidRDefault="00A40470">
      <w:r>
        <w:separator/>
      </w:r>
    </w:p>
  </w:endnote>
  <w:endnote w:type="continuationSeparator" w:id="0">
    <w:p w:rsidR="00A40470" w:rsidRDefault="00A4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70" w:rsidRPr="007236A4" w:rsidRDefault="00A40470" w:rsidP="00A35298">
    <w:pPr>
      <w:pStyle w:val="Footer"/>
      <w:tabs>
        <w:tab w:val="clear" w:pos="4153"/>
        <w:tab w:val="clear" w:pos="8306"/>
        <w:tab w:val="left" w:pos="390"/>
        <w:tab w:val="right" w:pos="9356"/>
      </w:tabs>
      <w:rPr>
        <w:rFonts w:ascii="Arial" w:hAnsi="Arial" w:cs="Arial"/>
        <w:b/>
        <w:sz w:val="4"/>
        <w:szCs w:val="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70" w:rsidRDefault="00A40470">
      <w:r>
        <w:separator/>
      </w:r>
    </w:p>
  </w:footnote>
  <w:footnote w:type="continuationSeparator" w:id="0">
    <w:p w:rsidR="00A40470" w:rsidRDefault="00A40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46D"/>
    <w:multiLevelType w:val="hybridMultilevel"/>
    <w:tmpl w:val="88C677E6"/>
    <w:lvl w:ilvl="0" w:tplc="3EB046E8">
      <w:start w:val="1"/>
      <w:numFmt w:val="decimal"/>
      <w:lvlText w:val="%1."/>
      <w:lvlJc w:val="left"/>
      <w:pPr>
        <w:tabs>
          <w:tab w:val="num" w:pos="-207"/>
        </w:tabs>
        <w:ind w:left="-207" w:hanging="360"/>
      </w:pPr>
      <w:rPr>
        <w:rFonts w:hint="default"/>
      </w:rPr>
    </w:lvl>
    <w:lvl w:ilvl="1" w:tplc="04090001">
      <w:start w:val="1"/>
      <w:numFmt w:val="bullet"/>
      <w:lvlText w:val=""/>
      <w:lvlJc w:val="left"/>
      <w:pPr>
        <w:tabs>
          <w:tab w:val="num" w:pos="513"/>
        </w:tabs>
        <w:ind w:left="513" w:hanging="360"/>
      </w:pPr>
      <w:rPr>
        <w:rFonts w:ascii="Symbol" w:hAnsi="Symbol" w:hint="default"/>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
    <w:nsid w:val="29170CD2"/>
    <w:multiLevelType w:val="hybridMultilevel"/>
    <w:tmpl w:val="148A6454"/>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10A68DB"/>
    <w:multiLevelType w:val="hybridMultilevel"/>
    <w:tmpl w:val="B36CA5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4C57C69"/>
    <w:multiLevelType w:val="hybridMultilevel"/>
    <w:tmpl w:val="124A02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4D0267F"/>
    <w:multiLevelType w:val="hybridMultilevel"/>
    <w:tmpl w:val="40347472"/>
    <w:lvl w:ilvl="0" w:tplc="0C090015">
      <w:start w:val="1"/>
      <w:numFmt w:val="upp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nsid w:val="559277CC"/>
    <w:multiLevelType w:val="hybridMultilevel"/>
    <w:tmpl w:val="BC660DB2"/>
    <w:lvl w:ilvl="0" w:tplc="0C090015">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79B1A8F"/>
    <w:multiLevelType w:val="hybridMultilevel"/>
    <w:tmpl w:val="44A4BA62"/>
    <w:lvl w:ilvl="0" w:tplc="04090001">
      <w:start w:val="1"/>
      <w:numFmt w:val="bullet"/>
      <w:lvlText w:val=""/>
      <w:lvlJc w:val="left"/>
      <w:pPr>
        <w:tabs>
          <w:tab w:val="num" w:pos="1995"/>
        </w:tabs>
        <w:ind w:left="1995" w:hanging="360"/>
      </w:pPr>
      <w:rPr>
        <w:rFonts w:ascii="Symbol" w:hAnsi="Symbol" w:hint="default"/>
      </w:rPr>
    </w:lvl>
    <w:lvl w:ilvl="1" w:tplc="04090003">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7">
    <w:nsid w:val="62907A52"/>
    <w:multiLevelType w:val="hybridMultilevel"/>
    <w:tmpl w:val="59B61A1C"/>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4705DEF"/>
    <w:multiLevelType w:val="hybridMultilevel"/>
    <w:tmpl w:val="D30859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E022A"/>
    <w:multiLevelType w:val="hybridMultilevel"/>
    <w:tmpl w:val="0BAC15D2"/>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C9C7DCC"/>
    <w:multiLevelType w:val="multilevel"/>
    <w:tmpl w:val="8612F3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3E9733C"/>
    <w:multiLevelType w:val="hybridMultilevel"/>
    <w:tmpl w:val="B398661A"/>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78E12787"/>
    <w:multiLevelType w:val="hybridMultilevel"/>
    <w:tmpl w:val="D3CA8782"/>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D127F5A"/>
    <w:multiLevelType w:val="hybridMultilevel"/>
    <w:tmpl w:val="D0DC231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nsid w:val="7EA374B3"/>
    <w:multiLevelType w:val="hybridMultilevel"/>
    <w:tmpl w:val="8612F3E8"/>
    <w:lvl w:ilvl="0" w:tplc="2CF2C8D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0"/>
  </w:num>
  <w:num w:numId="4">
    <w:abstractNumId w:val="13"/>
  </w:num>
  <w:num w:numId="5">
    <w:abstractNumId w:val="12"/>
  </w:num>
  <w:num w:numId="6">
    <w:abstractNumId w:val="8"/>
  </w:num>
  <w:num w:numId="7">
    <w:abstractNumId w:val="11"/>
  </w:num>
  <w:num w:numId="8">
    <w:abstractNumId w:val="5"/>
  </w:num>
  <w:num w:numId="9">
    <w:abstractNumId w:val="14"/>
  </w:num>
  <w:num w:numId="10">
    <w:abstractNumId w:val="10"/>
  </w:num>
  <w:num w:numId="11">
    <w:abstractNumId w:val="4"/>
  </w:num>
  <w:num w:numId="12">
    <w:abstractNumId w:val="9"/>
  </w:num>
  <w:num w:numId="13">
    <w:abstractNumId w:val="3"/>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noPunctuationKerning/>
  <w:characterSpacingControl w:val="doNotCompress"/>
  <w:hdrShapeDefaults>
    <o:shapedefaults v:ext="edit" spidmax="9217">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23F7"/>
    <w:rsid w:val="00003A78"/>
    <w:rsid w:val="00021C03"/>
    <w:rsid w:val="000247F7"/>
    <w:rsid w:val="00056D28"/>
    <w:rsid w:val="00074901"/>
    <w:rsid w:val="0008069C"/>
    <w:rsid w:val="000A4A42"/>
    <w:rsid w:val="00115BDA"/>
    <w:rsid w:val="00134A3E"/>
    <w:rsid w:val="00152AEC"/>
    <w:rsid w:val="00180254"/>
    <w:rsid w:val="001C5319"/>
    <w:rsid w:val="001E1F58"/>
    <w:rsid w:val="001E2769"/>
    <w:rsid w:val="001F3B91"/>
    <w:rsid w:val="001F7B30"/>
    <w:rsid w:val="002113E9"/>
    <w:rsid w:val="002278BF"/>
    <w:rsid w:val="002323E8"/>
    <w:rsid w:val="00240597"/>
    <w:rsid w:val="00263711"/>
    <w:rsid w:val="002721D9"/>
    <w:rsid w:val="00286E2A"/>
    <w:rsid w:val="00291B62"/>
    <w:rsid w:val="00295774"/>
    <w:rsid w:val="002D3441"/>
    <w:rsid w:val="00331DB5"/>
    <w:rsid w:val="00342FA0"/>
    <w:rsid w:val="00390037"/>
    <w:rsid w:val="003A2991"/>
    <w:rsid w:val="003A307A"/>
    <w:rsid w:val="00402729"/>
    <w:rsid w:val="00441223"/>
    <w:rsid w:val="00467E3F"/>
    <w:rsid w:val="00471E49"/>
    <w:rsid w:val="00481FC4"/>
    <w:rsid w:val="004B511A"/>
    <w:rsid w:val="00526483"/>
    <w:rsid w:val="00567085"/>
    <w:rsid w:val="005A0BEE"/>
    <w:rsid w:val="005C5F46"/>
    <w:rsid w:val="005D2602"/>
    <w:rsid w:val="005D526B"/>
    <w:rsid w:val="006130B7"/>
    <w:rsid w:val="00630E03"/>
    <w:rsid w:val="00687A84"/>
    <w:rsid w:val="006C0291"/>
    <w:rsid w:val="006D0012"/>
    <w:rsid w:val="007236A4"/>
    <w:rsid w:val="00762DE3"/>
    <w:rsid w:val="00763651"/>
    <w:rsid w:val="00780982"/>
    <w:rsid w:val="007865A9"/>
    <w:rsid w:val="007A72CA"/>
    <w:rsid w:val="007E16F5"/>
    <w:rsid w:val="007F625A"/>
    <w:rsid w:val="007F6A74"/>
    <w:rsid w:val="007F6C9A"/>
    <w:rsid w:val="0080142A"/>
    <w:rsid w:val="00870515"/>
    <w:rsid w:val="008A23F7"/>
    <w:rsid w:val="008B1BA8"/>
    <w:rsid w:val="008C6145"/>
    <w:rsid w:val="008E7E8D"/>
    <w:rsid w:val="009572AE"/>
    <w:rsid w:val="009742E0"/>
    <w:rsid w:val="00991BBB"/>
    <w:rsid w:val="00991CE9"/>
    <w:rsid w:val="00994294"/>
    <w:rsid w:val="00997B80"/>
    <w:rsid w:val="009E7D07"/>
    <w:rsid w:val="009F51DE"/>
    <w:rsid w:val="00A35298"/>
    <w:rsid w:val="00A40470"/>
    <w:rsid w:val="00A475CE"/>
    <w:rsid w:val="00A47FA2"/>
    <w:rsid w:val="00A50C40"/>
    <w:rsid w:val="00A76020"/>
    <w:rsid w:val="00A76F69"/>
    <w:rsid w:val="00A80E64"/>
    <w:rsid w:val="00A8336B"/>
    <w:rsid w:val="00AA7751"/>
    <w:rsid w:val="00AB124F"/>
    <w:rsid w:val="00AC01A6"/>
    <w:rsid w:val="00AC4DA0"/>
    <w:rsid w:val="00B05CA7"/>
    <w:rsid w:val="00B26F93"/>
    <w:rsid w:val="00B30FD6"/>
    <w:rsid w:val="00B331EF"/>
    <w:rsid w:val="00B77018"/>
    <w:rsid w:val="00B85F4E"/>
    <w:rsid w:val="00B86200"/>
    <w:rsid w:val="00B97969"/>
    <w:rsid w:val="00BC5C7E"/>
    <w:rsid w:val="00BD5E22"/>
    <w:rsid w:val="00C12F19"/>
    <w:rsid w:val="00C65A86"/>
    <w:rsid w:val="00C65ECB"/>
    <w:rsid w:val="00C802A1"/>
    <w:rsid w:val="00CB4DA0"/>
    <w:rsid w:val="00CB6EBF"/>
    <w:rsid w:val="00CE1D71"/>
    <w:rsid w:val="00CE6911"/>
    <w:rsid w:val="00D06D68"/>
    <w:rsid w:val="00D4358F"/>
    <w:rsid w:val="00DD119C"/>
    <w:rsid w:val="00DD549A"/>
    <w:rsid w:val="00E00044"/>
    <w:rsid w:val="00E9052C"/>
    <w:rsid w:val="00ED21AE"/>
    <w:rsid w:val="00F11046"/>
    <w:rsid w:val="00F14AEF"/>
    <w:rsid w:val="00F26324"/>
    <w:rsid w:val="00F54902"/>
    <w:rsid w:val="00F83FFF"/>
    <w:rsid w:val="00FB6A0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3F7"/>
    <w:rPr>
      <w:sz w:val="24"/>
      <w:szCs w:val="24"/>
      <w:lang w:eastAsia="en-US"/>
    </w:rPr>
  </w:style>
  <w:style w:type="paragraph" w:styleId="Heading1">
    <w:name w:val="heading 1"/>
    <w:basedOn w:val="Normal"/>
    <w:next w:val="Normal"/>
    <w:qFormat/>
    <w:rsid w:val="008A23F7"/>
    <w:pPr>
      <w:keepNext/>
      <w:ind w:left="43" w:right="-483"/>
      <w:outlineLvl w:val="0"/>
    </w:pPr>
    <w:rPr>
      <w:b/>
      <w:bCs/>
      <w:sz w:val="20"/>
    </w:rPr>
  </w:style>
  <w:style w:type="paragraph" w:styleId="Heading2">
    <w:name w:val="heading 2"/>
    <w:basedOn w:val="Normal"/>
    <w:next w:val="Normal"/>
    <w:qFormat/>
    <w:rsid w:val="008A23F7"/>
    <w:pPr>
      <w:keepNext/>
      <w:ind w:left="59" w:right="-483"/>
      <w:outlineLvl w:val="1"/>
    </w:pPr>
    <w:rPr>
      <w:b/>
      <w:bCs/>
      <w:sz w:val="20"/>
    </w:rPr>
  </w:style>
  <w:style w:type="paragraph" w:styleId="Heading3">
    <w:name w:val="heading 3"/>
    <w:basedOn w:val="Normal"/>
    <w:next w:val="Normal"/>
    <w:qFormat/>
    <w:rsid w:val="008A23F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23F7"/>
    <w:pPr>
      <w:jc w:val="center"/>
    </w:pPr>
    <w:rPr>
      <w:rFonts w:ascii="Tahoma" w:hAnsi="Tahoma" w:cs="Tahoma"/>
      <w:b/>
      <w:bCs/>
      <w:sz w:val="28"/>
    </w:rPr>
  </w:style>
  <w:style w:type="paragraph" w:styleId="BodyText">
    <w:name w:val="Body Text"/>
    <w:basedOn w:val="Normal"/>
    <w:rsid w:val="008A23F7"/>
    <w:rPr>
      <w:b/>
      <w:bCs/>
    </w:rPr>
  </w:style>
  <w:style w:type="paragraph" w:styleId="Header">
    <w:name w:val="header"/>
    <w:basedOn w:val="Normal"/>
    <w:rsid w:val="008A23F7"/>
    <w:pPr>
      <w:tabs>
        <w:tab w:val="center" w:pos="4153"/>
        <w:tab w:val="right" w:pos="8306"/>
      </w:tabs>
    </w:pPr>
  </w:style>
  <w:style w:type="paragraph" w:styleId="Footer">
    <w:name w:val="footer"/>
    <w:basedOn w:val="Normal"/>
    <w:rsid w:val="008A23F7"/>
    <w:pPr>
      <w:tabs>
        <w:tab w:val="center" w:pos="4153"/>
        <w:tab w:val="right" w:pos="8306"/>
      </w:tabs>
    </w:pPr>
  </w:style>
  <w:style w:type="paragraph" w:styleId="BlockText">
    <w:name w:val="Block Text"/>
    <w:basedOn w:val="Normal"/>
    <w:rsid w:val="008A23F7"/>
    <w:pPr>
      <w:spacing w:before="40" w:after="100"/>
      <w:ind w:left="-567" w:right="-483"/>
    </w:pPr>
  </w:style>
  <w:style w:type="paragraph" w:styleId="BalloonText">
    <w:name w:val="Balloon Text"/>
    <w:basedOn w:val="Normal"/>
    <w:semiHidden/>
    <w:rsid w:val="008A23F7"/>
    <w:rPr>
      <w:rFonts w:ascii="Tahoma" w:hAnsi="Tahoma" w:cs="Tahoma"/>
      <w:sz w:val="16"/>
      <w:szCs w:val="16"/>
    </w:rPr>
  </w:style>
  <w:style w:type="table" w:styleId="TableGrid">
    <w:name w:val="Table Grid"/>
    <w:basedOn w:val="TableNormal"/>
    <w:rsid w:val="003A2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8069C"/>
  </w:style>
  <w:style w:type="paragraph" w:customStyle="1" w:styleId="ESOSMaintitle">
    <w:name w:val="ESOS Main title"/>
    <w:basedOn w:val="Normal"/>
    <w:rsid w:val="00B86200"/>
    <w:pPr>
      <w:spacing w:before="480"/>
    </w:pPr>
    <w:rPr>
      <w:rFonts w:ascii="Arial" w:hAnsi="Arial"/>
      <w:b/>
      <w:bCs/>
      <w:color w:val="FFFFFF"/>
      <w:kern w:val="28"/>
      <w:sz w:val="36"/>
      <w:szCs w:val="20"/>
    </w:rPr>
  </w:style>
  <w:style w:type="paragraph" w:customStyle="1" w:styleId="ESOSdate">
    <w:name w:val="ESOS date"/>
    <w:basedOn w:val="Date"/>
    <w:rsid w:val="00B86200"/>
    <w:pPr>
      <w:keepLines/>
      <w:spacing w:before="240" w:after="240"/>
    </w:pPr>
    <w:rPr>
      <w:rFonts w:ascii="Arial" w:hAnsi="Arial"/>
      <w:i/>
      <w:iCs/>
      <w:color w:val="FFFFFF"/>
    </w:rPr>
  </w:style>
  <w:style w:type="paragraph" w:styleId="Date">
    <w:name w:val="Date"/>
    <w:basedOn w:val="Normal"/>
    <w:next w:val="Normal"/>
    <w:rsid w:val="00B862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PROPOSED 2005 CONTRIBUTIONS CRITERIA</vt:lpstr>
    </vt:vector>
  </TitlesOfParts>
  <Company>PricewaterhouseCoopers</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2005 CONTRIBUTIONS CRITERIA</dc:title>
  <dc:creator>Stacey Thompson</dc:creator>
  <cp:lastModifiedBy>Nicole Pulford</cp:lastModifiedBy>
  <cp:revision>2</cp:revision>
  <cp:lastPrinted>2009-09-09T03:24:00Z</cp:lastPrinted>
  <dcterms:created xsi:type="dcterms:W3CDTF">2011-02-06T22:32:00Z</dcterms:created>
  <dcterms:modified xsi:type="dcterms:W3CDTF">2011-02-06T22:32:00Z</dcterms:modified>
</cp:coreProperties>
</file>