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7701" w:rsidRPr="00B760C6" w:rsidRDefault="009C7701" w:rsidP="009C7701">
      <w:pPr>
        <w:spacing w:after="120" w:line="240" w:lineRule="auto"/>
        <w:jc w:val="center"/>
        <w:rPr>
          <w:rFonts w:cs="Calibri"/>
          <w:sz w:val="24"/>
          <w:szCs w:val="24"/>
        </w:rPr>
      </w:pPr>
      <w:r w:rsidRPr="00B760C6">
        <w:rPr>
          <w:rFonts w:cs="Calibri"/>
          <w:sz w:val="24"/>
          <w:szCs w:val="24"/>
        </w:rPr>
        <w:t xml:space="preserve">                                                    </w:t>
      </w:r>
    </w:p>
    <w:p w:rsidR="009C7701" w:rsidRPr="00B760C6" w:rsidRDefault="009C7701" w:rsidP="009C7701">
      <w:pPr>
        <w:spacing w:after="120" w:line="240" w:lineRule="auto"/>
        <w:rPr>
          <w:rFonts w:cs="Calibri"/>
          <w:sz w:val="24"/>
          <w:szCs w:val="24"/>
        </w:rPr>
      </w:pPr>
      <w:r w:rsidRPr="00B760C6">
        <w:rPr>
          <w:rFonts w:cs="Calibri"/>
          <w:sz w:val="24"/>
          <w:szCs w:val="24"/>
        </w:rPr>
        <w:t> </w:t>
      </w:r>
    </w:p>
    <w:p w:rsidR="009C7701" w:rsidRPr="00B760C6" w:rsidRDefault="009C7701" w:rsidP="009C7701">
      <w:pPr>
        <w:spacing w:after="120" w:line="240" w:lineRule="auto"/>
        <w:rPr>
          <w:rFonts w:cs="Calibri"/>
          <w:sz w:val="24"/>
          <w:szCs w:val="24"/>
        </w:rPr>
      </w:pPr>
      <w:r w:rsidRPr="00B760C6">
        <w:rPr>
          <w:rFonts w:cs="Calibri"/>
          <w:sz w:val="24"/>
          <w:szCs w:val="24"/>
        </w:rPr>
        <w:t> </w:t>
      </w:r>
    </w:p>
    <w:p w:rsidR="009C7701" w:rsidRPr="00B760C6" w:rsidRDefault="009C7701" w:rsidP="009C7701">
      <w:pPr>
        <w:spacing w:after="120" w:line="240" w:lineRule="auto"/>
        <w:rPr>
          <w:rFonts w:cs="Calibri"/>
          <w:sz w:val="24"/>
          <w:szCs w:val="24"/>
        </w:rPr>
      </w:pPr>
      <w:r w:rsidRPr="00B760C6">
        <w:rPr>
          <w:rFonts w:cs="Calibri"/>
          <w:sz w:val="24"/>
          <w:szCs w:val="24"/>
        </w:rPr>
        <w:t> </w:t>
      </w:r>
    </w:p>
    <w:p w:rsidR="009C7701" w:rsidRPr="00B760C6" w:rsidRDefault="009C7701" w:rsidP="009C7701">
      <w:pPr>
        <w:spacing w:after="120" w:line="240" w:lineRule="auto"/>
        <w:rPr>
          <w:rFonts w:cs="Calibri"/>
          <w:sz w:val="24"/>
          <w:szCs w:val="24"/>
        </w:rPr>
      </w:pPr>
      <w:r w:rsidRPr="00B760C6">
        <w:rPr>
          <w:rFonts w:cs="Calibri"/>
          <w:sz w:val="24"/>
          <w:szCs w:val="24"/>
        </w:rPr>
        <w:t> </w:t>
      </w:r>
    </w:p>
    <w:p w:rsidR="009C7701" w:rsidRPr="00B760C6" w:rsidRDefault="009C7701" w:rsidP="009C7701">
      <w:pPr>
        <w:spacing w:after="120" w:line="240" w:lineRule="auto"/>
        <w:rPr>
          <w:rFonts w:cs="Calibri"/>
          <w:sz w:val="24"/>
          <w:szCs w:val="24"/>
        </w:rPr>
      </w:pPr>
      <w:r w:rsidRPr="00B760C6">
        <w:rPr>
          <w:rFonts w:cs="Calibri"/>
          <w:sz w:val="24"/>
          <w:szCs w:val="24"/>
        </w:rPr>
        <w:t> </w:t>
      </w:r>
    </w:p>
    <w:p w:rsidR="009C7701" w:rsidRPr="00B760C6" w:rsidRDefault="009C7701" w:rsidP="009C7701">
      <w:pPr>
        <w:spacing w:after="120" w:line="240" w:lineRule="auto"/>
        <w:jc w:val="center"/>
        <w:rPr>
          <w:rFonts w:cs="Calibri"/>
          <w:sz w:val="24"/>
          <w:szCs w:val="24"/>
        </w:rPr>
      </w:pPr>
      <w:r w:rsidRPr="00B760C6">
        <w:rPr>
          <w:rFonts w:cs="Calibri"/>
          <w:sz w:val="24"/>
          <w:szCs w:val="24"/>
        </w:rPr>
        <w:t> </w:t>
      </w:r>
    </w:p>
    <w:p w:rsidR="009C7701" w:rsidRPr="00B760C6" w:rsidRDefault="009C7701" w:rsidP="009C7701">
      <w:pPr>
        <w:spacing w:after="120" w:line="240" w:lineRule="auto"/>
        <w:jc w:val="center"/>
        <w:rPr>
          <w:rFonts w:cs="Calibri"/>
          <w:sz w:val="24"/>
          <w:szCs w:val="24"/>
        </w:rPr>
      </w:pPr>
      <w:r w:rsidRPr="00B760C6">
        <w:rPr>
          <w:rFonts w:cs="Calibri"/>
          <w:b/>
          <w:bCs/>
          <w:sz w:val="52"/>
          <w:szCs w:val="52"/>
        </w:rPr>
        <w:t>Explanatory Statement</w:t>
      </w:r>
    </w:p>
    <w:p w:rsidR="009C7701" w:rsidRPr="00B760C6" w:rsidRDefault="009C7701" w:rsidP="009C7701">
      <w:pPr>
        <w:spacing w:after="120" w:line="240" w:lineRule="auto"/>
        <w:jc w:val="center"/>
        <w:rPr>
          <w:rFonts w:cs="Calibri"/>
          <w:sz w:val="24"/>
          <w:szCs w:val="24"/>
        </w:rPr>
      </w:pPr>
      <w:r w:rsidRPr="00B760C6">
        <w:rPr>
          <w:rFonts w:cs="Calibri"/>
          <w:b/>
          <w:bCs/>
          <w:sz w:val="52"/>
          <w:szCs w:val="52"/>
        </w:rPr>
        <w:t> </w:t>
      </w:r>
    </w:p>
    <w:p w:rsidR="009C7701" w:rsidRPr="00B760C6" w:rsidRDefault="009C7701" w:rsidP="009C7701">
      <w:pPr>
        <w:spacing w:after="120" w:line="240" w:lineRule="auto"/>
        <w:jc w:val="center"/>
        <w:rPr>
          <w:rFonts w:cs="Calibri"/>
          <w:sz w:val="24"/>
          <w:szCs w:val="24"/>
        </w:rPr>
      </w:pPr>
      <w:r w:rsidRPr="00B760C6">
        <w:rPr>
          <w:rFonts w:cs="Calibri"/>
          <w:b/>
          <w:bCs/>
          <w:sz w:val="52"/>
          <w:szCs w:val="52"/>
        </w:rPr>
        <w:t> </w:t>
      </w:r>
    </w:p>
    <w:p w:rsidR="009C7701" w:rsidRPr="00B760C6" w:rsidRDefault="009C7701" w:rsidP="009C7701">
      <w:pPr>
        <w:spacing w:after="120" w:line="240" w:lineRule="auto"/>
        <w:jc w:val="center"/>
        <w:rPr>
          <w:rFonts w:cs="Calibri"/>
          <w:sz w:val="40"/>
          <w:szCs w:val="40"/>
        </w:rPr>
      </w:pPr>
      <w:r w:rsidRPr="00B760C6">
        <w:rPr>
          <w:rFonts w:cs="Calibri"/>
          <w:b/>
          <w:bCs/>
          <w:sz w:val="40"/>
          <w:szCs w:val="40"/>
        </w:rPr>
        <w:t xml:space="preserve">Privacy Commissioner’s </w:t>
      </w:r>
    </w:p>
    <w:p w:rsidR="009C7701" w:rsidRPr="00B760C6" w:rsidRDefault="009C7701" w:rsidP="009C7701">
      <w:pPr>
        <w:spacing w:after="120" w:line="240" w:lineRule="auto"/>
        <w:jc w:val="center"/>
        <w:rPr>
          <w:rFonts w:cs="Calibri"/>
          <w:sz w:val="40"/>
          <w:szCs w:val="40"/>
        </w:rPr>
      </w:pPr>
      <w:r w:rsidRPr="00B760C6">
        <w:rPr>
          <w:rFonts w:cs="Calibri"/>
          <w:b/>
          <w:bCs/>
          <w:sz w:val="40"/>
          <w:szCs w:val="40"/>
        </w:rPr>
        <w:t xml:space="preserve">Public Interest Determination </w:t>
      </w:r>
      <w:r w:rsidR="00F50E2D" w:rsidRPr="00B760C6">
        <w:rPr>
          <w:rFonts w:cs="Calibri"/>
          <w:b/>
          <w:bCs/>
          <w:sz w:val="40"/>
          <w:szCs w:val="40"/>
        </w:rPr>
        <w:t>No.</w:t>
      </w:r>
    </w:p>
    <w:p w:rsidR="009C7701" w:rsidRPr="00B760C6" w:rsidRDefault="009C7701" w:rsidP="009C7701">
      <w:pPr>
        <w:spacing w:after="120" w:line="240" w:lineRule="auto"/>
        <w:jc w:val="center"/>
        <w:rPr>
          <w:rFonts w:cs="Calibri"/>
          <w:sz w:val="40"/>
          <w:szCs w:val="40"/>
        </w:rPr>
      </w:pPr>
      <w:r w:rsidRPr="00B760C6">
        <w:rPr>
          <w:rFonts w:cs="Calibri"/>
          <w:b/>
          <w:bCs/>
          <w:sz w:val="40"/>
          <w:szCs w:val="40"/>
        </w:rPr>
        <w:t>11</w:t>
      </w:r>
      <w:r w:rsidR="00D1592E">
        <w:rPr>
          <w:rFonts w:cs="Calibri"/>
          <w:b/>
          <w:bCs/>
          <w:sz w:val="40"/>
          <w:szCs w:val="40"/>
        </w:rPr>
        <w:t>B</w:t>
      </w:r>
    </w:p>
    <w:p w:rsidR="009C7701" w:rsidRPr="00B760C6" w:rsidRDefault="009C7701" w:rsidP="009C7701">
      <w:pPr>
        <w:spacing w:after="120" w:line="240" w:lineRule="auto"/>
        <w:jc w:val="center"/>
        <w:rPr>
          <w:rFonts w:cs="Calibri"/>
          <w:sz w:val="40"/>
          <w:szCs w:val="40"/>
        </w:rPr>
      </w:pPr>
      <w:r w:rsidRPr="00B760C6">
        <w:rPr>
          <w:rFonts w:cs="Calibri"/>
          <w:b/>
          <w:bCs/>
          <w:sz w:val="40"/>
          <w:szCs w:val="40"/>
        </w:rPr>
        <w:t> </w:t>
      </w:r>
    </w:p>
    <w:p w:rsidR="009C7701" w:rsidRPr="00B760C6" w:rsidRDefault="009C7701" w:rsidP="009C7701">
      <w:pPr>
        <w:spacing w:after="120" w:line="240" w:lineRule="auto"/>
        <w:jc w:val="center"/>
        <w:rPr>
          <w:rFonts w:cs="Calibri"/>
          <w:sz w:val="40"/>
          <w:szCs w:val="40"/>
        </w:rPr>
      </w:pPr>
      <w:r w:rsidRPr="00B760C6">
        <w:rPr>
          <w:rFonts w:cs="Calibri"/>
          <w:b/>
          <w:bCs/>
          <w:sz w:val="40"/>
          <w:szCs w:val="40"/>
        </w:rPr>
        <w:t> </w:t>
      </w:r>
    </w:p>
    <w:p w:rsidR="009C7701" w:rsidRPr="00B760C6" w:rsidRDefault="009C7701" w:rsidP="009C7701">
      <w:pPr>
        <w:spacing w:after="120" w:line="240" w:lineRule="auto"/>
        <w:jc w:val="center"/>
        <w:rPr>
          <w:rFonts w:cs="Calibri"/>
          <w:sz w:val="40"/>
          <w:szCs w:val="40"/>
        </w:rPr>
      </w:pPr>
      <w:r w:rsidRPr="00B760C6">
        <w:rPr>
          <w:rFonts w:cs="Calibri"/>
          <w:b/>
          <w:bCs/>
          <w:sz w:val="40"/>
          <w:szCs w:val="40"/>
        </w:rPr>
        <w:t> </w:t>
      </w:r>
    </w:p>
    <w:p w:rsidR="009C7701" w:rsidRPr="00B760C6" w:rsidRDefault="009C7701" w:rsidP="009C7701">
      <w:pPr>
        <w:spacing w:after="120" w:line="240" w:lineRule="auto"/>
        <w:jc w:val="center"/>
        <w:rPr>
          <w:rFonts w:cs="Calibri"/>
          <w:sz w:val="40"/>
          <w:szCs w:val="40"/>
        </w:rPr>
      </w:pPr>
      <w:r w:rsidRPr="00B760C6">
        <w:rPr>
          <w:rFonts w:cs="Calibri"/>
          <w:b/>
          <w:bCs/>
          <w:sz w:val="40"/>
          <w:szCs w:val="40"/>
        </w:rPr>
        <w:t>December 2010</w:t>
      </w:r>
    </w:p>
    <w:p w:rsidR="009C7701" w:rsidRPr="00B760C6" w:rsidRDefault="009C7701" w:rsidP="009C7701">
      <w:pPr>
        <w:spacing w:after="120" w:line="240" w:lineRule="auto"/>
        <w:rPr>
          <w:rFonts w:cs="Calibri"/>
          <w:sz w:val="40"/>
          <w:szCs w:val="40"/>
        </w:rPr>
      </w:pPr>
      <w:r w:rsidRPr="00B760C6">
        <w:rPr>
          <w:rFonts w:cs="Calibri"/>
          <w:sz w:val="40"/>
          <w:szCs w:val="40"/>
        </w:rPr>
        <w:t> </w:t>
      </w:r>
    </w:p>
    <w:p w:rsidR="009C7701" w:rsidRPr="00B760C6" w:rsidRDefault="009C7701" w:rsidP="009C7701">
      <w:pPr>
        <w:spacing w:after="120" w:line="240" w:lineRule="auto"/>
        <w:rPr>
          <w:rFonts w:cs="Calibri"/>
          <w:sz w:val="24"/>
          <w:szCs w:val="24"/>
        </w:rPr>
      </w:pPr>
      <w:r w:rsidRPr="00B760C6">
        <w:rPr>
          <w:rFonts w:cs="Calibri"/>
          <w:sz w:val="24"/>
          <w:szCs w:val="24"/>
        </w:rPr>
        <w:t> </w:t>
      </w:r>
    </w:p>
    <w:p w:rsidR="009C7701" w:rsidRPr="00B760C6" w:rsidRDefault="009C7701" w:rsidP="009C7701">
      <w:pPr>
        <w:spacing w:after="120" w:line="240" w:lineRule="auto"/>
        <w:rPr>
          <w:rFonts w:cs="Calibri"/>
          <w:sz w:val="24"/>
          <w:szCs w:val="24"/>
        </w:rPr>
      </w:pPr>
      <w:r w:rsidRPr="00B760C6">
        <w:rPr>
          <w:rFonts w:cs="Calibri"/>
          <w:sz w:val="24"/>
          <w:szCs w:val="24"/>
        </w:rPr>
        <w:t> </w:t>
      </w:r>
    </w:p>
    <w:p w:rsidR="009C7701" w:rsidRPr="009F755D" w:rsidRDefault="009C7701" w:rsidP="009C7701">
      <w:pPr>
        <w:keepNext/>
        <w:spacing w:before="240" w:after="120" w:line="240" w:lineRule="auto"/>
        <w:rPr>
          <w:rFonts w:cs="Calibri"/>
          <w:b/>
          <w:bCs/>
          <w:sz w:val="38"/>
          <w:szCs w:val="40"/>
        </w:rPr>
      </w:pPr>
      <w:r w:rsidRPr="00B760C6">
        <w:rPr>
          <w:rFonts w:cs="Calibri"/>
          <w:sz w:val="40"/>
          <w:szCs w:val="40"/>
        </w:rPr>
        <w:br w:type="page"/>
      </w:r>
      <w:r w:rsidRPr="00B760C6">
        <w:rPr>
          <w:rFonts w:cs="Calibri"/>
          <w:b/>
          <w:bCs/>
          <w:sz w:val="40"/>
          <w:szCs w:val="40"/>
        </w:rPr>
        <w:lastRenderedPageBreak/>
        <w:t>Explanatory Statement</w:t>
      </w:r>
    </w:p>
    <w:p w:rsidR="009C7701" w:rsidRPr="009C7701" w:rsidRDefault="009C7701" w:rsidP="00C62091">
      <w:pPr>
        <w:pStyle w:val="ESHeading1"/>
      </w:pPr>
      <w:r w:rsidRPr="009C7701">
        <w:t>1.   </w:t>
      </w:r>
      <w:r w:rsidR="00856371">
        <w:t xml:space="preserve"> </w:t>
      </w:r>
      <w:r w:rsidR="00856371">
        <w:tab/>
      </w:r>
      <w:r w:rsidRPr="009C7701">
        <w:t>PURPOSE AND AUTHORITY</w:t>
      </w:r>
    </w:p>
    <w:p w:rsidR="009C7701" w:rsidRPr="009C7701" w:rsidRDefault="009C7701" w:rsidP="00C62091">
      <w:pPr>
        <w:pStyle w:val="ESHeading2"/>
      </w:pPr>
      <w:r w:rsidRPr="009C7701">
        <w:t xml:space="preserve">1.1  </w:t>
      </w:r>
      <w:r w:rsidR="00856371">
        <w:tab/>
      </w:r>
      <w:r w:rsidRPr="009C7701">
        <w:t xml:space="preserve">Public Interest Determination </w:t>
      </w:r>
      <w:r w:rsidR="00F50E2D">
        <w:t xml:space="preserve">No. </w:t>
      </w:r>
      <w:r w:rsidR="00265518">
        <w:t>11B</w:t>
      </w:r>
    </w:p>
    <w:p w:rsidR="009C7701" w:rsidRPr="00B760C6" w:rsidRDefault="009C7701">
      <w:pPr>
        <w:spacing w:before="120" w:after="120" w:line="240" w:lineRule="auto"/>
        <w:rPr>
          <w:rFonts w:cs="Calibri"/>
          <w:sz w:val="24"/>
          <w:szCs w:val="24"/>
        </w:rPr>
      </w:pPr>
      <w:r w:rsidRPr="00B760C6">
        <w:rPr>
          <w:rFonts w:cs="Calibri"/>
          <w:sz w:val="24"/>
          <w:szCs w:val="24"/>
        </w:rPr>
        <w:t xml:space="preserve">This explanatory statement fulfils the Privacy Commissioner’s obligations under s26(1) of the </w:t>
      </w:r>
      <w:r w:rsidRPr="00B760C6">
        <w:rPr>
          <w:rFonts w:cs="Calibri"/>
          <w:i/>
          <w:iCs/>
          <w:sz w:val="24"/>
          <w:szCs w:val="24"/>
        </w:rPr>
        <w:t xml:space="preserve">Legislative Instruments Act 2003 </w:t>
      </w:r>
      <w:r w:rsidRPr="00B760C6">
        <w:rPr>
          <w:rFonts w:cs="Calibri"/>
          <w:sz w:val="24"/>
          <w:szCs w:val="24"/>
        </w:rPr>
        <w:t>(</w:t>
      </w:r>
      <w:proofErr w:type="spellStart"/>
      <w:r w:rsidRPr="00B760C6">
        <w:rPr>
          <w:rFonts w:cs="Calibri"/>
          <w:sz w:val="24"/>
          <w:szCs w:val="24"/>
        </w:rPr>
        <w:t>Cth</w:t>
      </w:r>
      <w:proofErr w:type="spellEnd"/>
      <w:r w:rsidRPr="00B760C6">
        <w:rPr>
          <w:rFonts w:cs="Calibri"/>
          <w:sz w:val="24"/>
          <w:szCs w:val="24"/>
        </w:rPr>
        <w:t>).</w:t>
      </w:r>
    </w:p>
    <w:p w:rsidR="009C7701" w:rsidRPr="00B760C6" w:rsidRDefault="009C7701" w:rsidP="00265518">
      <w:pPr>
        <w:spacing w:before="120" w:after="120" w:line="240" w:lineRule="auto"/>
        <w:rPr>
          <w:rFonts w:cs="Calibri"/>
          <w:sz w:val="24"/>
          <w:szCs w:val="24"/>
        </w:rPr>
      </w:pPr>
      <w:r w:rsidRPr="00B760C6">
        <w:rPr>
          <w:rFonts w:cs="Calibri"/>
          <w:sz w:val="24"/>
          <w:szCs w:val="24"/>
        </w:rPr>
        <w:t xml:space="preserve">This explanatory statement refers to </w:t>
      </w:r>
      <w:r w:rsidR="00265518" w:rsidRPr="00B760C6">
        <w:rPr>
          <w:rFonts w:cs="Calibri"/>
          <w:sz w:val="24"/>
          <w:szCs w:val="24"/>
        </w:rPr>
        <w:t>Public Interest Determination No. 11</w:t>
      </w:r>
      <w:r w:rsidR="00265518">
        <w:rPr>
          <w:rFonts w:cs="Calibri"/>
          <w:sz w:val="24"/>
          <w:szCs w:val="24"/>
        </w:rPr>
        <w:t>B (PID 11B),</w:t>
      </w:r>
      <w:r w:rsidRPr="00B760C6">
        <w:rPr>
          <w:rFonts w:cs="Calibri"/>
          <w:sz w:val="24"/>
          <w:szCs w:val="24"/>
        </w:rPr>
        <w:t xml:space="preserve"> issued under s72(2) of the </w:t>
      </w:r>
      <w:r w:rsidRPr="00B760C6">
        <w:rPr>
          <w:rFonts w:cs="Calibri"/>
          <w:i/>
          <w:iCs/>
          <w:sz w:val="24"/>
          <w:szCs w:val="24"/>
        </w:rPr>
        <w:t>Privacy Act 1988</w:t>
      </w:r>
      <w:r w:rsidRPr="00B760C6">
        <w:rPr>
          <w:rFonts w:cs="Calibri"/>
          <w:sz w:val="24"/>
          <w:szCs w:val="24"/>
        </w:rPr>
        <w:t xml:space="preserve"> (</w:t>
      </w:r>
      <w:proofErr w:type="spellStart"/>
      <w:r w:rsidRPr="00B760C6">
        <w:rPr>
          <w:rFonts w:cs="Calibri"/>
          <w:sz w:val="24"/>
          <w:szCs w:val="24"/>
        </w:rPr>
        <w:t>Cth</w:t>
      </w:r>
      <w:proofErr w:type="spellEnd"/>
      <w:r w:rsidRPr="00B760C6">
        <w:rPr>
          <w:rFonts w:cs="Calibri"/>
          <w:sz w:val="24"/>
          <w:szCs w:val="24"/>
        </w:rPr>
        <w:t>) (the Privacy Act).</w:t>
      </w:r>
    </w:p>
    <w:p w:rsidR="009C7701" w:rsidRPr="009C7701" w:rsidRDefault="009C7701" w:rsidP="00C62091">
      <w:pPr>
        <w:pStyle w:val="ESHeading2"/>
      </w:pPr>
      <w:r w:rsidRPr="009C7701">
        <w:t xml:space="preserve">1.2  </w:t>
      </w:r>
      <w:r w:rsidR="00856371">
        <w:tab/>
      </w:r>
      <w:r w:rsidRPr="009C7701">
        <w:t xml:space="preserve">Purpose </w:t>
      </w:r>
    </w:p>
    <w:p w:rsidR="00265518" w:rsidRDefault="009C7701" w:rsidP="009C7701">
      <w:pPr>
        <w:autoSpaceDE w:val="0"/>
        <w:autoSpaceDN w:val="0"/>
        <w:spacing w:before="120" w:after="120" w:line="240" w:lineRule="auto"/>
        <w:rPr>
          <w:rFonts w:cs="Calibri"/>
          <w:color w:val="000000"/>
          <w:sz w:val="24"/>
          <w:szCs w:val="24"/>
        </w:rPr>
      </w:pPr>
      <w:r w:rsidRPr="00B760C6">
        <w:rPr>
          <w:rFonts w:cs="Calibri"/>
          <w:color w:val="000000"/>
          <w:sz w:val="24"/>
          <w:szCs w:val="24"/>
        </w:rPr>
        <w:t xml:space="preserve">The purpose of </w:t>
      </w:r>
      <w:r w:rsidR="00F50E2D" w:rsidRPr="00B760C6">
        <w:rPr>
          <w:rFonts w:cs="Calibri"/>
          <w:color w:val="000000"/>
          <w:sz w:val="24"/>
          <w:szCs w:val="24"/>
        </w:rPr>
        <w:t>PID</w:t>
      </w:r>
      <w:r w:rsidRPr="00B760C6">
        <w:rPr>
          <w:rFonts w:cs="Calibri"/>
          <w:color w:val="000000"/>
          <w:sz w:val="24"/>
          <w:szCs w:val="24"/>
        </w:rPr>
        <w:t xml:space="preserve"> 11</w:t>
      </w:r>
      <w:r w:rsidR="00265518">
        <w:rPr>
          <w:rFonts w:cs="Calibri"/>
          <w:color w:val="000000"/>
          <w:sz w:val="24"/>
          <w:szCs w:val="24"/>
        </w:rPr>
        <w:t>B</w:t>
      </w:r>
      <w:r w:rsidRPr="00B760C6">
        <w:rPr>
          <w:rFonts w:cs="Calibri"/>
          <w:color w:val="000000"/>
          <w:sz w:val="24"/>
          <w:szCs w:val="24"/>
        </w:rPr>
        <w:t xml:space="preserve"> is</w:t>
      </w:r>
      <w:r w:rsidR="00265518">
        <w:rPr>
          <w:rFonts w:cs="Calibri"/>
          <w:color w:val="000000"/>
          <w:sz w:val="24"/>
          <w:szCs w:val="24"/>
        </w:rPr>
        <w:t xml:space="preserve"> to</w:t>
      </w:r>
      <w:r w:rsidRPr="00B760C6">
        <w:rPr>
          <w:rFonts w:cs="Calibri"/>
          <w:color w:val="000000"/>
          <w:sz w:val="24"/>
          <w:szCs w:val="24"/>
        </w:rPr>
        <w:t xml:space="preserve"> </w:t>
      </w:r>
      <w:r w:rsidR="00265518">
        <w:rPr>
          <w:rFonts w:cs="Calibri"/>
          <w:color w:val="000000"/>
          <w:sz w:val="24"/>
          <w:szCs w:val="24"/>
        </w:rPr>
        <w:t xml:space="preserve">amend certain </w:t>
      </w:r>
      <w:r w:rsidR="00C70DC2">
        <w:rPr>
          <w:rFonts w:cs="Calibri"/>
          <w:color w:val="000000"/>
          <w:sz w:val="24"/>
          <w:szCs w:val="24"/>
        </w:rPr>
        <w:t xml:space="preserve">typographical </w:t>
      </w:r>
      <w:r w:rsidR="00265518">
        <w:rPr>
          <w:rFonts w:cs="Calibri"/>
          <w:color w:val="000000"/>
          <w:sz w:val="24"/>
          <w:szCs w:val="24"/>
        </w:rPr>
        <w:t>errors in the Statement</w:t>
      </w:r>
      <w:r w:rsidR="009810FC">
        <w:rPr>
          <w:rFonts w:cs="Calibri"/>
          <w:color w:val="000000"/>
          <w:sz w:val="24"/>
          <w:szCs w:val="24"/>
        </w:rPr>
        <w:t>s</w:t>
      </w:r>
      <w:r w:rsidR="00265518">
        <w:rPr>
          <w:rFonts w:cs="Calibri"/>
          <w:color w:val="000000"/>
          <w:sz w:val="24"/>
          <w:szCs w:val="24"/>
        </w:rPr>
        <w:t xml:space="preserve"> of Reasons for the following determinations made on 16 November 2010:</w:t>
      </w:r>
    </w:p>
    <w:p w:rsidR="00265518" w:rsidRPr="00265518" w:rsidRDefault="00265518" w:rsidP="00265518">
      <w:pPr>
        <w:numPr>
          <w:ilvl w:val="0"/>
          <w:numId w:val="9"/>
        </w:numPr>
        <w:autoSpaceDE w:val="0"/>
        <w:autoSpaceDN w:val="0"/>
        <w:spacing w:before="120" w:after="120" w:line="240" w:lineRule="auto"/>
        <w:rPr>
          <w:rFonts w:cs="Calibri"/>
          <w:color w:val="000000"/>
          <w:sz w:val="24"/>
          <w:szCs w:val="24"/>
          <w:lang w:val="en-GB"/>
        </w:rPr>
      </w:pPr>
      <w:r w:rsidRPr="00265518">
        <w:rPr>
          <w:rFonts w:cs="Calibri"/>
          <w:i/>
          <w:color w:val="000000"/>
          <w:sz w:val="24"/>
          <w:szCs w:val="24"/>
          <w:lang w:val="en-GB"/>
        </w:rPr>
        <w:t>Public Interest Determination No. 11 - Collection and use of contact details of genetic relatives to enable use or disclosure of genetic information</w:t>
      </w:r>
      <w:r w:rsidRPr="00265518">
        <w:rPr>
          <w:rFonts w:cs="Calibri"/>
          <w:color w:val="000000"/>
          <w:sz w:val="24"/>
          <w:szCs w:val="24"/>
          <w:lang w:val="en-GB"/>
        </w:rPr>
        <w:t xml:space="preserve"> (PID 11)</w:t>
      </w:r>
      <w:r w:rsidRPr="00265518">
        <w:rPr>
          <w:rFonts w:cs="Calibri"/>
          <w:i/>
          <w:color w:val="000000"/>
          <w:sz w:val="24"/>
          <w:szCs w:val="24"/>
          <w:lang w:val="en-GB"/>
        </w:rPr>
        <w:t>,</w:t>
      </w:r>
      <w:r>
        <w:rPr>
          <w:rFonts w:cs="Calibri"/>
          <w:color w:val="000000"/>
          <w:sz w:val="24"/>
          <w:szCs w:val="24"/>
          <w:lang w:val="en-GB"/>
        </w:rPr>
        <w:t xml:space="preserve"> and</w:t>
      </w:r>
    </w:p>
    <w:p w:rsidR="00265518" w:rsidRPr="00265518" w:rsidRDefault="00265518" w:rsidP="00265518">
      <w:pPr>
        <w:numPr>
          <w:ilvl w:val="0"/>
          <w:numId w:val="9"/>
        </w:numPr>
        <w:autoSpaceDE w:val="0"/>
        <w:autoSpaceDN w:val="0"/>
        <w:spacing w:before="120" w:after="120" w:line="240" w:lineRule="auto"/>
        <w:rPr>
          <w:rFonts w:cs="Calibri"/>
          <w:color w:val="000000"/>
          <w:sz w:val="24"/>
          <w:szCs w:val="24"/>
          <w:lang w:val="en-GB"/>
        </w:rPr>
      </w:pPr>
      <w:r w:rsidRPr="00265518">
        <w:rPr>
          <w:rFonts w:cs="Calibri"/>
          <w:i/>
          <w:color w:val="000000"/>
          <w:sz w:val="24"/>
          <w:szCs w:val="24"/>
          <w:lang w:val="en-GB"/>
        </w:rPr>
        <w:t>Public Interest Determination No. 11A - Collection and use of contact details of genetic relatives to enable use or disclosure of genetic information</w:t>
      </w:r>
      <w:r w:rsidRPr="00265518">
        <w:rPr>
          <w:rFonts w:cs="Calibri"/>
          <w:color w:val="000000"/>
          <w:sz w:val="24"/>
          <w:szCs w:val="24"/>
          <w:lang w:val="en-GB"/>
        </w:rPr>
        <w:t xml:space="preserve"> (PID 11A).</w:t>
      </w:r>
    </w:p>
    <w:p w:rsidR="009C7701" w:rsidRPr="009C7701" w:rsidRDefault="009C7701" w:rsidP="00C62091">
      <w:pPr>
        <w:pStyle w:val="ESHeading2"/>
      </w:pPr>
      <w:r w:rsidRPr="009C7701">
        <w:t xml:space="preserve">1.3  </w:t>
      </w:r>
      <w:r w:rsidR="00856371">
        <w:tab/>
      </w:r>
      <w:r w:rsidRPr="009C7701">
        <w:t>Provisions for Public Interest Determinations</w:t>
      </w:r>
    </w:p>
    <w:p w:rsidR="009C7701" w:rsidRPr="00B760C6" w:rsidRDefault="009C7701" w:rsidP="009C7701">
      <w:pPr>
        <w:keepNext/>
        <w:spacing w:before="120" w:after="120" w:line="240" w:lineRule="auto"/>
        <w:rPr>
          <w:rFonts w:cs="Calibri"/>
          <w:sz w:val="24"/>
          <w:szCs w:val="24"/>
        </w:rPr>
      </w:pPr>
      <w:r w:rsidRPr="00B760C6">
        <w:rPr>
          <w:rFonts w:cs="Calibri"/>
          <w:sz w:val="24"/>
          <w:szCs w:val="24"/>
        </w:rPr>
        <w:t xml:space="preserve">The Privacy Act provides a mechanism in </w:t>
      </w:r>
      <w:r w:rsidR="00F21207" w:rsidRPr="00B760C6">
        <w:rPr>
          <w:rFonts w:cs="Calibri"/>
          <w:sz w:val="24"/>
          <w:szCs w:val="24"/>
        </w:rPr>
        <w:t>P</w:t>
      </w:r>
      <w:r w:rsidRPr="00B760C6">
        <w:rPr>
          <w:rFonts w:cs="Calibri"/>
          <w:sz w:val="24"/>
          <w:szCs w:val="24"/>
        </w:rPr>
        <w:t>art VI for dealing with matters where the public interest in an organisation doing an act or a practice that may breach a National Privacy Principle</w:t>
      </w:r>
      <w:r w:rsidR="00F21207" w:rsidRPr="00B760C6">
        <w:rPr>
          <w:rFonts w:cs="Calibri"/>
          <w:sz w:val="24"/>
          <w:szCs w:val="24"/>
        </w:rPr>
        <w:t xml:space="preserve"> (NPP)</w:t>
      </w:r>
      <w:r w:rsidRPr="00B760C6">
        <w:rPr>
          <w:rFonts w:cs="Calibri"/>
          <w:sz w:val="24"/>
          <w:szCs w:val="24"/>
        </w:rPr>
        <w:t xml:space="preserve"> substantially outweighs the public interest in adhering to that Principle.</w:t>
      </w:r>
    </w:p>
    <w:p w:rsidR="00265518" w:rsidRPr="00B760C6" w:rsidRDefault="00F21207" w:rsidP="009C7701">
      <w:pPr>
        <w:spacing w:after="120" w:line="240" w:lineRule="auto"/>
        <w:rPr>
          <w:rFonts w:cs="Calibri"/>
          <w:sz w:val="24"/>
          <w:szCs w:val="24"/>
        </w:rPr>
      </w:pPr>
      <w:r w:rsidRPr="00B760C6">
        <w:rPr>
          <w:rFonts w:cs="Calibri"/>
          <w:sz w:val="24"/>
          <w:szCs w:val="24"/>
        </w:rPr>
        <w:t xml:space="preserve">That </w:t>
      </w:r>
      <w:r w:rsidR="009C7701" w:rsidRPr="00B760C6">
        <w:rPr>
          <w:rFonts w:cs="Calibri"/>
          <w:sz w:val="24"/>
          <w:szCs w:val="24"/>
        </w:rPr>
        <w:t>mechanism is given effect through the</w:t>
      </w:r>
      <w:r w:rsidR="00265518">
        <w:rPr>
          <w:rFonts w:cs="Calibri"/>
          <w:sz w:val="24"/>
          <w:szCs w:val="24"/>
        </w:rPr>
        <w:t xml:space="preserve"> power of the</w:t>
      </w:r>
      <w:r w:rsidR="009C7701" w:rsidRPr="00B760C6">
        <w:rPr>
          <w:rFonts w:cs="Calibri"/>
          <w:sz w:val="24"/>
          <w:szCs w:val="24"/>
        </w:rPr>
        <w:t xml:space="preserve"> Privacy Commissioner</w:t>
      </w:r>
      <w:r w:rsidR="00265518">
        <w:rPr>
          <w:rFonts w:cs="Calibri"/>
          <w:sz w:val="24"/>
          <w:szCs w:val="24"/>
        </w:rPr>
        <w:t xml:space="preserve"> (the Commissioner)</w:t>
      </w:r>
      <w:r w:rsidR="009C7701" w:rsidRPr="00B760C6">
        <w:rPr>
          <w:rFonts w:cs="Calibri"/>
          <w:sz w:val="24"/>
          <w:szCs w:val="24"/>
        </w:rPr>
        <w:t xml:space="preserve"> to make a public interest determination.  The Privacy Commissioner may make a public interest determination by declaring that a specific act or practice of the organisation will not be a breach of the NPPs, where he</w:t>
      </w:r>
      <w:r w:rsidRPr="00B760C6">
        <w:rPr>
          <w:rFonts w:cs="Calibri"/>
          <w:sz w:val="24"/>
          <w:szCs w:val="24"/>
        </w:rPr>
        <w:t xml:space="preserve"> or she</w:t>
      </w:r>
      <w:r w:rsidR="009C7701" w:rsidRPr="00B760C6">
        <w:rPr>
          <w:rFonts w:cs="Calibri"/>
          <w:sz w:val="24"/>
          <w:szCs w:val="24"/>
        </w:rPr>
        <w:t xml:space="preserve"> is satisfied </w:t>
      </w:r>
      <w:r w:rsidRPr="00B760C6">
        <w:rPr>
          <w:rFonts w:cs="Calibri"/>
          <w:sz w:val="24"/>
          <w:szCs w:val="24"/>
        </w:rPr>
        <w:t>that the</w:t>
      </w:r>
      <w:r w:rsidR="009C7701" w:rsidRPr="00B760C6">
        <w:rPr>
          <w:rFonts w:cs="Calibri"/>
          <w:sz w:val="24"/>
          <w:szCs w:val="24"/>
        </w:rPr>
        <w:t xml:space="preserve"> public interest in doing so</w:t>
      </w:r>
      <w:r w:rsidRPr="00B760C6">
        <w:rPr>
          <w:rFonts w:cs="Calibri"/>
          <w:sz w:val="24"/>
          <w:szCs w:val="24"/>
        </w:rPr>
        <w:t xml:space="preserve"> substantially outweighs the public interest in adhering to the NPPs in question</w:t>
      </w:r>
      <w:r w:rsidR="009C7701" w:rsidRPr="00B760C6">
        <w:rPr>
          <w:rFonts w:cs="Calibri"/>
          <w:sz w:val="24"/>
          <w:szCs w:val="24"/>
        </w:rPr>
        <w:t>.</w:t>
      </w:r>
    </w:p>
    <w:p w:rsidR="009C7701" w:rsidRPr="009C7701" w:rsidRDefault="009C7701" w:rsidP="00C62091">
      <w:pPr>
        <w:pStyle w:val="ESHeading2"/>
      </w:pPr>
      <w:r w:rsidRPr="009C7701">
        <w:t xml:space="preserve">1.4  </w:t>
      </w:r>
      <w:r w:rsidR="00856371">
        <w:tab/>
      </w:r>
      <w:r w:rsidRPr="009C7701">
        <w:t xml:space="preserve">Authority for making </w:t>
      </w:r>
      <w:r w:rsidR="00FB707F" w:rsidRPr="009C7701">
        <w:t xml:space="preserve">Public Interest Determination </w:t>
      </w:r>
      <w:r w:rsidR="00FB707F">
        <w:t>No. 11B</w:t>
      </w:r>
    </w:p>
    <w:p w:rsidR="00265518" w:rsidRDefault="009C7701" w:rsidP="009C7701">
      <w:pPr>
        <w:spacing w:before="120" w:after="120" w:line="240" w:lineRule="auto"/>
        <w:rPr>
          <w:rFonts w:cs="Calibri"/>
          <w:sz w:val="24"/>
          <w:szCs w:val="24"/>
        </w:rPr>
      </w:pPr>
      <w:r w:rsidRPr="00B760C6">
        <w:rPr>
          <w:rFonts w:cs="Calibri"/>
          <w:sz w:val="24"/>
          <w:szCs w:val="24"/>
        </w:rPr>
        <w:t xml:space="preserve">The authority for the </w:t>
      </w:r>
      <w:r w:rsidR="00265518">
        <w:rPr>
          <w:rFonts w:cs="Calibri"/>
          <w:sz w:val="24"/>
          <w:szCs w:val="24"/>
        </w:rPr>
        <w:t>Commissioner</w:t>
      </w:r>
      <w:r w:rsidRPr="00B760C6">
        <w:rPr>
          <w:rFonts w:cs="Calibri"/>
          <w:sz w:val="24"/>
          <w:szCs w:val="24"/>
        </w:rPr>
        <w:t xml:space="preserve"> to make PID 11</w:t>
      </w:r>
      <w:r w:rsidR="00265518">
        <w:rPr>
          <w:rFonts w:cs="Calibri"/>
          <w:sz w:val="24"/>
          <w:szCs w:val="24"/>
        </w:rPr>
        <w:t>B</w:t>
      </w:r>
      <w:r w:rsidRPr="00B760C6">
        <w:rPr>
          <w:rFonts w:cs="Calibri"/>
          <w:sz w:val="24"/>
          <w:szCs w:val="24"/>
        </w:rPr>
        <w:t xml:space="preserve"> rests in s72(2) of the Privacy Act.  Subsection 72(2) states that the Privacy Commissioner may make a written determination about an organisation’s acts and practices</w:t>
      </w:r>
      <w:r w:rsidR="00265518">
        <w:rPr>
          <w:rFonts w:cs="Calibri"/>
          <w:sz w:val="24"/>
          <w:szCs w:val="24"/>
        </w:rPr>
        <w:t xml:space="preserve"> in certain circumstances.</w:t>
      </w:r>
    </w:p>
    <w:p w:rsidR="00265518" w:rsidRPr="00265518" w:rsidRDefault="00265518" w:rsidP="00265518">
      <w:pPr>
        <w:spacing w:before="120" w:after="120" w:line="240" w:lineRule="auto"/>
        <w:rPr>
          <w:rFonts w:cs="Calibri"/>
          <w:sz w:val="24"/>
          <w:szCs w:val="24"/>
          <w:lang w:val="en-GB"/>
        </w:rPr>
      </w:pPr>
      <w:r w:rsidRPr="00265518">
        <w:rPr>
          <w:rFonts w:cs="Calibri"/>
          <w:sz w:val="24"/>
          <w:szCs w:val="24"/>
          <w:lang w:val="en-GB"/>
        </w:rPr>
        <w:t>A public interest determination made under s72</w:t>
      </w:r>
      <w:r>
        <w:rPr>
          <w:rFonts w:cs="Calibri"/>
          <w:sz w:val="24"/>
          <w:szCs w:val="24"/>
          <w:lang w:val="en-GB"/>
        </w:rPr>
        <w:t>(2)</w:t>
      </w:r>
      <w:r w:rsidRPr="00265518">
        <w:rPr>
          <w:rFonts w:cs="Calibri"/>
          <w:sz w:val="24"/>
          <w:szCs w:val="24"/>
          <w:lang w:val="en-GB"/>
        </w:rPr>
        <w:t xml:space="preserve"> of the Privacy Act is a </w:t>
      </w:r>
      <w:r w:rsidRPr="00265518">
        <w:rPr>
          <w:rFonts w:cs="Calibri"/>
          <w:i/>
          <w:sz w:val="24"/>
          <w:szCs w:val="24"/>
          <w:lang w:val="en-GB"/>
        </w:rPr>
        <w:t>‘legislative instrument’</w:t>
      </w:r>
      <w:r w:rsidRPr="00265518">
        <w:rPr>
          <w:rFonts w:cs="Calibri"/>
          <w:sz w:val="24"/>
          <w:szCs w:val="24"/>
          <w:lang w:val="en-GB"/>
        </w:rPr>
        <w:t xml:space="preserve">: see s5 of the </w:t>
      </w:r>
      <w:r w:rsidRPr="00265518">
        <w:rPr>
          <w:rFonts w:cs="Calibri"/>
          <w:i/>
          <w:sz w:val="24"/>
          <w:szCs w:val="24"/>
          <w:lang w:val="en-GB"/>
        </w:rPr>
        <w:t xml:space="preserve">Legislative Instruments Act 2003 </w:t>
      </w:r>
      <w:r w:rsidRPr="00265518">
        <w:rPr>
          <w:rFonts w:cs="Calibri"/>
          <w:sz w:val="24"/>
          <w:szCs w:val="24"/>
          <w:lang w:val="en-GB"/>
        </w:rPr>
        <w:t>(</w:t>
      </w:r>
      <w:proofErr w:type="spellStart"/>
      <w:r w:rsidRPr="00265518">
        <w:rPr>
          <w:rFonts w:cs="Calibri"/>
          <w:sz w:val="24"/>
          <w:szCs w:val="24"/>
          <w:lang w:val="en-GB"/>
        </w:rPr>
        <w:t>Cth</w:t>
      </w:r>
      <w:proofErr w:type="spellEnd"/>
      <w:r w:rsidRPr="00265518">
        <w:rPr>
          <w:rFonts w:cs="Calibri"/>
          <w:sz w:val="24"/>
          <w:szCs w:val="24"/>
          <w:lang w:val="en-GB"/>
        </w:rPr>
        <w:t xml:space="preserve">). </w:t>
      </w:r>
    </w:p>
    <w:p w:rsidR="00265518" w:rsidRDefault="00265518" w:rsidP="00265518">
      <w:pPr>
        <w:spacing w:before="120" w:after="120" w:line="240" w:lineRule="auto"/>
        <w:rPr>
          <w:rFonts w:cs="Calibri"/>
          <w:sz w:val="24"/>
          <w:szCs w:val="24"/>
        </w:rPr>
      </w:pPr>
      <w:r w:rsidRPr="00265518">
        <w:rPr>
          <w:rFonts w:cs="Calibri"/>
          <w:sz w:val="24"/>
          <w:szCs w:val="24"/>
        </w:rPr>
        <w:t>Section 33</w:t>
      </w:r>
      <w:r>
        <w:rPr>
          <w:rFonts w:cs="Calibri"/>
          <w:sz w:val="24"/>
          <w:szCs w:val="24"/>
        </w:rPr>
        <w:t>(3)</w:t>
      </w:r>
      <w:r w:rsidRPr="00265518">
        <w:rPr>
          <w:rFonts w:cs="Calibri"/>
          <w:sz w:val="24"/>
          <w:szCs w:val="24"/>
        </w:rPr>
        <w:t xml:space="preserve"> of the </w:t>
      </w:r>
      <w:r w:rsidRPr="00265518">
        <w:rPr>
          <w:rFonts w:cs="Calibri"/>
          <w:i/>
          <w:sz w:val="24"/>
          <w:szCs w:val="24"/>
        </w:rPr>
        <w:t>Acts Interpretation Act 1901</w:t>
      </w:r>
      <w:r>
        <w:rPr>
          <w:rFonts w:cs="Calibri"/>
          <w:sz w:val="24"/>
          <w:szCs w:val="24"/>
        </w:rPr>
        <w:t xml:space="preserve"> (</w:t>
      </w:r>
      <w:proofErr w:type="spellStart"/>
      <w:r>
        <w:rPr>
          <w:rFonts w:cs="Calibri"/>
          <w:sz w:val="24"/>
          <w:szCs w:val="24"/>
        </w:rPr>
        <w:t>Cth</w:t>
      </w:r>
      <w:proofErr w:type="spellEnd"/>
      <w:r>
        <w:rPr>
          <w:rFonts w:cs="Calibri"/>
          <w:sz w:val="24"/>
          <w:szCs w:val="24"/>
        </w:rPr>
        <w:t>)</w:t>
      </w:r>
      <w:r w:rsidRPr="00265518">
        <w:rPr>
          <w:rFonts w:cs="Calibri"/>
          <w:i/>
          <w:sz w:val="24"/>
          <w:szCs w:val="24"/>
        </w:rPr>
        <w:t xml:space="preserve"> </w:t>
      </w:r>
      <w:r w:rsidRPr="00265518">
        <w:rPr>
          <w:rFonts w:cs="Calibri"/>
          <w:sz w:val="24"/>
          <w:szCs w:val="24"/>
        </w:rPr>
        <w:t xml:space="preserve">relevantly provides that where an Act confers a power to make any instrument, unless the contrary attention appears, that power is to be construed as including a power to </w:t>
      </w:r>
      <w:r w:rsidRPr="00265518">
        <w:rPr>
          <w:rFonts w:cs="Calibri"/>
          <w:i/>
          <w:sz w:val="24"/>
          <w:szCs w:val="24"/>
        </w:rPr>
        <w:t>‘amend or vary any such instrument’</w:t>
      </w:r>
      <w:r w:rsidRPr="00265518">
        <w:rPr>
          <w:rFonts w:cs="Calibri"/>
          <w:sz w:val="24"/>
          <w:szCs w:val="24"/>
        </w:rPr>
        <w:t>.  The power to amend or vary an instrument is to be exercised in a similar manner and subject to similar conditions as the power to make the instrument.</w:t>
      </w:r>
    </w:p>
    <w:p w:rsidR="00D93123" w:rsidRPr="009C7701" w:rsidRDefault="00D93123" w:rsidP="00C62091">
      <w:pPr>
        <w:pStyle w:val="ESHeading1"/>
      </w:pPr>
      <w:r w:rsidRPr="009C7701">
        <w:lastRenderedPageBreak/>
        <w:t xml:space="preserve">2.    REASONS FOR MAKING </w:t>
      </w:r>
      <w:r>
        <w:t xml:space="preserve">THE </w:t>
      </w:r>
      <w:r w:rsidRPr="009C7701">
        <w:t>DETERMINATIONS</w:t>
      </w:r>
    </w:p>
    <w:p w:rsidR="005F7D52" w:rsidRDefault="005F7D52" w:rsidP="00265518">
      <w:pPr>
        <w:spacing w:before="120" w:after="120" w:line="240" w:lineRule="auto"/>
        <w:rPr>
          <w:rFonts w:cs="Calibri"/>
          <w:sz w:val="24"/>
          <w:szCs w:val="24"/>
        </w:rPr>
      </w:pPr>
      <w:r w:rsidRPr="00B760C6">
        <w:rPr>
          <w:rFonts w:cs="Calibri"/>
          <w:sz w:val="24"/>
          <w:szCs w:val="24"/>
        </w:rPr>
        <w:t xml:space="preserve">In </w:t>
      </w:r>
      <w:r w:rsidR="00985864">
        <w:rPr>
          <w:rFonts w:cs="Calibri"/>
          <w:sz w:val="24"/>
          <w:szCs w:val="24"/>
        </w:rPr>
        <w:t>making</w:t>
      </w:r>
      <w:r w:rsidRPr="00B760C6">
        <w:rPr>
          <w:rFonts w:cs="Calibri"/>
          <w:sz w:val="24"/>
          <w:szCs w:val="24"/>
        </w:rPr>
        <w:t xml:space="preserve"> PID 11</w:t>
      </w:r>
      <w:r w:rsidR="00265518">
        <w:rPr>
          <w:rFonts w:cs="Calibri"/>
          <w:sz w:val="24"/>
          <w:szCs w:val="24"/>
        </w:rPr>
        <w:t>B</w:t>
      </w:r>
      <w:r w:rsidRPr="00B760C6">
        <w:rPr>
          <w:rFonts w:cs="Calibri"/>
          <w:sz w:val="24"/>
          <w:szCs w:val="24"/>
        </w:rPr>
        <w:t>, the Privacy Commissioner took account of</w:t>
      </w:r>
      <w:r w:rsidR="00265518">
        <w:rPr>
          <w:rFonts w:cs="Calibri"/>
          <w:sz w:val="24"/>
          <w:szCs w:val="24"/>
        </w:rPr>
        <w:t xml:space="preserve"> the possibility of confusion arising from the</w:t>
      </w:r>
      <w:r w:rsidR="000124D1">
        <w:rPr>
          <w:rFonts w:cs="Calibri"/>
          <w:sz w:val="24"/>
          <w:szCs w:val="24"/>
        </w:rPr>
        <w:t xml:space="preserve"> </w:t>
      </w:r>
      <w:r w:rsidR="00C70DC2">
        <w:rPr>
          <w:rFonts w:cs="Calibri"/>
          <w:sz w:val="24"/>
          <w:szCs w:val="24"/>
        </w:rPr>
        <w:t>typographical</w:t>
      </w:r>
      <w:r w:rsidR="00265518">
        <w:rPr>
          <w:rFonts w:cs="Calibri"/>
          <w:sz w:val="24"/>
          <w:szCs w:val="24"/>
        </w:rPr>
        <w:t xml:space="preserve"> errors in the Statement</w:t>
      </w:r>
      <w:r w:rsidR="000124D1">
        <w:rPr>
          <w:rFonts w:cs="Calibri"/>
          <w:sz w:val="24"/>
          <w:szCs w:val="24"/>
        </w:rPr>
        <w:t>s</w:t>
      </w:r>
      <w:r w:rsidR="00265518">
        <w:rPr>
          <w:rFonts w:cs="Calibri"/>
          <w:sz w:val="24"/>
          <w:szCs w:val="24"/>
        </w:rPr>
        <w:t xml:space="preserve"> of Reasons for PID 11 and </w:t>
      </w:r>
      <w:r w:rsidR="000B3821">
        <w:rPr>
          <w:rFonts w:cs="Calibri"/>
          <w:sz w:val="24"/>
          <w:szCs w:val="24"/>
        </w:rPr>
        <w:t xml:space="preserve">PID </w:t>
      </w:r>
      <w:r w:rsidR="00265518">
        <w:rPr>
          <w:rFonts w:cs="Calibri"/>
          <w:sz w:val="24"/>
          <w:szCs w:val="24"/>
        </w:rPr>
        <w:t>11A.</w:t>
      </w:r>
    </w:p>
    <w:p w:rsidR="000B3821" w:rsidRPr="009C7701" w:rsidRDefault="000B3821" w:rsidP="000B3821">
      <w:pPr>
        <w:pStyle w:val="ESHeading1"/>
      </w:pPr>
      <w:r w:rsidRPr="009C7701">
        <w:t>3.    CONSULTATION PROCESS</w:t>
      </w:r>
    </w:p>
    <w:p w:rsidR="000B3821" w:rsidRPr="00604108" w:rsidRDefault="000B3821" w:rsidP="000B3821">
      <w:pPr>
        <w:autoSpaceDE w:val="0"/>
        <w:autoSpaceDN w:val="0"/>
        <w:spacing w:before="120" w:after="120" w:line="240" w:lineRule="auto"/>
        <w:rPr>
          <w:rFonts w:cs="Calibri"/>
          <w:color w:val="000000"/>
          <w:sz w:val="24"/>
          <w:szCs w:val="24"/>
        </w:rPr>
      </w:pPr>
      <w:r w:rsidRPr="00604108">
        <w:rPr>
          <w:rFonts w:cs="Calibri"/>
          <w:color w:val="000000"/>
          <w:sz w:val="24"/>
          <w:szCs w:val="24"/>
        </w:rPr>
        <w:t xml:space="preserve">Consultation was conducted in connection with the making of PID 11 and PID 11A.  </w:t>
      </w:r>
      <w:r w:rsidR="000935EC" w:rsidRPr="00604108">
        <w:rPr>
          <w:rFonts w:cs="Calibri"/>
          <w:color w:val="000000"/>
          <w:sz w:val="24"/>
          <w:szCs w:val="24"/>
        </w:rPr>
        <w:t xml:space="preserve">Details of that </w:t>
      </w:r>
      <w:r w:rsidRPr="00604108">
        <w:rPr>
          <w:rFonts w:cs="Calibri"/>
          <w:color w:val="000000"/>
          <w:sz w:val="24"/>
          <w:szCs w:val="24"/>
        </w:rPr>
        <w:t xml:space="preserve">consultation </w:t>
      </w:r>
      <w:r w:rsidR="000935EC" w:rsidRPr="00604108">
        <w:rPr>
          <w:rFonts w:cs="Calibri"/>
          <w:color w:val="000000"/>
          <w:sz w:val="24"/>
          <w:szCs w:val="24"/>
        </w:rPr>
        <w:t xml:space="preserve">are included in </w:t>
      </w:r>
      <w:r w:rsidRPr="00604108">
        <w:rPr>
          <w:rFonts w:cs="Calibri"/>
          <w:color w:val="000000"/>
          <w:sz w:val="24"/>
          <w:szCs w:val="24"/>
        </w:rPr>
        <w:t>the Explanatory Statement for those determinations.</w:t>
      </w:r>
    </w:p>
    <w:p w:rsidR="000B3821" w:rsidRPr="00604108" w:rsidRDefault="000B3821" w:rsidP="000B3821">
      <w:pPr>
        <w:autoSpaceDE w:val="0"/>
        <w:autoSpaceDN w:val="0"/>
        <w:spacing w:before="120" w:after="120" w:line="240" w:lineRule="auto"/>
        <w:rPr>
          <w:rFonts w:cs="Calibri"/>
          <w:color w:val="000000"/>
          <w:sz w:val="24"/>
          <w:szCs w:val="24"/>
        </w:rPr>
      </w:pPr>
      <w:r w:rsidRPr="00604108">
        <w:rPr>
          <w:rFonts w:cs="Calibri"/>
          <w:color w:val="000000"/>
          <w:sz w:val="24"/>
          <w:szCs w:val="24"/>
        </w:rPr>
        <w:t xml:space="preserve">No consultation was conducted in connection with the making of PID 11B, as the correction of the typographical errors in the Statements of Reasons for PID 11 and 11A does not alter the operation or effect of those determinations. </w:t>
      </w:r>
    </w:p>
    <w:p w:rsidR="000B3821" w:rsidRPr="00B760C6" w:rsidRDefault="000B3821" w:rsidP="00265518">
      <w:pPr>
        <w:spacing w:before="120" w:after="120" w:line="240" w:lineRule="auto"/>
        <w:rPr>
          <w:rFonts w:cs="Calibri"/>
          <w:sz w:val="24"/>
          <w:szCs w:val="24"/>
        </w:rPr>
      </w:pPr>
      <w:bookmarkStart w:id="0" w:name="_GoBack"/>
      <w:bookmarkEnd w:id="0"/>
    </w:p>
    <w:sectPr w:rsidR="000B3821" w:rsidRPr="00B760C6" w:rsidSect="00B86236">
      <w:footerReference w:type="even" r:id="rId7"/>
      <w:footerReference w:type="default" r:id="rId8"/>
      <w:headerReference w:type="first" r:id="rId9"/>
      <w:endnotePr>
        <w:numFmt w:val="decimal"/>
      </w:endnotePr>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396D" w:rsidRDefault="00D7396D" w:rsidP="00F91764">
      <w:pPr>
        <w:spacing w:after="0" w:line="240" w:lineRule="auto"/>
      </w:pPr>
      <w:r>
        <w:separator/>
      </w:r>
    </w:p>
  </w:endnote>
  <w:endnote w:type="continuationSeparator" w:id="0">
    <w:p w:rsidR="00D7396D" w:rsidRDefault="00D7396D" w:rsidP="00F917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52FF" w:rsidRDefault="001752FF" w:rsidP="00C62091">
    <w:pPr>
      <w:pStyle w:val="Footer"/>
      <w:pBdr>
        <w:bottom w:val="single" w:sz="6" w:space="1" w:color="auto"/>
      </w:pBdr>
      <w:tabs>
        <w:tab w:val="clear" w:pos="9026"/>
        <w:tab w:val="right" w:pos="8931"/>
      </w:tabs>
      <w:ind w:left="-284" w:right="-46"/>
      <w:rPr>
        <w:sz w:val="18"/>
        <w:szCs w:val="18"/>
      </w:rPr>
    </w:pPr>
  </w:p>
  <w:p w:rsidR="001752FF" w:rsidRDefault="001752FF" w:rsidP="00C62091">
    <w:pPr>
      <w:pStyle w:val="Footer"/>
      <w:tabs>
        <w:tab w:val="clear" w:pos="9026"/>
        <w:tab w:val="right" w:pos="8931"/>
      </w:tabs>
      <w:ind w:left="-284" w:right="-46"/>
    </w:pPr>
  </w:p>
  <w:p w:rsidR="001752FF" w:rsidRPr="00F50E2D" w:rsidRDefault="001752FF" w:rsidP="00C62091">
    <w:pPr>
      <w:pStyle w:val="Footer"/>
      <w:tabs>
        <w:tab w:val="clear" w:pos="9026"/>
        <w:tab w:val="right" w:pos="8931"/>
      </w:tabs>
      <w:ind w:left="-284" w:right="-46"/>
      <w:rPr>
        <w:sz w:val="18"/>
        <w:szCs w:val="18"/>
      </w:rPr>
    </w:pPr>
    <w:r w:rsidRPr="00F50E2D">
      <w:fldChar w:fldCharType="begin"/>
    </w:r>
    <w:r w:rsidRPr="00F50E2D">
      <w:rPr>
        <w:sz w:val="18"/>
        <w:szCs w:val="18"/>
      </w:rPr>
      <w:instrText xml:space="preserve"> FILENAME   \* MERGEFORMAT </w:instrText>
    </w:r>
    <w:r w:rsidRPr="00F50E2D">
      <w:fldChar w:fldCharType="separate"/>
    </w:r>
    <w:r w:rsidR="00C757FD" w:rsidRPr="00C757FD">
      <w:rPr>
        <w:rStyle w:val="PageNumber"/>
        <w:noProof/>
      </w:rPr>
      <w:t>Explanatory</w:t>
    </w:r>
    <w:r w:rsidR="00C757FD">
      <w:rPr>
        <w:noProof/>
        <w:sz w:val="18"/>
        <w:szCs w:val="18"/>
      </w:rPr>
      <w:t xml:space="preserve"> Statement for PID 11B FINAL - 17.12.10.doc</w:t>
    </w:r>
    <w:r w:rsidRPr="00F50E2D">
      <w:rPr>
        <w:rStyle w:val="PageNumber"/>
        <w:noProof/>
        <w:sz w:val="18"/>
        <w:szCs w:val="18"/>
      </w:rPr>
      <w:fldChar w:fldCharType="end"/>
    </w:r>
    <w:r w:rsidRPr="00F50E2D">
      <w:rPr>
        <w:rStyle w:val="PageNumber"/>
        <w:sz w:val="18"/>
        <w:szCs w:val="18"/>
      </w:rPr>
      <w:t xml:space="preserve"> </w:t>
    </w:r>
    <w:r w:rsidRPr="00F50E2D">
      <w:rPr>
        <w:rStyle w:val="PageNumber"/>
        <w:sz w:val="18"/>
        <w:szCs w:val="18"/>
      </w:rPr>
      <w:tab/>
    </w:r>
    <w:r w:rsidRPr="00F50E2D">
      <w:rPr>
        <w:rStyle w:val="PageNumber"/>
        <w:sz w:val="18"/>
        <w:szCs w:val="18"/>
      </w:rPr>
      <w:fldChar w:fldCharType="begin"/>
    </w:r>
    <w:r w:rsidRPr="00F50E2D">
      <w:rPr>
        <w:rStyle w:val="PageNumber"/>
        <w:sz w:val="18"/>
        <w:szCs w:val="18"/>
      </w:rPr>
      <w:instrText xml:space="preserve"> PAGE   \* MERGEFORMAT </w:instrText>
    </w:r>
    <w:r w:rsidRPr="00F50E2D">
      <w:rPr>
        <w:rStyle w:val="PageNumber"/>
        <w:sz w:val="18"/>
        <w:szCs w:val="18"/>
      </w:rPr>
      <w:fldChar w:fldCharType="separate"/>
    </w:r>
    <w:r>
      <w:rPr>
        <w:rStyle w:val="PageNumber"/>
        <w:noProof/>
        <w:sz w:val="18"/>
        <w:szCs w:val="18"/>
      </w:rPr>
      <w:t>2</w:t>
    </w:r>
    <w:r w:rsidRPr="00F50E2D">
      <w:rPr>
        <w:rStyle w:val="PageNumbe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52FF" w:rsidRDefault="001752FF" w:rsidP="00B86236">
    <w:pPr>
      <w:pStyle w:val="Footer"/>
      <w:pBdr>
        <w:bottom w:val="single" w:sz="6" w:space="1" w:color="auto"/>
      </w:pBdr>
      <w:tabs>
        <w:tab w:val="clear" w:pos="9026"/>
        <w:tab w:val="right" w:pos="8931"/>
      </w:tabs>
      <w:ind w:left="-284" w:right="-46"/>
      <w:rPr>
        <w:sz w:val="18"/>
        <w:szCs w:val="18"/>
      </w:rPr>
    </w:pPr>
  </w:p>
  <w:p w:rsidR="001752FF" w:rsidRPr="004A0DA9" w:rsidRDefault="001752FF" w:rsidP="00B86236">
    <w:pPr>
      <w:pStyle w:val="Footer"/>
      <w:tabs>
        <w:tab w:val="clear" w:pos="9026"/>
        <w:tab w:val="right" w:pos="8931"/>
      </w:tabs>
      <w:ind w:left="-284" w:right="-46"/>
      <w:rPr>
        <w:sz w:val="20"/>
        <w:szCs w:val="20"/>
      </w:rPr>
    </w:pPr>
  </w:p>
  <w:p w:rsidR="001752FF" w:rsidRPr="00F24AFF" w:rsidRDefault="001752FF" w:rsidP="00B86236">
    <w:pPr>
      <w:pStyle w:val="Footer"/>
      <w:tabs>
        <w:tab w:val="clear" w:pos="9026"/>
        <w:tab w:val="right" w:pos="8931"/>
      </w:tabs>
      <w:ind w:left="-284" w:right="-46"/>
      <w:rPr>
        <w:sz w:val="18"/>
        <w:szCs w:val="18"/>
      </w:rPr>
    </w:pPr>
    <w:r>
      <w:rPr>
        <w:rStyle w:val="PageNumber"/>
        <w:sz w:val="18"/>
        <w:szCs w:val="18"/>
      </w:rPr>
      <w:tab/>
    </w:r>
    <w:r w:rsidRPr="00F24AFF">
      <w:rPr>
        <w:rStyle w:val="PageNumber"/>
        <w:sz w:val="18"/>
        <w:szCs w:val="18"/>
      </w:rPr>
      <w:tab/>
    </w:r>
    <w:r w:rsidRPr="00F24AFF">
      <w:rPr>
        <w:rStyle w:val="PageNumber"/>
        <w:sz w:val="18"/>
        <w:szCs w:val="18"/>
      </w:rPr>
      <w:fldChar w:fldCharType="begin"/>
    </w:r>
    <w:r w:rsidRPr="00F24AFF">
      <w:rPr>
        <w:rStyle w:val="PageNumber"/>
        <w:sz w:val="18"/>
        <w:szCs w:val="18"/>
      </w:rPr>
      <w:instrText xml:space="preserve"> PAGE   \* MERGEFORMAT </w:instrText>
    </w:r>
    <w:r w:rsidRPr="00F24AFF">
      <w:rPr>
        <w:rStyle w:val="PageNumber"/>
        <w:sz w:val="18"/>
        <w:szCs w:val="18"/>
      </w:rPr>
      <w:fldChar w:fldCharType="separate"/>
    </w:r>
    <w:r w:rsidR="00C757FD">
      <w:rPr>
        <w:rStyle w:val="PageNumber"/>
        <w:noProof/>
        <w:sz w:val="18"/>
        <w:szCs w:val="18"/>
      </w:rPr>
      <w:t>3</w:t>
    </w:r>
    <w:r w:rsidRPr="00F24AFF">
      <w:rPr>
        <w:rStyle w:val="PageNumber"/>
        <w:sz w:val="18"/>
        <w:szCs w:val="18"/>
      </w:rPr>
      <w:fldChar w:fldCharType="end"/>
    </w:r>
  </w:p>
  <w:p w:rsidR="001752FF" w:rsidRDefault="001752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396D" w:rsidRDefault="00D7396D" w:rsidP="00F91764">
      <w:pPr>
        <w:spacing w:after="0" w:line="240" w:lineRule="auto"/>
      </w:pPr>
      <w:r>
        <w:separator/>
      </w:r>
    </w:p>
  </w:footnote>
  <w:footnote w:type="continuationSeparator" w:id="0">
    <w:p w:rsidR="00D7396D" w:rsidRDefault="00D7396D" w:rsidP="00F917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52FF" w:rsidRDefault="00AE1B24">
    <w:pPr>
      <w:pStyle w:val="Header"/>
      <w:rPr>
        <w:noProof/>
      </w:rPr>
    </w:pPr>
    <w:r w:rsidRPr="00336651">
      <w:rPr>
        <w:noProof/>
      </w:rPr>
      <w:drawing>
        <wp:inline distT="0" distB="0" distL="0" distR="0">
          <wp:extent cx="4305300" cy="619125"/>
          <wp:effectExtent l="0" t="0" r="0" b="0"/>
          <wp:docPr id="1" name="Picture 3" descr="Commonwealth Coat of arms of Australia crest Australian Government over Office of the Australian Information Commissio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monwealth Coat of arms of Australia crest Australian Government over Office of the Australian Information Commissio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05300" cy="619125"/>
                  </a:xfrm>
                  <a:prstGeom prst="rect">
                    <a:avLst/>
                  </a:prstGeom>
                  <a:noFill/>
                  <a:ln>
                    <a:noFill/>
                  </a:ln>
                </pic:spPr>
              </pic:pic>
            </a:graphicData>
          </a:graphic>
        </wp:inline>
      </w:drawing>
    </w:r>
  </w:p>
  <w:p w:rsidR="001752FF" w:rsidRDefault="001752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F5AC1"/>
    <w:multiLevelType w:val="hybridMultilevel"/>
    <w:tmpl w:val="F566D8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11A7AC9"/>
    <w:multiLevelType w:val="hybridMultilevel"/>
    <w:tmpl w:val="86EC70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DDB2D9E"/>
    <w:multiLevelType w:val="hybridMultilevel"/>
    <w:tmpl w:val="6556315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171F403F"/>
    <w:multiLevelType w:val="hybridMultilevel"/>
    <w:tmpl w:val="EBE8C7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B72108F"/>
    <w:multiLevelType w:val="hybridMultilevel"/>
    <w:tmpl w:val="FF24AB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4737FCF"/>
    <w:multiLevelType w:val="hybridMultilevel"/>
    <w:tmpl w:val="E19A6FF6"/>
    <w:lvl w:ilvl="0" w:tplc="CD6A09DE">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2E4E0FB1"/>
    <w:multiLevelType w:val="hybridMultilevel"/>
    <w:tmpl w:val="7A94FC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D4123E2"/>
    <w:multiLevelType w:val="hybridMultilevel"/>
    <w:tmpl w:val="96468C08"/>
    <w:lvl w:ilvl="0" w:tplc="CD6A09DE">
      <w:numFmt w:val="bullet"/>
      <w:lvlText w:val="·"/>
      <w:lvlJc w:val="left"/>
      <w:pPr>
        <w:ind w:left="360" w:hanging="360"/>
      </w:pPr>
      <w:rPr>
        <w:rFonts w:ascii="Calibri" w:eastAsia="Times New Roman"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E6154B5"/>
    <w:multiLevelType w:val="hybridMultilevel"/>
    <w:tmpl w:val="D904082C"/>
    <w:lvl w:ilvl="0" w:tplc="CD6A09DE">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8"/>
  </w:num>
  <w:num w:numId="4">
    <w:abstractNumId w:val="5"/>
  </w:num>
  <w:num w:numId="5">
    <w:abstractNumId w:val="7"/>
  </w:num>
  <w:num w:numId="6">
    <w:abstractNumId w:val="0"/>
  </w:num>
  <w:num w:numId="7">
    <w:abstractNumId w:val="6"/>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701"/>
    <w:rsid w:val="000124D1"/>
    <w:rsid w:val="000935EC"/>
    <w:rsid w:val="000B3821"/>
    <w:rsid w:val="000E6164"/>
    <w:rsid w:val="000F1A4D"/>
    <w:rsid w:val="000F2FAB"/>
    <w:rsid w:val="00105695"/>
    <w:rsid w:val="001646AD"/>
    <w:rsid w:val="001752FF"/>
    <w:rsid w:val="00196CBB"/>
    <w:rsid w:val="001A4C7B"/>
    <w:rsid w:val="00215702"/>
    <w:rsid w:val="002202F2"/>
    <w:rsid w:val="00265518"/>
    <w:rsid w:val="002878D3"/>
    <w:rsid w:val="00295B59"/>
    <w:rsid w:val="002D3CA6"/>
    <w:rsid w:val="00321A29"/>
    <w:rsid w:val="00363A13"/>
    <w:rsid w:val="00365A8E"/>
    <w:rsid w:val="003C1E6C"/>
    <w:rsid w:val="004369AD"/>
    <w:rsid w:val="00457F66"/>
    <w:rsid w:val="00485957"/>
    <w:rsid w:val="004A0DA9"/>
    <w:rsid w:val="004B43DF"/>
    <w:rsid w:val="004C1470"/>
    <w:rsid w:val="004D263C"/>
    <w:rsid w:val="004E0E89"/>
    <w:rsid w:val="004E143E"/>
    <w:rsid w:val="004E30CE"/>
    <w:rsid w:val="005140BA"/>
    <w:rsid w:val="005651FF"/>
    <w:rsid w:val="00567DBB"/>
    <w:rsid w:val="005E1970"/>
    <w:rsid w:val="005F7D52"/>
    <w:rsid w:val="00604108"/>
    <w:rsid w:val="00617538"/>
    <w:rsid w:val="006410B5"/>
    <w:rsid w:val="006C76D6"/>
    <w:rsid w:val="006D4A2A"/>
    <w:rsid w:val="007011EB"/>
    <w:rsid w:val="00761FA0"/>
    <w:rsid w:val="007C167C"/>
    <w:rsid w:val="007D5F7A"/>
    <w:rsid w:val="007E399E"/>
    <w:rsid w:val="00821924"/>
    <w:rsid w:val="008320A3"/>
    <w:rsid w:val="00842902"/>
    <w:rsid w:val="00856371"/>
    <w:rsid w:val="00864794"/>
    <w:rsid w:val="00870329"/>
    <w:rsid w:val="00877338"/>
    <w:rsid w:val="008C3524"/>
    <w:rsid w:val="008F309B"/>
    <w:rsid w:val="008F483A"/>
    <w:rsid w:val="009810FC"/>
    <w:rsid w:val="00985864"/>
    <w:rsid w:val="009C7701"/>
    <w:rsid w:val="009D5950"/>
    <w:rsid w:val="009F755D"/>
    <w:rsid w:val="00A0664F"/>
    <w:rsid w:val="00A21350"/>
    <w:rsid w:val="00A50CE6"/>
    <w:rsid w:val="00A606B6"/>
    <w:rsid w:val="00AC093B"/>
    <w:rsid w:val="00AC3BC7"/>
    <w:rsid w:val="00AE1B24"/>
    <w:rsid w:val="00B02BF7"/>
    <w:rsid w:val="00B046A1"/>
    <w:rsid w:val="00B43BD0"/>
    <w:rsid w:val="00B5359F"/>
    <w:rsid w:val="00B760C6"/>
    <w:rsid w:val="00B86236"/>
    <w:rsid w:val="00C62091"/>
    <w:rsid w:val="00C70DC2"/>
    <w:rsid w:val="00C757FD"/>
    <w:rsid w:val="00C85C7E"/>
    <w:rsid w:val="00CA21B1"/>
    <w:rsid w:val="00CB037F"/>
    <w:rsid w:val="00D1592E"/>
    <w:rsid w:val="00D17932"/>
    <w:rsid w:val="00D7396D"/>
    <w:rsid w:val="00D87D4A"/>
    <w:rsid w:val="00D93123"/>
    <w:rsid w:val="00DA16D9"/>
    <w:rsid w:val="00DB5194"/>
    <w:rsid w:val="00E95ECC"/>
    <w:rsid w:val="00EC079A"/>
    <w:rsid w:val="00ED7B2E"/>
    <w:rsid w:val="00ED7D98"/>
    <w:rsid w:val="00F043F9"/>
    <w:rsid w:val="00F21207"/>
    <w:rsid w:val="00F24AFF"/>
    <w:rsid w:val="00F349E3"/>
    <w:rsid w:val="00F50E2D"/>
    <w:rsid w:val="00F91764"/>
    <w:rsid w:val="00FB707F"/>
    <w:rsid w:val="00FC1FC7"/>
    <w:rsid w:val="00FF5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43F9"/>
    <w:pPr>
      <w:spacing w:after="200" w:line="276" w:lineRule="auto"/>
    </w:pPr>
    <w:rPr>
      <w:sz w:val="22"/>
      <w:szCs w:val="22"/>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17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1764"/>
  </w:style>
  <w:style w:type="paragraph" w:styleId="Footer">
    <w:name w:val="footer"/>
    <w:aliases w:val="OPC Footer"/>
    <w:basedOn w:val="Normal"/>
    <w:link w:val="FooterChar"/>
    <w:uiPriority w:val="99"/>
    <w:unhideWhenUsed/>
    <w:rsid w:val="00F91764"/>
    <w:pPr>
      <w:tabs>
        <w:tab w:val="center" w:pos="4513"/>
        <w:tab w:val="right" w:pos="9026"/>
      </w:tabs>
      <w:spacing w:after="0" w:line="240" w:lineRule="auto"/>
    </w:pPr>
  </w:style>
  <w:style w:type="character" w:customStyle="1" w:styleId="FooterChar">
    <w:name w:val="Footer Char"/>
    <w:aliases w:val="OPC Footer Char"/>
    <w:basedOn w:val="DefaultParagraphFont"/>
    <w:link w:val="Footer"/>
    <w:uiPriority w:val="99"/>
    <w:rsid w:val="00F91764"/>
  </w:style>
  <w:style w:type="table" w:styleId="TableGrid">
    <w:name w:val="Table Grid"/>
    <w:basedOn w:val="TableNormal"/>
    <w:uiPriority w:val="59"/>
    <w:rsid w:val="00F9176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rsid w:val="00363A13"/>
  </w:style>
  <w:style w:type="paragraph" w:styleId="BalloonText">
    <w:name w:val="Balloon Text"/>
    <w:basedOn w:val="Normal"/>
    <w:link w:val="BalloonTextChar"/>
    <w:uiPriority w:val="99"/>
    <w:semiHidden/>
    <w:unhideWhenUsed/>
    <w:rsid w:val="009C770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C7701"/>
    <w:rPr>
      <w:rFonts w:ascii="Tahoma" w:hAnsi="Tahoma" w:cs="Tahoma"/>
      <w:sz w:val="16"/>
      <w:szCs w:val="16"/>
    </w:rPr>
  </w:style>
  <w:style w:type="paragraph" w:customStyle="1" w:styleId="Default">
    <w:name w:val="Default"/>
    <w:rsid w:val="00CB037F"/>
    <w:pPr>
      <w:autoSpaceDE w:val="0"/>
      <w:autoSpaceDN w:val="0"/>
      <w:adjustRightInd w:val="0"/>
    </w:pPr>
    <w:rPr>
      <w:rFonts w:ascii="Verdana" w:eastAsia="Calibri" w:hAnsi="Verdana" w:cs="Verdana"/>
      <w:color w:val="000000"/>
      <w:sz w:val="24"/>
      <w:szCs w:val="24"/>
      <w:lang w:val="en-AU"/>
    </w:rPr>
  </w:style>
  <w:style w:type="paragraph" w:styleId="ListParagraph">
    <w:name w:val="List Paragraph"/>
    <w:basedOn w:val="Normal"/>
    <w:uiPriority w:val="34"/>
    <w:qFormat/>
    <w:rsid w:val="00B43BD0"/>
    <w:pPr>
      <w:ind w:left="720"/>
      <w:contextualSpacing/>
    </w:pPr>
  </w:style>
  <w:style w:type="paragraph" w:styleId="FootnoteText">
    <w:name w:val="footnote text"/>
    <w:basedOn w:val="Normal"/>
    <w:link w:val="FootnoteTextChar"/>
    <w:uiPriority w:val="99"/>
    <w:unhideWhenUsed/>
    <w:rsid w:val="000F1A4D"/>
    <w:pPr>
      <w:spacing w:after="0" w:line="240" w:lineRule="auto"/>
      <w:ind w:right="-45"/>
    </w:pPr>
    <w:rPr>
      <w:rFonts w:ascii="Palatino Linotype" w:hAnsi="Palatino Linotype"/>
      <w:sz w:val="20"/>
      <w:szCs w:val="20"/>
      <w:lang w:val="en-GB"/>
    </w:rPr>
  </w:style>
  <w:style w:type="character" w:customStyle="1" w:styleId="FootnoteTextChar">
    <w:name w:val="Footnote Text Char"/>
    <w:link w:val="FootnoteText"/>
    <w:uiPriority w:val="99"/>
    <w:rsid w:val="000F1A4D"/>
    <w:rPr>
      <w:rFonts w:ascii="Palatino Linotype" w:hAnsi="Palatino Linotype"/>
      <w:lang w:val="en-GB"/>
    </w:rPr>
  </w:style>
  <w:style w:type="character" w:styleId="FootnoteReference">
    <w:name w:val="footnote reference"/>
    <w:uiPriority w:val="99"/>
    <w:semiHidden/>
    <w:unhideWhenUsed/>
    <w:rsid w:val="000F1A4D"/>
    <w:rPr>
      <w:vertAlign w:val="superscript"/>
    </w:rPr>
  </w:style>
  <w:style w:type="character" w:styleId="Hyperlink">
    <w:name w:val="Hyperlink"/>
    <w:uiPriority w:val="99"/>
    <w:unhideWhenUsed/>
    <w:rsid w:val="000F1A4D"/>
    <w:rPr>
      <w:color w:val="0000FF"/>
      <w:u w:val="single"/>
    </w:rPr>
  </w:style>
  <w:style w:type="paragraph" w:styleId="EndnoteText">
    <w:name w:val="endnote text"/>
    <w:basedOn w:val="Normal"/>
    <w:link w:val="EndnoteTextChar"/>
    <w:uiPriority w:val="99"/>
    <w:semiHidden/>
    <w:unhideWhenUsed/>
    <w:rsid w:val="00D9312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93123"/>
  </w:style>
  <w:style w:type="character" w:styleId="EndnoteReference">
    <w:name w:val="endnote reference"/>
    <w:uiPriority w:val="99"/>
    <w:semiHidden/>
    <w:unhideWhenUsed/>
    <w:rsid w:val="00D93123"/>
    <w:rPr>
      <w:vertAlign w:val="superscript"/>
    </w:rPr>
  </w:style>
  <w:style w:type="paragraph" w:customStyle="1" w:styleId="ESHeading2">
    <w:name w:val="ES Heading 2"/>
    <w:basedOn w:val="Normal"/>
    <w:link w:val="ESHeading2Char"/>
    <w:qFormat/>
    <w:rsid w:val="00856371"/>
    <w:pPr>
      <w:keepNext/>
      <w:tabs>
        <w:tab w:val="left" w:pos="567"/>
      </w:tabs>
      <w:spacing w:before="240" w:after="120" w:line="240" w:lineRule="auto"/>
      <w:ind w:left="567" w:hanging="567"/>
    </w:pPr>
    <w:rPr>
      <w:rFonts w:cs="Calibri"/>
      <w:b/>
      <w:bCs/>
      <w:sz w:val="28"/>
      <w:szCs w:val="28"/>
    </w:rPr>
  </w:style>
  <w:style w:type="paragraph" w:customStyle="1" w:styleId="ESHeading1">
    <w:name w:val="ES Heading 1"/>
    <w:basedOn w:val="Normal"/>
    <w:link w:val="ESHeading1Char"/>
    <w:qFormat/>
    <w:rsid w:val="00ED7D98"/>
    <w:pPr>
      <w:keepNext/>
      <w:tabs>
        <w:tab w:val="left" w:pos="567"/>
      </w:tabs>
      <w:spacing w:before="240" w:after="120" w:line="240" w:lineRule="auto"/>
      <w:ind w:left="567" w:hanging="567"/>
    </w:pPr>
    <w:rPr>
      <w:rFonts w:cs="Calibri"/>
      <w:b/>
      <w:bCs/>
      <w:sz w:val="32"/>
      <w:szCs w:val="32"/>
    </w:rPr>
  </w:style>
  <w:style w:type="character" w:customStyle="1" w:styleId="ESHeading2Char">
    <w:name w:val="ES Heading 2 Char"/>
    <w:link w:val="ESHeading2"/>
    <w:rsid w:val="00856371"/>
    <w:rPr>
      <w:rFonts w:ascii="Calibri" w:hAnsi="Calibri" w:cs="Calibri"/>
      <w:b/>
      <w:bCs/>
      <w:sz w:val="28"/>
      <w:szCs w:val="28"/>
    </w:rPr>
  </w:style>
  <w:style w:type="character" w:customStyle="1" w:styleId="ESHeading1Char">
    <w:name w:val="ES Heading 1 Char"/>
    <w:link w:val="ESHeading1"/>
    <w:rsid w:val="00ED7D98"/>
    <w:rPr>
      <w:rFonts w:ascii="Calibri" w:hAnsi="Calibri" w:cs="Calibri"/>
      <w:b/>
      <w:bCs/>
      <w:sz w:val="32"/>
      <w:szCs w:val="32"/>
    </w:rPr>
  </w:style>
  <w:style w:type="character" w:styleId="CommentReference">
    <w:name w:val="annotation reference"/>
    <w:uiPriority w:val="99"/>
    <w:semiHidden/>
    <w:unhideWhenUsed/>
    <w:rsid w:val="00D87D4A"/>
    <w:rPr>
      <w:sz w:val="16"/>
      <w:szCs w:val="16"/>
    </w:rPr>
  </w:style>
  <w:style w:type="paragraph" w:styleId="CommentText">
    <w:name w:val="annotation text"/>
    <w:basedOn w:val="Normal"/>
    <w:link w:val="CommentTextChar"/>
    <w:uiPriority w:val="99"/>
    <w:semiHidden/>
    <w:unhideWhenUsed/>
    <w:rsid w:val="00D87D4A"/>
    <w:pPr>
      <w:spacing w:line="240" w:lineRule="auto"/>
    </w:pPr>
    <w:rPr>
      <w:sz w:val="20"/>
      <w:szCs w:val="20"/>
    </w:rPr>
  </w:style>
  <w:style w:type="character" w:customStyle="1" w:styleId="CommentTextChar">
    <w:name w:val="Comment Text Char"/>
    <w:basedOn w:val="DefaultParagraphFont"/>
    <w:link w:val="CommentText"/>
    <w:uiPriority w:val="99"/>
    <w:semiHidden/>
    <w:rsid w:val="00D87D4A"/>
  </w:style>
  <w:style w:type="paragraph" w:styleId="CommentSubject">
    <w:name w:val="annotation subject"/>
    <w:basedOn w:val="CommentText"/>
    <w:next w:val="CommentText"/>
    <w:link w:val="CommentSubjectChar"/>
    <w:uiPriority w:val="99"/>
    <w:semiHidden/>
    <w:unhideWhenUsed/>
    <w:rsid w:val="00D87D4A"/>
    <w:rPr>
      <w:b/>
      <w:bCs/>
    </w:rPr>
  </w:style>
  <w:style w:type="character" w:customStyle="1" w:styleId="CommentSubjectChar">
    <w:name w:val="Comment Subject Char"/>
    <w:link w:val="CommentSubject"/>
    <w:uiPriority w:val="99"/>
    <w:semiHidden/>
    <w:rsid w:val="00D87D4A"/>
    <w:rPr>
      <w:b/>
      <w:bCs/>
    </w:rPr>
  </w:style>
  <w:style w:type="paragraph" w:styleId="Revision">
    <w:name w:val="Revision"/>
    <w:hidden/>
    <w:uiPriority w:val="99"/>
    <w:semiHidden/>
    <w:rsid w:val="00A50CE6"/>
    <w:rPr>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518885">
      <w:bodyDiv w:val="1"/>
      <w:marLeft w:val="0"/>
      <w:marRight w:val="0"/>
      <w:marTop w:val="0"/>
      <w:marBottom w:val="0"/>
      <w:divBdr>
        <w:top w:val="none" w:sz="0" w:space="0" w:color="auto"/>
        <w:left w:val="none" w:sz="0" w:space="0" w:color="auto"/>
        <w:bottom w:val="none" w:sz="0" w:space="0" w:color="auto"/>
        <w:right w:val="none" w:sz="0" w:space="0" w:color="auto"/>
      </w:divBdr>
      <w:divsChild>
        <w:div w:id="1792237842">
          <w:marLeft w:val="0"/>
          <w:marRight w:val="0"/>
          <w:marTop w:val="0"/>
          <w:marBottom w:val="0"/>
          <w:divBdr>
            <w:top w:val="none" w:sz="0" w:space="0" w:color="auto"/>
            <w:left w:val="none" w:sz="0" w:space="0" w:color="auto"/>
            <w:bottom w:val="none" w:sz="0" w:space="0" w:color="auto"/>
            <w:right w:val="none" w:sz="0" w:space="0" w:color="auto"/>
          </w:divBdr>
          <w:divsChild>
            <w:div w:id="28070006">
              <w:marLeft w:val="0"/>
              <w:marRight w:val="0"/>
              <w:marTop w:val="0"/>
              <w:marBottom w:val="0"/>
              <w:divBdr>
                <w:top w:val="none" w:sz="0" w:space="0" w:color="auto"/>
                <w:left w:val="none" w:sz="0" w:space="0" w:color="auto"/>
                <w:bottom w:val="none" w:sz="0" w:space="0" w:color="auto"/>
                <w:right w:val="none" w:sz="0" w:space="0" w:color="auto"/>
              </w:divBdr>
            </w:div>
            <w:div w:id="1070032729">
              <w:marLeft w:val="0"/>
              <w:marRight w:val="0"/>
              <w:marTop w:val="0"/>
              <w:marBottom w:val="0"/>
              <w:divBdr>
                <w:top w:val="none" w:sz="0" w:space="0" w:color="auto"/>
                <w:left w:val="none" w:sz="0" w:space="0" w:color="auto"/>
                <w:bottom w:val="none" w:sz="0" w:space="0" w:color="auto"/>
                <w:right w:val="none" w:sz="0" w:space="0" w:color="auto"/>
              </w:divBdr>
            </w:div>
            <w:div w:id="1132091787">
              <w:marLeft w:val="0"/>
              <w:marRight w:val="0"/>
              <w:marTop w:val="0"/>
              <w:marBottom w:val="0"/>
              <w:divBdr>
                <w:top w:val="none" w:sz="0" w:space="0" w:color="auto"/>
                <w:left w:val="none" w:sz="0" w:space="0" w:color="auto"/>
                <w:bottom w:val="none" w:sz="0" w:space="0" w:color="auto"/>
                <w:right w:val="none" w:sz="0" w:space="0" w:color="auto"/>
              </w:divBdr>
            </w:div>
            <w:div w:id="1148472080">
              <w:marLeft w:val="0"/>
              <w:marRight w:val="0"/>
              <w:marTop w:val="0"/>
              <w:marBottom w:val="0"/>
              <w:divBdr>
                <w:top w:val="none" w:sz="0" w:space="0" w:color="auto"/>
                <w:left w:val="none" w:sz="0" w:space="0" w:color="auto"/>
                <w:bottom w:val="none" w:sz="0" w:space="0" w:color="auto"/>
                <w:right w:val="none" w:sz="0" w:space="0" w:color="auto"/>
              </w:divBdr>
            </w:div>
            <w:div w:id="1712073006">
              <w:marLeft w:val="0"/>
              <w:marRight w:val="0"/>
              <w:marTop w:val="0"/>
              <w:marBottom w:val="0"/>
              <w:divBdr>
                <w:top w:val="none" w:sz="0" w:space="0" w:color="auto"/>
                <w:left w:val="none" w:sz="0" w:space="0" w:color="auto"/>
                <w:bottom w:val="none" w:sz="0" w:space="0" w:color="auto"/>
                <w:right w:val="none" w:sz="0" w:space="0" w:color="auto"/>
              </w:divBdr>
            </w:div>
            <w:div w:id="182323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87104">
      <w:bodyDiv w:val="1"/>
      <w:marLeft w:val="0"/>
      <w:marRight w:val="0"/>
      <w:marTop w:val="0"/>
      <w:marBottom w:val="0"/>
      <w:divBdr>
        <w:top w:val="none" w:sz="0" w:space="0" w:color="auto"/>
        <w:left w:val="none" w:sz="0" w:space="0" w:color="auto"/>
        <w:bottom w:val="none" w:sz="0" w:space="0" w:color="auto"/>
        <w:right w:val="none" w:sz="0" w:space="0" w:color="auto"/>
      </w:divBdr>
      <w:divsChild>
        <w:div w:id="1999264482">
          <w:marLeft w:val="0"/>
          <w:marRight w:val="0"/>
          <w:marTop w:val="0"/>
          <w:marBottom w:val="0"/>
          <w:divBdr>
            <w:top w:val="none" w:sz="0" w:space="0" w:color="auto"/>
            <w:left w:val="none" w:sz="0" w:space="0" w:color="auto"/>
            <w:bottom w:val="none" w:sz="0" w:space="0" w:color="auto"/>
            <w:right w:val="none" w:sz="0" w:space="0" w:color="auto"/>
          </w:divBdr>
          <w:divsChild>
            <w:div w:id="130757666">
              <w:marLeft w:val="0"/>
              <w:marRight w:val="0"/>
              <w:marTop w:val="0"/>
              <w:marBottom w:val="0"/>
              <w:divBdr>
                <w:top w:val="none" w:sz="0" w:space="0" w:color="auto"/>
                <w:left w:val="none" w:sz="0" w:space="0" w:color="auto"/>
                <w:bottom w:val="none" w:sz="0" w:space="0" w:color="auto"/>
                <w:right w:val="none" w:sz="0" w:space="0" w:color="auto"/>
              </w:divBdr>
            </w:div>
            <w:div w:id="364673328">
              <w:marLeft w:val="0"/>
              <w:marRight w:val="0"/>
              <w:marTop w:val="0"/>
              <w:marBottom w:val="0"/>
              <w:divBdr>
                <w:top w:val="none" w:sz="0" w:space="0" w:color="auto"/>
                <w:left w:val="none" w:sz="0" w:space="0" w:color="auto"/>
                <w:bottom w:val="none" w:sz="0" w:space="0" w:color="auto"/>
                <w:right w:val="none" w:sz="0" w:space="0" w:color="auto"/>
              </w:divBdr>
            </w:div>
            <w:div w:id="1212420267">
              <w:marLeft w:val="0"/>
              <w:marRight w:val="0"/>
              <w:marTop w:val="0"/>
              <w:marBottom w:val="0"/>
              <w:divBdr>
                <w:top w:val="none" w:sz="0" w:space="0" w:color="auto"/>
                <w:left w:val="none" w:sz="0" w:space="0" w:color="auto"/>
                <w:bottom w:val="none" w:sz="0" w:space="0" w:color="auto"/>
                <w:right w:val="none" w:sz="0" w:space="0" w:color="auto"/>
              </w:divBdr>
            </w:div>
            <w:div w:id="1273778972">
              <w:marLeft w:val="0"/>
              <w:marRight w:val="0"/>
              <w:marTop w:val="0"/>
              <w:marBottom w:val="0"/>
              <w:divBdr>
                <w:top w:val="none" w:sz="0" w:space="0" w:color="auto"/>
                <w:left w:val="none" w:sz="0" w:space="0" w:color="auto"/>
                <w:bottom w:val="none" w:sz="0" w:space="0" w:color="auto"/>
                <w:right w:val="none" w:sz="0" w:space="0" w:color="auto"/>
              </w:divBdr>
            </w:div>
            <w:div w:id="1568539316">
              <w:marLeft w:val="0"/>
              <w:marRight w:val="0"/>
              <w:marTop w:val="0"/>
              <w:marBottom w:val="0"/>
              <w:divBdr>
                <w:top w:val="none" w:sz="0" w:space="0" w:color="auto"/>
                <w:left w:val="none" w:sz="0" w:space="0" w:color="auto"/>
                <w:bottom w:val="none" w:sz="0" w:space="0" w:color="auto"/>
                <w:right w:val="none" w:sz="0" w:space="0" w:color="auto"/>
              </w:divBdr>
            </w:div>
            <w:div w:id="184296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734471">
      <w:bodyDiv w:val="1"/>
      <w:marLeft w:val="0"/>
      <w:marRight w:val="0"/>
      <w:marTop w:val="0"/>
      <w:marBottom w:val="0"/>
      <w:divBdr>
        <w:top w:val="none" w:sz="0" w:space="0" w:color="auto"/>
        <w:left w:val="none" w:sz="0" w:space="0" w:color="auto"/>
        <w:bottom w:val="none" w:sz="0" w:space="0" w:color="auto"/>
        <w:right w:val="none" w:sz="0" w:space="0" w:color="auto"/>
      </w:divBdr>
      <w:divsChild>
        <w:div w:id="431779523">
          <w:marLeft w:val="0"/>
          <w:marRight w:val="0"/>
          <w:marTop w:val="0"/>
          <w:marBottom w:val="0"/>
          <w:divBdr>
            <w:top w:val="none" w:sz="0" w:space="0" w:color="auto"/>
            <w:left w:val="none" w:sz="0" w:space="0" w:color="auto"/>
            <w:bottom w:val="none" w:sz="0" w:space="0" w:color="auto"/>
            <w:right w:val="none" w:sz="0" w:space="0" w:color="auto"/>
          </w:divBdr>
          <w:divsChild>
            <w:div w:id="700010248">
              <w:marLeft w:val="0"/>
              <w:marRight w:val="0"/>
              <w:marTop w:val="0"/>
              <w:marBottom w:val="0"/>
              <w:divBdr>
                <w:top w:val="none" w:sz="0" w:space="0" w:color="auto"/>
                <w:left w:val="none" w:sz="0" w:space="0" w:color="auto"/>
                <w:bottom w:val="none" w:sz="0" w:space="0" w:color="auto"/>
                <w:right w:val="none" w:sz="0" w:space="0" w:color="auto"/>
              </w:divBdr>
            </w:div>
            <w:div w:id="1366634744">
              <w:marLeft w:val="0"/>
              <w:marRight w:val="0"/>
              <w:marTop w:val="0"/>
              <w:marBottom w:val="0"/>
              <w:divBdr>
                <w:top w:val="none" w:sz="0" w:space="0" w:color="auto"/>
                <w:left w:val="none" w:sz="0" w:space="0" w:color="auto"/>
                <w:bottom w:val="none" w:sz="0" w:space="0" w:color="auto"/>
                <w:right w:val="none" w:sz="0" w:space="0" w:color="auto"/>
              </w:divBdr>
            </w:div>
            <w:div w:id="1769159996">
              <w:marLeft w:val="0"/>
              <w:marRight w:val="0"/>
              <w:marTop w:val="0"/>
              <w:marBottom w:val="0"/>
              <w:divBdr>
                <w:top w:val="none" w:sz="0" w:space="0" w:color="auto"/>
                <w:left w:val="none" w:sz="0" w:space="0" w:color="auto"/>
                <w:bottom w:val="none" w:sz="0" w:space="0" w:color="auto"/>
                <w:right w:val="none" w:sz="0" w:space="0" w:color="auto"/>
              </w:divBdr>
            </w:div>
            <w:div w:id="1783499883">
              <w:marLeft w:val="0"/>
              <w:marRight w:val="0"/>
              <w:marTop w:val="0"/>
              <w:marBottom w:val="0"/>
              <w:divBdr>
                <w:top w:val="none" w:sz="0" w:space="0" w:color="auto"/>
                <w:left w:val="none" w:sz="0" w:space="0" w:color="auto"/>
                <w:bottom w:val="none" w:sz="0" w:space="0" w:color="auto"/>
                <w:right w:val="none" w:sz="0" w:space="0" w:color="auto"/>
              </w:divBdr>
            </w:div>
            <w:div w:id="1856841785">
              <w:marLeft w:val="0"/>
              <w:marRight w:val="0"/>
              <w:marTop w:val="0"/>
              <w:marBottom w:val="0"/>
              <w:divBdr>
                <w:top w:val="none" w:sz="0" w:space="0" w:color="auto"/>
                <w:left w:val="none" w:sz="0" w:space="0" w:color="auto"/>
                <w:bottom w:val="none" w:sz="0" w:space="0" w:color="auto"/>
                <w:right w:val="none" w:sz="0" w:space="0" w:color="auto"/>
              </w:divBdr>
            </w:div>
            <w:div w:id="204671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502</Words>
  <Characters>2867</Characters>
  <Application>Microsoft Office Word</Application>
  <DocSecurity>0</DocSecurity>
  <Lines>23</Lines>
  <Paragraphs>6</Paragraphs>
  <ScaleCrop>false</ScaleCrop>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2023-10-11T04:49:00Z</dcterms:created>
  <dcterms:modified xsi:type="dcterms:W3CDTF">2023-10-11T04:49:00Z</dcterms:modified>
</cp:coreProperties>
</file>